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C40FD">
      <w:pPr>
        <w:spacing w:before="100" w:beforeAutospacing="1" w:after="100" w:afterAutospacing="1" w:line="480" w:lineRule="auto"/>
        <w:jc w:val="both"/>
        <w:rPr>
          <w:rFonts w:ascii="Times New Roman" w:hAnsi="Times New Roman" w:eastAsia="宋体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Table 1. </w:t>
      </w:r>
      <w:r>
        <w:rPr>
          <w:rFonts w:ascii="Times New Roman" w:hAnsi="Times New Roman" w:eastAsia="Times New Roman" w:cs="Times New Roman"/>
          <w:sz w:val="24"/>
          <w:szCs w:val="24"/>
        </w:rPr>
        <w:t>Discovery and validation cohorts, datasets, clinical specimens, and validation models used in the study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058"/>
        <w:gridCol w:w="2343"/>
        <w:gridCol w:w="2674"/>
      </w:tblGrid>
      <w:tr w14:paraId="64D73A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57AF59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Component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EE9983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Dataset/tissues/cell lines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840890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Sample size/groups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494B37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Purpose</w:t>
            </w:r>
          </w:p>
        </w:tc>
      </w:tr>
      <w:tr w14:paraId="23698B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14:paraId="2FF49876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Single-cell RNA-seq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14:paraId="5589A4C2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GSE222315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14:paraId="1C8281AB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Nine bladder cancer samples; 60,561 cells were retained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14:paraId="55B532C5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Cell-type annotation, assessment of fibroblast-associated 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  <w:t>GLG1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</w:rPr>
              <w:t xml:space="preserve"> expression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, and candidate gene screening</w:t>
            </w:r>
          </w:p>
        </w:tc>
      </w:tr>
      <w:tr w14:paraId="5ED7DB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</w:tcBorders>
            <w:vAlign w:val="center"/>
          </w:tcPr>
          <w:p w14:paraId="2319A8D6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Mendelian randomization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A6ECC78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cis-eQTL and bladder cancer GWAS summary statistics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7A6F04E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Bladder cancer GWAS: 1,279 cases and 372,016 controls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A5DE2EF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Two-sample Mendelian randomization, sensitivity analysis, and Bayesian colocalization</w:t>
            </w:r>
          </w:p>
        </w:tc>
      </w:tr>
      <w:tr w14:paraId="101E5D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1A15D79A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Tissue validation</w:t>
            </w:r>
          </w:p>
        </w:tc>
        <w:tc>
          <w:tcPr>
            <w:tcW w:w="0" w:type="auto"/>
            <w:vAlign w:val="center"/>
          </w:tcPr>
          <w:p w14:paraId="52FCDEAC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Human bladder cancer tissue </w:t>
            </w:r>
          </w:p>
        </w:tc>
        <w:tc>
          <w:tcPr>
            <w:tcW w:w="0" w:type="auto"/>
            <w:vAlign w:val="center"/>
          </w:tcPr>
          <w:p w14:paraId="49F7615F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35 bladder cancer tissues, 30 with complete data on invasion status and histological grade: 13 non-invasive, 17 invasive, 9 low-grade, and 21 high-grade</w:t>
            </w:r>
          </w:p>
        </w:tc>
        <w:tc>
          <w:tcPr>
            <w:tcW w:w="0" w:type="auto"/>
            <w:vAlign w:val="center"/>
          </w:tcPr>
          <w:p w14:paraId="325F6124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</w:rPr>
              <w:t>GLG1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and TGF-β1 immunohistochemistry,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</w:rPr>
              <w:t>GLG1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/α-SMA immunofluorescence, and tissue-level validation</w:t>
            </w:r>
          </w:p>
        </w:tc>
      </w:tr>
      <w:tr w14:paraId="078768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77F88C6B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 vitro validation</w:t>
            </w:r>
          </w:p>
        </w:tc>
        <w:tc>
          <w:tcPr>
            <w:tcW w:w="0" w:type="auto"/>
            <w:vAlign w:val="center"/>
          </w:tcPr>
          <w:p w14:paraId="152FD1AB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Bladder cancer cell lines</w:t>
            </w:r>
          </w:p>
        </w:tc>
        <w:tc>
          <w:tcPr>
            <w:tcW w:w="0" w:type="auto"/>
            <w:vAlign w:val="center"/>
          </w:tcPr>
          <w:p w14:paraId="668B5D11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TGF-β1 expression in BIU-87, EJ-1, HBMEC-2, RT-112, SW1170, CAFs, and normal fibroblasts; </w:t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  <w:t>GLG1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knockdown and overexpression in CAFs</w:t>
            </w:r>
          </w:p>
        </w:tc>
        <w:tc>
          <w:tcPr>
            <w:tcW w:w="0" w:type="auto"/>
            <w:vAlign w:val="center"/>
          </w:tcPr>
          <w:p w14:paraId="0B7E4E1D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Tumor TGF-β1/Smad2/3 signaling, </w:t>
            </w:r>
            <w:r>
              <w:rPr>
                <w:rFonts w:ascii="Times New Roman" w:hAnsi="Times New Roman" w:eastAsia="Times New Roman" w:cs="Times New Roman"/>
                <w:iCs/>
                <w:sz w:val="20"/>
                <w:szCs w:val="20"/>
              </w:rPr>
              <w:t>GLG1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expression, and functional assays</w:t>
            </w:r>
          </w:p>
        </w:tc>
      </w:tr>
      <w:tr w14:paraId="6359A9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70BF13A3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 vivo validation</w:t>
            </w:r>
          </w:p>
        </w:tc>
        <w:tc>
          <w:tcPr>
            <w:tcW w:w="0" w:type="auto"/>
            <w:vAlign w:val="center"/>
          </w:tcPr>
          <w:p w14:paraId="6D614AD3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BALB/c nude mouse xenografts</w:t>
            </w:r>
          </w:p>
        </w:tc>
        <w:tc>
          <w:tcPr>
            <w:tcW w:w="0" w:type="auto"/>
            <w:vAlign w:val="center"/>
          </w:tcPr>
          <w:p w14:paraId="48806F2C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Five groups (five mice per group)</w:t>
            </w:r>
          </w:p>
        </w:tc>
        <w:tc>
          <w:tcPr>
            <w:tcW w:w="0" w:type="auto"/>
            <w:vAlign w:val="center"/>
          </w:tcPr>
          <w:p w14:paraId="0235C1D5">
            <w:pPr>
              <w:spacing w:before="120" w:beforeLines="50" w:after="120" w:afterLines="5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Tumor measurements; hematoxylin–eosin, Ki-67, and TUNEL staining</w:t>
            </w:r>
          </w:p>
        </w:tc>
      </w:tr>
    </w:tbl>
    <w:p w14:paraId="2EB03024">
      <w:pPr>
        <w:spacing w:before="100" w:beforeAutospacing="1" w:after="100" w:afterAutospacing="1" w:line="480" w:lineRule="auto"/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6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Arial" w:cstheme="minorBidi"/>
      <w:sz w:val="21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2026-06-25T12:29:46Z</dcterms:created>
  <dc:creator>ljp02</dc:creator>
  <cp:lastModifiedBy>刘璟芃</cp:lastModifiedBy>
  <dcterms:modified xsi:type="dcterms:W3CDTF">2026-06-25T12:30:01Z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eyJoZGlkIjoiNzMyMjcxODJlMWQ1MjU2YmNmZjRjZWQ2MmQ2MDQ1ZTAiLCJ1c2VySWQiOiIxMTA1MDkzMjAxIn0=</vt:lpwstr>
  </property>
  <property fmtid="{D5CDD505-2E9C-101B-9397-08002B2CF9AE}" pid="4" name="ICV">
    <vt:lpwstr>9A7D661945504CBEA7D6E51C90AF1ADD_12</vt:lpwstr>
  </property>
</Properties>
</file>