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71E52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0"/>
        <w:rPr>
          <w:rFonts w:ascii="Times New Roman" w:hAnsi="Times New Roman" w:eastAsia="宋体" w:cs="Times New Roman"/>
          <w:b/>
          <w:bCs/>
          <w:color w:val="366091"/>
          <w:sz w:val="28"/>
          <w:szCs w:val="28"/>
          <w:lang w:val="en-US" w:eastAsia="en-US" w:bidi="ar-SA"/>
        </w:rPr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lang w:val="en-US" w:eastAsia="en-US" w:bidi="ar-SA"/>
        </w:rPr>
        <w:t>Supplementary Materials</w:t>
      </w:r>
    </w:p>
    <w:p w14:paraId="303F7ABE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1"/>
        <w:rPr>
          <w:rFonts w:ascii="Times New Roman" w:hAnsi="Times New Roman" w:eastAsia="宋体" w:cs="Times New Roman"/>
          <w:b/>
          <w:bCs/>
          <w:color w:val="4F81BD"/>
          <w:sz w:val="26"/>
          <w:szCs w:val="26"/>
          <w:lang w:val="en-US" w:eastAsia="en-US" w:bidi="ar-SA"/>
        </w:rPr>
      </w:pPr>
      <w:r>
        <w:rPr>
          <w:rFonts w:ascii="Times New Roman" w:hAnsi="Times New Roman" w:eastAsia="宋体" w:cs="Times New Roman"/>
          <w:b/>
          <w:bCs/>
          <w:color w:val="000000"/>
          <w:sz w:val="26"/>
          <w:szCs w:val="26"/>
          <w:lang w:val="en-US" w:eastAsia="en-US" w:bidi="ar-SA"/>
        </w:rPr>
        <w:t>Supplementary Tables</w:t>
      </w:r>
    </w:p>
    <w:p w14:paraId="7D7BD1A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S1. PAI alternative definition sensitivity analysis.</w:t>
      </w:r>
    </w:p>
    <w:tbl>
      <w:tblPr>
        <w:tblStyle w:val="3"/>
        <w:tblW w:w="500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2"/>
        <w:gridCol w:w="1522"/>
        <w:gridCol w:w="1290"/>
        <w:gridCol w:w="2528"/>
      </w:tblGrid>
      <w:tr w14:paraId="7BB4C14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2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562E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PAI Definition</w:t>
            </w:r>
          </w:p>
        </w:tc>
        <w:tc>
          <w:tcPr>
            <w:tcW w:w="94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8C64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Total Effect Direction</w:t>
            </w:r>
          </w:p>
        </w:tc>
        <w:tc>
          <w:tcPr>
            <w:tcW w:w="59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1044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Consistency</w:t>
            </w:r>
          </w:p>
        </w:tc>
        <w:tc>
          <w:tcPr>
            <w:tcW w:w="153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E839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Remarks</w:t>
            </w:r>
          </w:p>
        </w:tc>
      </w:tr>
      <w:tr w14:paraId="518B5C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AAC0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Primary: 60g protein, urban–rural weighted income</w:t>
            </w:r>
          </w:p>
        </w:tc>
        <w:tc>
          <w:tcPr>
            <w:tcW w:w="94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85DF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</w:t>
            </w:r>
          </w:p>
        </w:tc>
        <w:tc>
          <w:tcPr>
            <w:tcW w:w="59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9372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Baseline</w:t>
            </w:r>
          </w:p>
        </w:tc>
        <w:tc>
          <w:tcPr>
            <w:tcW w:w="153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0DD4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See Table 2</w:t>
            </w:r>
          </w:p>
        </w:tc>
      </w:tr>
      <w:tr w14:paraId="2CB9199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5B69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50g protein threshold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0C20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A62E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Consistent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2935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Lower protein requirement</w:t>
            </w:r>
          </w:p>
        </w:tc>
      </w:tr>
      <w:tr w14:paraId="1F4A40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2EF4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70g protein threshold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D162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1D56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Consistent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56FC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Higher protein requirement</w:t>
            </w:r>
          </w:p>
        </w:tc>
      </w:tr>
      <w:tr w14:paraId="35DB64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1736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Without Engel weight (raw income)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0A27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523B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Consistent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9F1D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Weighting scheme robustness</w:t>
            </w:r>
          </w:p>
        </w:tc>
      </w:tr>
      <w:tr w14:paraId="69F622A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23DA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Food expenditure share (non-price proxy)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0486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</w:t>
            </w:r>
          </w:p>
        </w:tc>
        <w:tc>
          <w:tcPr>
            <w:tcW w:w="59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D775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Consistent</w:t>
            </w:r>
          </w:p>
        </w:tc>
        <w:tc>
          <w:tcPr>
            <w:tcW w:w="153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F5E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Robust to pastoral-area underestimation</w:t>
            </w:r>
          </w:p>
        </w:tc>
      </w:tr>
    </w:tbl>
    <w:p w14:paraId="25F0CF3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2FF662E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S2. PAI construct validity analysis.</w:t>
      </w:r>
    </w:p>
    <w:tbl>
      <w:tblPr>
        <w:tblStyle w:val="3"/>
        <w:tblW w:w="5129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600"/>
        <w:gridCol w:w="899"/>
        <w:gridCol w:w="3898"/>
      </w:tblGrid>
      <w:tr w14:paraId="09B9D7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E33F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Variable</w:t>
            </w:r>
          </w:p>
        </w:tc>
        <w:tc>
          <w:tcPr>
            <w:tcW w:w="91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66DE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Pearson r with PAI</w:t>
            </w:r>
          </w:p>
        </w:tc>
        <w:tc>
          <w:tcPr>
            <w:tcW w:w="51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CE18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 Value</w:t>
            </w:r>
          </w:p>
        </w:tc>
        <w:tc>
          <w:tcPr>
            <w:tcW w:w="222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29B3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Interpretation</w:t>
            </w:r>
          </w:p>
        </w:tc>
      </w:tr>
      <w:tr w14:paraId="5A6A360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53C1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GDP per capita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B97E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0.866</w:t>
            </w:r>
          </w:p>
        </w:tc>
        <w:tc>
          <w:tcPr>
            <w:tcW w:w="51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00C0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&lt;0.001</w:t>
            </w:r>
          </w:p>
        </w:tc>
        <w:tc>
          <w:tcPr>
            <w:tcW w:w="222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C720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Affordability highly correlated with economic development</w:t>
            </w:r>
          </w:p>
        </w:tc>
      </w:tr>
      <w:tr w14:paraId="282707C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7523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Urbanization rate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847F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0.692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0339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&lt;0.001</w:t>
            </w:r>
          </w:p>
        </w:tc>
        <w:tc>
          <w:tcPr>
            <w:tcW w:w="22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3CD4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Higher affordability in urban areas</w:t>
            </w:r>
          </w:p>
        </w:tc>
      </w:tr>
      <w:tr w14:paraId="7B40F7F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BA2F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Reported TB incidence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DFFE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−0.096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90A2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0.215</w:t>
            </w:r>
          </w:p>
        </w:tc>
        <w:tc>
          <w:tcPr>
            <w:tcW w:w="22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3D41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Association is spatial, not linear</w:t>
            </w:r>
          </w:p>
        </w:tc>
      </w:tr>
      <w:tr w14:paraId="392732D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4CCA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Treatment success rate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CCDB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06E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0.969</w:t>
            </w:r>
          </w:p>
        </w:tc>
        <w:tc>
          <w:tcPr>
            <w:tcW w:w="22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4F6B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 linear association</w:t>
            </w:r>
          </w:p>
        </w:tc>
      </w:tr>
      <w:tr w14:paraId="54EC9AC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D052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Case fatality rate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35A7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−0.062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175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0.421</w:t>
            </w:r>
          </w:p>
        </w:tc>
        <w:tc>
          <w:tcPr>
            <w:tcW w:w="22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B075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 linear association</w:t>
            </w:r>
          </w:p>
        </w:tc>
      </w:tr>
      <w:tr w14:paraId="461583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67F0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PAI–TB partial r (control GDP)</w:t>
            </w:r>
          </w:p>
        </w:tc>
        <w:tc>
          <w:tcPr>
            <w:tcW w:w="91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014D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−0.319</w:t>
            </w:r>
          </w:p>
        </w:tc>
        <w:tc>
          <w:tcPr>
            <w:tcW w:w="51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B9E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&lt;0.001</w:t>
            </w:r>
          </w:p>
        </w:tc>
        <w:tc>
          <w:tcPr>
            <w:tcW w:w="222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6260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PAI captures independent variation beyond GDP</w:t>
            </w:r>
          </w:p>
        </w:tc>
      </w:tr>
    </w:tbl>
    <w:p w14:paraId="63363E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61EB8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S3. Dual-breakpoint ITS regression results with collinearity diagnostics.</w:t>
      </w:r>
    </w:p>
    <w:tbl>
      <w:tblPr>
        <w:tblStyle w:val="3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948"/>
        <w:gridCol w:w="2309"/>
        <w:gridCol w:w="2319"/>
      </w:tblGrid>
      <w:tr w14:paraId="347E791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11AA6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eastAsia="en-US"/>
              </w:rPr>
              <w:t>Parameter</w:t>
            </w:r>
          </w:p>
        </w:tc>
        <w:tc>
          <w:tcPr>
            <w:tcW w:w="114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5D729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eastAsia="en-US"/>
              </w:rPr>
              <w:t>Single-BP</w:t>
            </w:r>
          </w:p>
        </w:tc>
        <w:tc>
          <w:tcPr>
            <w:tcW w:w="135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6B816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eastAsia="en-US"/>
              </w:rPr>
              <w:t>Dual-BP (No Covariates)</w:t>
            </w:r>
          </w:p>
        </w:tc>
        <w:tc>
          <w:tcPr>
            <w:tcW w:w="136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29BC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eastAsia="en-US"/>
              </w:rPr>
              <w:t>Dual-BP (With Covariates)</w:t>
            </w:r>
          </w:p>
        </w:tc>
      </w:tr>
      <w:tr w14:paraId="30BCB10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629A1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β₃ (2018 slope change)</w:t>
            </w:r>
          </w:p>
        </w:tc>
        <w:tc>
          <w:tcPr>
            <w:tcW w:w="11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79410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−21.62</w:t>
            </w:r>
          </w:p>
        </w:tc>
        <w:tc>
          <w:tcPr>
            <w:tcW w:w="135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D00F9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36.52</w:t>
            </w:r>
          </w:p>
        </w:tc>
        <w:tc>
          <w:tcPr>
            <w:tcW w:w="136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61247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38.89</w:t>
            </w:r>
          </w:p>
        </w:tc>
      </w:tr>
      <w:tr w14:paraId="0952E13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7D344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β₅ (2020 slope change)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73FA6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7E286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−44.53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FE476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−44.46</w:t>
            </w:r>
          </w:p>
        </w:tc>
      </w:tr>
      <w:tr w14:paraId="1CD3944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630EE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ln_PAI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A024A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9E682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B59EE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−58.55 (P=0.310)</w:t>
            </w:r>
          </w:p>
        </w:tc>
      </w:tr>
      <w:tr w14:paraId="1B56275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FEA5E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Collinearity diagnostics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AEA86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54C3F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VIF&gt;10: 2018 &amp; 2020 BP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BBD29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VIF&gt;10: 2018 &amp; 2020 BP</w:t>
            </w:r>
          </w:p>
        </w:tc>
      </w:tr>
      <w:tr w14:paraId="13E800A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DBE63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Conclusion</w:t>
            </w:r>
          </w:p>
        </w:tc>
        <w:tc>
          <w:tcPr>
            <w:tcW w:w="114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F26CF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β₃ significant (P&lt;0.001)</w:t>
            </w:r>
          </w:p>
        </w:tc>
        <w:tc>
          <w:tcPr>
            <w:tcW w:w="135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7E62E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Two breakpoints inseparable</w:t>
            </w:r>
          </w:p>
        </w:tc>
        <w:tc>
          <w:tcPr>
            <w:tcW w:w="136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F6135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Covariates absorb effect</w:t>
            </w:r>
          </w:p>
        </w:tc>
      </w:tr>
    </w:tbl>
    <w:p w14:paraId="742506AE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1"/>
          <w:szCs w:val="21"/>
          <w:lang w:eastAsia="en-US"/>
        </w:rPr>
      </w:pPr>
    </w:p>
    <w:p w14:paraId="14A96C01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S4. XGBoost-SHAP model hyperparameter specifications.</w:t>
      </w:r>
    </w:p>
    <w:tbl>
      <w:tblPr>
        <w:tblStyle w:val="3"/>
        <w:tblW w:w="513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9"/>
        <w:gridCol w:w="3745"/>
        <w:gridCol w:w="3040"/>
      </w:tblGrid>
      <w:tr w14:paraId="2E8670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2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91CD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Parameter</w:t>
            </w:r>
          </w:p>
        </w:tc>
        <w:tc>
          <w:tcPr>
            <w:tcW w:w="214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D80D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Value</w:t>
            </w:r>
          </w:p>
        </w:tc>
        <w:tc>
          <w:tcPr>
            <w:tcW w:w="173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D1CE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Description</w:t>
            </w:r>
          </w:p>
        </w:tc>
      </w:tr>
      <w:tr w14:paraId="6CDA46A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3BB6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Model type</w:t>
            </w:r>
          </w:p>
        </w:tc>
        <w:tc>
          <w:tcPr>
            <w:tcW w:w="214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C4DB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XGBoost regressor</w:t>
            </w:r>
          </w:p>
        </w:tc>
        <w:tc>
          <w:tcPr>
            <w:tcW w:w="173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9BBB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Gradient boosted trees; captures nonlinear patterns</w:t>
            </w:r>
          </w:p>
        </w:tc>
      </w:tr>
      <w:tr w14:paraId="44D1FD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8697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max_depth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CA4C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93C1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Prevents overfitting; N=168 moderate sample</w:t>
            </w:r>
          </w:p>
        </w:tc>
      </w:tr>
      <w:tr w14:paraId="3B013C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4EE3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learning_rate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8945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0.03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011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Conservative rate for stable convergence</w:t>
            </w:r>
          </w:p>
        </w:tc>
      </w:tr>
      <w:tr w14:paraId="5130C06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C7AC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n_estimators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5B34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300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6932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5-fold CV converged</w:t>
            </w:r>
          </w:p>
        </w:tc>
      </w:tr>
      <w:tr w14:paraId="2D117F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1110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Cross-validation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9A8A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5-fold stratified by year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9AD0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Preserves temporal structure</w:t>
            </w:r>
          </w:p>
        </w:tc>
      </w:tr>
      <w:tr w14:paraId="6DF0C66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8CE5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Feature importance (1°)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7F0A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Gain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4100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Variance explained by splits</w:t>
            </w:r>
          </w:p>
        </w:tc>
      </w:tr>
      <w:tr w14:paraId="3451872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BBB2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Feature importance (2°)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C7A9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|SHAP| mean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78AD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Marginal effect magnitude</w:t>
            </w:r>
          </w:p>
        </w:tc>
      </w:tr>
      <w:tr w14:paraId="53DA0C8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B8C9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SHAP explainer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02B1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TreeExplainer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BBF0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Exact computation for tree models</w:t>
            </w:r>
          </w:p>
        </w:tc>
      </w:tr>
      <w:tr w14:paraId="7D70B0E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C2DC4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Threshold detection</w:t>
            </w:r>
          </w:p>
        </w:tc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8C6F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2nd-derivative inflection of SHAP dependence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05E2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Nonparametric inflection identification</w:t>
            </w:r>
          </w:p>
        </w:tc>
      </w:tr>
      <w:tr w14:paraId="01048CE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9E35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Features</w:t>
            </w:r>
          </w:p>
        </w:tc>
        <w:tc>
          <w:tcPr>
            <w:tcW w:w="214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3634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PAI, beds, physicians, nurses, GDP, urbanization, aging, post_2018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6949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All SDM variables + policy indicator</w:t>
            </w:r>
          </w:p>
        </w:tc>
      </w:tr>
    </w:tbl>
    <w:p w14:paraId="3B4F23D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1"/>
          <w:szCs w:val="21"/>
          <w:lang w:eastAsia="en-US"/>
        </w:rPr>
      </w:pPr>
    </w:p>
    <w:p w14:paraId="749C676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1"/>
          <w:szCs w:val="21"/>
          <w:lang w:eastAsia="en-US"/>
        </w:rPr>
        <w:t>Supplementary Table S5. CHEERS 2022 reporting guideline checklist.</w:t>
      </w:r>
    </w:p>
    <w:tbl>
      <w:tblPr>
        <w:tblStyle w:val="3"/>
        <w:tblW w:w="5129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300"/>
        <w:gridCol w:w="4101"/>
        <w:gridCol w:w="1617"/>
      </w:tblGrid>
      <w:tr w14:paraId="6B33B81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1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6CE3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Item</w:t>
            </w:r>
          </w:p>
        </w:tc>
        <w:tc>
          <w:tcPr>
            <w:tcW w:w="131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7A45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Topic</w:t>
            </w:r>
          </w:p>
        </w:tc>
        <w:tc>
          <w:tcPr>
            <w:tcW w:w="23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79A1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Requirement</w:t>
            </w:r>
          </w:p>
        </w:tc>
        <w:tc>
          <w:tcPr>
            <w:tcW w:w="92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FD73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Page</w:t>
            </w:r>
          </w:p>
        </w:tc>
      </w:tr>
      <w:tr w14:paraId="0047862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DCA4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131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A1BF58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Title</w:t>
            </w:r>
          </w:p>
        </w:tc>
        <w:tc>
          <w:tcPr>
            <w:tcW w:w="23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45F6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Identifies as health economic evaluation</w:t>
            </w:r>
          </w:p>
        </w:tc>
        <w:tc>
          <w:tcPr>
            <w:tcW w:w="92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34EF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</w:t>
            </w:r>
          </w:p>
        </w:tc>
      </w:tr>
      <w:tr w14:paraId="4ABC9A1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23E53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5968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Abstract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E8B9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Structured abstract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4ACFB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</w:t>
            </w:r>
          </w:p>
        </w:tc>
      </w:tr>
      <w:tr w14:paraId="3C15D5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CCAE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D632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Background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D4B0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Context and significance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8DCB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2–3</w:t>
            </w:r>
          </w:p>
        </w:tc>
      </w:tr>
      <w:tr w14:paraId="6B28AF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5AE1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753C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Target population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87D1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14 prefectures of Xinjiang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E7183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</w:t>
            </w:r>
          </w:p>
        </w:tc>
      </w:tr>
      <w:tr w14:paraId="04ACF3E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DFF6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5189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Setting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3C92C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Xinjiang Uygur Autonomous Region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B1BC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3–4</w:t>
            </w:r>
          </w:p>
        </w:tc>
      </w:tr>
      <w:tr w14:paraId="20E3B47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971C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9D00E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Perspective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45D20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Health system + societal (nutrition)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EA853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</w:t>
            </w:r>
          </w:p>
        </w:tc>
      </w:tr>
      <w:tr w14:paraId="072616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389A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83DEC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Comparators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155C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Pre-2018 trend (counterfactual)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F481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4–5</w:t>
            </w:r>
          </w:p>
        </w:tc>
      </w:tr>
      <w:tr w14:paraId="2394625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868C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B8793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Time horizon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E057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2013–2024 (12 years)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9105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</w:t>
            </w:r>
          </w:p>
        </w:tc>
      </w:tr>
      <w:tr w14:paraId="4093FC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F4A6E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9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722F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Discount rate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3BD0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3% per annum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5559B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</w:t>
            </w:r>
          </w:p>
        </w:tc>
      </w:tr>
      <w:tr w14:paraId="356045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7BCC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DEE60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Outcomes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8061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TB incidence, DALYs averted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E3C0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4–5</w:t>
            </w:r>
          </w:p>
        </w:tc>
      </w:tr>
      <w:tr w14:paraId="720419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4A3F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11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478D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Effect measurement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CA54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ITS + SDM effect decomposition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37E6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4–6</w:t>
            </w:r>
          </w:p>
        </w:tc>
      </w:tr>
      <w:tr w14:paraId="36A249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29AB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12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70E5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Outcome valuation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222E0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GBD 2019 disability weights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4D52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5–6</w:t>
            </w:r>
          </w:p>
        </w:tc>
      </w:tr>
      <w:tr w14:paraId="4692D38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E8CA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13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B7E0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Resources/costs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BC688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Nutritional affordability (PAI)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7D3B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</w:t>
            </w:r>
          </w:p>
        </w:tc>
      </w:tr>
      <w:tr w14:paraId="7F9019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14EE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14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73E7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Currency/price year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A187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2013 constant CNY (CPI-deflated)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F77A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</w:t>
            </w:r>
          </w:p>
        </w:tc>
      </w:tr>
      <w:tr w14:paraId="5D485C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C05A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15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5C2B3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Model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FB210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Spatial Durbin Model (MLE)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382C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5–6</w:t>
            </w:r>
          </w:p>
        </w:tc>
      </w:tr>
      <w:tr w14:paraId="2EF3571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F846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16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B1C1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Assumptions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89D4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Over-controlling bias, exogeneity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61FE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</w:t>
            </w:r>
          </w:p>
        </w:tc>
      </w:tr>
      <w:tr w14:paraId="54595E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6565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17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29B2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Analytical methods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E1FAC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LeSage–Pace effect decomposition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D257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5–6</w:t>
            </w:r>
          </w:p>
        </w:tc>
      </w:tr>
      <w:tr w14:paraId="51B693E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42B5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18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E2EF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Study parameters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88F6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Tables 1–3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4471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7–9</w:t>
            </w:r>
          </w:p>
        </w:tc>
      </w:tr>
      <w:tr w14:paraId="76F184E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5722E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19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EB17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Incremental effects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7DE7C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ITS β₃ = −21.6/year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1A22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7</w:t>
            </w:r>
          </w:p>
        </w:tc>
      </w:tr>
      <w:tr w14:paraId="1B760C9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C4A1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82EC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Health outcomes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F944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DALYs: ~9,000 (2024)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B83B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10</w:t>
            </w:r>
          </w:p>
        </w:tc>
      </w:tr>
      <w:tr w14:paraId="2D2AC74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CF53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21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D035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Effect decomposition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66D3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Total effect = −94.15/100,000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6FADB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8–9</w:t>
            </w:r>
          </w:p>
        </w:tc>
      </w:tr>
      <w:tr w14:paraId="4F4950A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89AA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22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502A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Uncertainty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83EF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Monte Carlo SE (5,000 draws)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265F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8–9</w:t>
            </w:r>
          </w:p>
        </w:tc>
      </w:tr>
      <w:tr w14:paraId="7B75ED6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BA970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23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95D8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Heterogeneity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5165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Regional sub-group analysis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720E6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Suppl. Fig. S4</w:t>
            </w:r>
          </w:p>
        </w:tc>
      </w:tr>
      <w:tr w14:paraId="6AA7284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F9CE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24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C37D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Main findings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77479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PAI–TB systemic association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094C8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11–13</w:t>
            </w:r>
          </w:p>
        </w:tc>
      </w:tr>
      <w:tr w14:paraId="0A6C0F2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C474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25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79774F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Limitations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58CA0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N=14, COVID, endogeneity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067ED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13–14</w:t>
            </w:r>
          </w:p>
        </w:tc>
      </w:tr>
      <w:tr w14:paraId="775584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C347B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26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308BB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Generalizability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08422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County-level validation needed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84AD4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12</w:t>
            </w:r>
          </w:p>
        </w:tc>
      </w:tr>
      <w:tr w14:paraId="3C26972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A8FF9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27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C3DA7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Funding source</w:t>
            </w:r>
          </w:p>
        </w:tc>
        <w:tc>
          <w:tcPr>
            <w:tcW w:w="23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EE73A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See Funding statement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EEBD5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16</w:t>
            </w:r>
          </w:p>
        </w:tc>
      </w:tr>
      <w:tr w14:paraId="4C7FD2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CC6FB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28</w:t>
            </w:r>
          </w:p>
        </w:tc>
        <w:tc>
          <w:tcPr>
            <w:tcW w:w="131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09B48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Conflicts of interest</w:t>
            </w:r>
          </w:p>
        </w:tc>
        <w:tc>
          <w:tcPr>
            <w:tcW w:w="23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B9C11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None declared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77F5E">
            <w:pPr>
              <w:widowControl/>
              <w:snapToGrid w:val="0"/>
              <w:spacing w:after="1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16</w:t>
            </w:r>
          </w:p>
        </w:tc>
      </w:tr>
    </w:tbl>
    <w:p w14:paraId="26F7832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5960D0C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S6. Spatial bootstrap and lagged-variable sensitivity analysis.</w:t>
      </w:r>
    </w:p>
    <w:tbl>
      <w:tblPr>
        <w:tblStyle w:val="3"/>
        <w:tblW w:w="5129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2401"/>
        <w:gridCol w:w="1235"/>
        <w:gridCol w:w="1368"/>
        <w:gridCol w:w="2299"/>
      </w:tblGrid>
      <w:tr w14:paraId="576F9D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2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A1B5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Sensitivity Check</w:t>
            </w:r>
          </w:p>
        </w:tc>
        <w:tc>
          <w:tcPr>
            <w:tcW w:w="137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2B8B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Method</w:t>
            </w:r>
          </w:p>
        </w:tc>
        <w:tc>
          <w:tcPr>
            <w:tcW w:w="70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C646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PAI Total Effect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619F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ρ</w:t>
            </w:r>
          </w:p>
        </w:tc>
        <w:tc>
          <w:tcPr>
            <w:tcW w:w="131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3C4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Conclusion</w:t>
            </w:r>
          </w:p>
        </w:tc>
      </w:tr>
      <w:tr w14:paraId="2077D6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74B5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Spatial bootstrap</w:t>
            </w:r>
          </w:p>
        </w:tc>
        <w:tc>
          <w:tcPr>
            <w:tcW w:w="137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0AE1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5,000 resamples, block-bootstrap by year</w:t>
            </w:r>
          </w:p>
        </w:tc>
        <w:tc>
          <w:tcPr>
            <w:tcW w:w="70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7AFD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Negative, stable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3D6D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0.364 (P&lt;0.001)</w:t>
            </w:r>
          </w:p>
        </w:tc>
        <w:tc>
          <w:tcPr>
            <w:tcW w:w="131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50A2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SE robust to spatial dependence</w:t>
            </w:r>
          </w:p>
        </w:tc>
      </w:tr>
      <w:tr w14:paraId="07D7DA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44F8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t−1 lag (all covariates)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3C0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PAI, beds, physicians, GDP, urbanization lagged 1y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41AD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Negative, stable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4227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Comparable</w:t>
            </w:r>
          </w:p>
        </w:tc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5B08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Reduces reverse-causality bias</w:t>
            </w:r>
          </w:p>
        </w:tc>
      </w:tr>
      <w:tr w14:paraId="7277771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8D41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t−1 lag (PAI only)</w:t>
            </w:r>
          </w:p>
        </w:tc>
        <w:tc>
          <w:tcPr>
            <w:tcW w:w="137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BC8C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Only PAI lagged 1 year</w:t>
            </w:r>
          </w:p>
        </w:tc>
        <w:tc>
          <w:tcPr>
            <w:tcW w:w="70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597D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Negative, stable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FF31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Comparable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4D3EF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Core finding not simultaneity-driven</w:t>
            </w:r>
          </w:p>
        </w:tc>
      </w:tr>
    </w:tbl>
    <w:p w14:paraId="6BF61C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3903C8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S7. Spatial 2SLS first-stage instrumental variable diagnostics.</w:t>
      </w:r>
    </w:p>
    <w:tbl>
      <w:tblPr>
        <w:tblStyle w:val="3"/>
        <w:tblW w:w="513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1909"/>
        <w:gridCol w:w="2110"/>
        <w:gridCol w:w="2524"/>
      </w:tblGrid>
      <w:tr w14:paraId="0CC5C0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5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EE69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Diagnostic</w:t>
            </w:r>
          </w:p>
        </w:tc>
        <w:tc>
          <w:tcPr>
            <w:tcW w:w="109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3915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Value</w:t>
            </w:r>
          </w:p>
        </w:tc>
        <w:tc>
          <w:tcPr>
            <w:tcW w:w="120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D304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Criterion</w:t>
            </w:r>
          </w:p>
        </w:tc>
        <w:tc>
          <w:tcPr>
            <w:tcW w:w="144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4518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Conclusion</w:t>
            </w:r>
          </w:p>
        </w:tc>
      </w:tr>
      <w:tr w14:paraId="383D92E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2B5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First-stage F-statistic</w:t>
            </w:r>
          </w:p>
        </w:tc>
        <w:tc>
          <w:tcPr>
            <w:tcW w:w="109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8ED5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0.81</w:t>
            </w:r>
          </w:p>
        </w:tc>
        <w:tc>
          <w:tcPr>
            <w:tcW w:w="120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C36E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&gt;10 for strong instruments</w:t>
            </w:r>
          </w:p>
        </w:tc>
        <w:tc>
          <w:tcPr>
            <w:tcW w:w="14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8540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Weak instruments</w:t>
            </w:r>
          </w:p>
        </w:tc>
      </w:tr>
      <w:tr w14:paraId="6A2361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EF2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First-stage R²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8070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0.9247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7F56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2378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</w:tr>
      <w:tr w14:paraId="004EAD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4835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ln_temperature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8932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coef=0.036, P=0.707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B603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P&lt;0.05 significant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F57A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Not significant</w:t>
            </w:r>
          </w:p>
        </w:tc>
      </w:tr>
      <w:tr w14:paraId="58E3F3B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040E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ln_precipitation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5B01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coef=0.033, P=0.209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D776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P&lt;0.05 significant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7D63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Not significant</w:t>
            </w:r>
          </w:p>
        </w:tc>
      </w:tr>
      <w:tr w14:paraId="76551D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9B87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ln_sunshine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F4B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coef=−0.168, P=0.281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783E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P&lt;0.05 significant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2E7A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Not significant</w:t>
            </w:r>
          </w:p>
        </w:tc>
      </w:tr>
      <w:tr w14:paraId="15E3102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4119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ln_land_area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23F7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coef=0.041, P=0.689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015D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P&lt;0.05 significant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FD27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Not significant</w:t>
            </w:r>
          </w:p>
        </w:tc>
      </w:tr>
      <w:tr w14:paraId="5E134A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18BA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Sargan overidentification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404D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P=0.0004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48B6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P&gt;0.05 does not reject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A160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Instruments possibly endogenous</w:t>
            </w:r>
          </w:p>
        </w:tc>
      </w:tr>
      <w:tr w14:paraId="019669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09AE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2SLS ρ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C338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0.3782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D5BC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A512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Comparable to MLE ρ=0.364</w:t>
            </w:r>
          </w:p>
        </w:tc>
      </w:tr>
      <w:tr w14:paraId="61BBF4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3700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W × ln_PAI (2SLS)</w:t>
            </w:r>
          </w:p>
        </w:tc>
        <w:tc>
          <w:tcPr>
            <w:tcW w:w="109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CF41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−99.06 (P=0.037)</w:t>
            </w:r>
          </w:p>
        </w:tc>
        <w:tc>
          <w:tcPr>
            <w:tcW w:w="120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3781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44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F6AA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Negative, marginally significant</w:t>
            </w:r>
          </w:p>
        </w:tc>
      </w:tr>
    </w:tbl>
    <w:p w14:paraId="24AAF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57F0311A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S8. ITS sensitivity analysis with time-varying covariates.</w:t>
      </w:r>
    </w:p>
    <w:tbl>
      <w:tblPr>
        <w:tblStyle w:val="3"/>
        <w:tblW w:w="5128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4"/>
        <w:gridCol w:w="1176"/>
        <w:gridCol w:w="1312"/>
        <w:gridCol w:w="1191"/>
        <w:gridCol w:w="936"/>
        <w:gridCol w:w="950"/>
        <w:gridCol w:w="841"/>
      </w:tblGrid>
      <w:tr w14:paraId="5561BE6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3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44C1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Variable</w:t>
            </w:r>
          </w:p>
        </w:tc>
        <w:tc>
          <w:tcPr>
            <w:tcW w:w="67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3E4E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Xinjiang β</w:t>
            </w:r>
          </w:p>
        </w:tc>
        <w:tc>
          <w:tcPr>
            <w:tcW w:w="75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7013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Xinjiang SE</w:t>
            </w:r>
          </w:p>
        </w:tc>
        <w:tc>
          <w:tcPr>
            <w:tcW w:w="68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F5F3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Xinjiang P</w:t>
            </w:r>
          </w:p>
        </w:tc>
        <w:tc>
          <w:tcPr>
            <w:tcW w:w="53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D455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S.XJ β</w:t>
            </w:r>
          </w:p>
        </w:tc>
        <w:tc>
          <w:tcPr>
            <w:tcW w:w="54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D232F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S.XJ SE</w:t>
            </w:r>
          </w:p>
        </w:tc>
        <w:tc>
          <w:tcPr>
            <w:tcW w:w="48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E47C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S.XJ P</w:t>
            </w:r>
          </w:p>
        </w:tc>
      </w:tr>
      <w:tr w14:paraId="2B69C2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D4B0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Time (baseline trend)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6701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1.16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DF02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11.49</w:t>
            </w:r>
          </w:p>
        </w:tc>
        <w:tc>
          <w:tcPr>
            <w:tcW w:w="68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7BDA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0.920</w:t>
            </w: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FB07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29.82</w:t>
            </w:r>
          </w:p>
        </w:tc>
        <w:tc>
          <w:tcPr>
            <w:tcW w:w="5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7F0C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9.02</w:t>
            </w:r>
          </w:p>
        </w:tc>
        <w:tc>
          <w:tcPr>
            <w:tcW w:w="48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6355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0.002</w:t>
            </w:r>
          </w:p>
        </w:tc>
      </w:tr>
      <w:tr w14:paraId="3C398FF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7431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post_2018 (level change)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9B16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36.41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7DB2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30.16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901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0.229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B781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−100.95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568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24.08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E12F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&lt;0.001</w:t>
            </w:r>
          </w:p>
        </w:tc>
      </w:tr>
      <w:tr w14:paraId="7AC9E18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CB6F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time_since_2018 (β₃)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F442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−12.88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2D00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7.37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B344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0.104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295C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−23.28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801A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10.90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6039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0.100</w:t>
            </w:r>
          </w:p>
        </w:tc>
      </w:tr>
      <w:tr w14:paraId="45E9617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0239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ln_PAI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58C6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−64.29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4815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68.49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E415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0.349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C80A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−91.43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491A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44.27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9CD0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0.044</w:t>
            </w:r>
          </w:p>
        </w:tc>
      </w:tr>
      <w:tr w14:paraId="35AE5F1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83C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ln_GDP per capita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8C1A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16.35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7E88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52.36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09BA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0.755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FF37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−18.56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6BC7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35.76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50F2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0.606</w:t>
            </w:r>
          </w:p>
        </w:tc>
      </w:tr>
      <w:tr w14:paraId="2B7273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8842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Urbanization rate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3D27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−78.44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80E1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90.55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E4BD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0.388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CA2C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5.07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26A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86.36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4A08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0.953</w:t>
            </w:r>
          </w:p>
        </w:tc>
      </w:tr>
      <w:tr w14:paraId="76F9509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FB1C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ln_Beds per 10,000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6159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8.38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6B8D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44.58</w:t>
            </w:r>
          </w:p>
        </w:tc>
        <w:tc>
          <w:tcPr>
            <w:tcW w:w="68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2F54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0.851</w:t>
            </w:r>
          </w:p>
        </w:tc>
        <w:tc>
          <w:tcPr>
            <w:tcW w:w="53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D695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−25.86</w:t>
            </w:r>
          </w:p>
        </w:tc>
        <w:tc>
          <w:tcPr>
            <w:tcW w:w="54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BDAD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43.46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7F95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0.555</w:t>
            </w:r>
          </w:p>
        </w:tc>
      </w:tr>
    </w:tbl>
    <w:p w14:paraId="3B38EC4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left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  <w:t>Note: Covariates absorb part of intervention effect. Xinjiang-wide VIF: time=49.9, ln_GDP=43.1, ln_PAI=26.2, time_since_2018=16.4, urbanization=13.1, post_2018=7.0, ln_beds=2.7. R²: Xinjiang-wide=0.202, Southern Xinjiang=0.513.</w:t>
      </w:r>
    </w:p>
    <w:p w14:paraId="0F0E892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1A21544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S9. Spatial weight matrix sensitivity analysis.</w:t>
      </w:r>
    </w:p>
    <w:tbl>
      <w:tblPr>
        <w:tblStyle w:val="3"/>
        <w:tblW w:w="5129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0"/>
        <w:gridCol w:w="707"/>
        <w:gridCol w:w="1427"/>
        <w:gridCol w:w="969"/>
        <w:gridCol w:w="3579"/>
      </w:tblGrid>
      <w:tr w14:paraId="24683A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72EF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Spatial Weight Matrix</w:t>
            </w:r>
          </w:p>
        </w:tc>
        <w:tc>
          <w:tcPr>
            <w:tcW w:w="40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BA45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ρ</w:t>
            </w:r>
          </w:p>
        </w:tc>
        <w:tc>
          <w:tcPr>
            <w:tcW w:w="81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7384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PAI Total Effect</w:t>
            </w:r>
          </w:p>
        </w:tc>
        <w:tc>
          <w:tcPr>
            <w:tcW w:w="55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1597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 (Total)</w:t>
            </w:r>
          </w:p>
        </w:tc>
        <w:tc>
          <w:tcPr>
            <w:tcW w:w="204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9080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Interpretation</w:t>
            </w:r>
          </w:p>
        </w:tc>
      </w:tr>
      <w:tr w14:paraId="3029E94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A8A9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Queen contiguity (1st order)</w:t>
            </w: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E480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0.364</w:t>
            </w:r>
          </w:p>
        </w:tc>
        <w:tc>
          <w:tcPr>
            <w:tcW w:w="81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4182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−94.15</w:t>
            </w:r>
          </w:p>
        </w:tc>
        <w:tc>
          <w:tcPr>
            <w:tcW w:w="55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F38E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0.069</w:t>
            </w:r>
          </w:p>
        </w:tc>
        <w:tc>
          <w:tcPr>
            <w:tcW w:w="204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36B25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Primary: equal weight adjacent prefectures</w:t>
            </w:r>
          </w:p>
        </w:tc>
      </w:tr>
      <w:tr w14:paraId="1DFE14F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3270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Economic distance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9929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0.290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A412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−110.38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307E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0.017</w:t>
            </w:r>
          </w:p>
        </w:tc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3DD3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Stronger PAI effect; economic gradient more relevant</w:t>
            </w:r>
          </w:p>
        </w:tc>
      </w:tr>
      <w:tr w14:paraId="229AC1A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3083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K-nearest neighbor (K=4)</w:t>
            </w:r>
          </w:p>
        </w:tc>
        <w:tc>
          <w:tcPr>
            <w:tcW w:w="40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2882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0.470</w:t>
            </w:r>
          </w:p>
        </w:tc>
        <w:tc>
          <w:tcPr>
            <w:tcW w:w="81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8093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−112.04</w:t>
            </w:r>
          </w:p>
        </w:tc>
        <w:tc>
          <w:tcPr>
            <w:tcW w:w="55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7852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0.077</w:t>
            </w:r>
          </w:p>
        </w:tc>
        <w:tc>
          <w:tcPr>
            <w:tcW w:w="204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E01B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Higher ρ; dense connectivity; marginal significance</w:t>
            </w:r>
          </w:p>
        </w:tc>
      </w:tr>
    </w:tbl>
    <w:p w14:paraId="70B4D5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1"/>
          <w:szCs w:val="21"/>
          <w:lang w:eastAsia="en-US"/>
        </w:rPr>
      </w:pPr>
    </w:p>
    <w:p w14:paraId="7ABAF9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1"/>
          <w:szCs w:val="21"/>
          <w:lang w:eastAsia="en-US"/>
        </w:rPr>
        <w:t>Supplementary Table S10. COVID-19 counterfactual boundary estimation.</w:t>
      </w:r>
    </w:p>
    <w:tbl>
      <w:tblPr>
        <w:tblStyle w:val="3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4"/>
        <w:gridCol w:w="1535"/>
        <w:gridCol w:w="3448"/>
      </w:tblGrid>
      <w:tr w14:paraId="526A09B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07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D070B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Scenario</w:t>
            </w:r>
          </w:p>
        </w:tc>
        <w:tc>
          <w:tcPr>
            <w:tcW w:w="90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5B07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β₃ (/100,000/yr)</w:t>
            </w:r>
          </w:p>
        </w:tc>
        <w:tc>
          <w:tcPr>
            <w:tcW w:w="202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800D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Description</w:t>
            </w:r>
          </w:p>
        </w:tc>
      </w:tr>
      <w:tr w14:paraId="1A3A8AC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376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Full-sample ITS</w:t>
            </w:r>
          </w:p>
        </w:tc>
        <w:tc>
          <w:tcPr>
            <w:tcW w:w="90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E9F0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−21.62</w:t>
            </w:r>
          </w:p>
        </w:tc>
        <w:tc>
          <w:tcPr>
            <w:tcW w:w="202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B73E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Includes COVID-19 NPI contribution</w:t>
            </w:r>
          </w:p>
        </w:tc>
      </w:tr>
      <w:tr w14:paraId="0FC174C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D0CF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Excluding 2020–2022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3BA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−22.31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CD4A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COVID empirical contribution: −3.2%</w:t>
            </w:r>
          </w:p>
        </w:tc>
      </w:tr>
      <w:tr w14:paraId="17F305F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882A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Literature benchmark (20% attrib.)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1D72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−17.3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082A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Based on WHO 2021 Global TB Report</w:t>
            </w:r>
          </w:p>
        </w:tc>
      </w:tr>
      <w:tr w14:paraId="71819C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15D7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Xinjiang Model independent effect range</w:t>
            </w:r>
          </w:p>
        </w:tc>
        <w:tc>
          <w:tcPr>
            <w:tcW w:w="90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B3AE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−17.3 to −21.6</w:t>
            </w:r>
          </w:p>
        </w:tc>
        <w:tc>
          <w:tcPr>
            <w:tcW w:w="202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35AF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40037D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4ECF75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S11. Post hoc statistical power analysis.</w:t>
      </w:r>
    </w:p>
    <w:tbl>
      <w:tblPr>
        <w:tblStyle w:val="3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753"/>
        <w:gridCol w:w="1866"/>
        <w:gridCol w:w="2378"/>
      </w:tblGrid>
      <w:tr w14:paraId="3CCBAA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7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E697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Effect Size Multiplier</w:t>
            </w:r>
          </w:p>
        </w:tc>
        <w:tc>
          <w:tcPr>
            <w:tcW w:w="102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2843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|Indirect Effect|</w:t>
            </w:r>
          </w:p>
        </w:tc>
        <w:tc>
          <w:tcPr>
            <w:tcW w:w="109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C406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Statistical Power</w:t>
            </w:r>
          </w:p>
        </w:tc>
        <w:tc>
          <w:tcPr>
            <w:tcW w:w="139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DAD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Assessment</w:t>
            </w:r>
          </w:p>
        </w:tc>
      </w:tr>
      <w:tr w14:paraId="5ACB03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9FE4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0.5×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11D3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50.0</w:t>
            </w:r>
          </w:p>
        </w:tc>
        <w:tc>
          <w:tcPr>
            <w:tcW w:w="109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4755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0.212</w:t>
            </w:r>
          </w:p>
        </w:tc>
        <w:tc>
          <w:tcPr>
            <w:tcW w:w="139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50D3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Inadequate</w:t>
            </w:r>
          </w:p>
        </w:tc>
      </w:tr>
      <w:tr w14:paraId="0409AD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B261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1.0× (observed)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706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100.1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7948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0.683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CB54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Moderate (0.50–0.80)</w:t>
            </w:r>
          </w:p>
        </w:tc>
      </w:tr>
      <w:tr w14:paraId="67A25A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B780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1.5×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B85D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150.1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2B59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0.963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98B5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Adequate (&gt;0.80)</w:t>
            </w:r>
          </w:p>
        </w:tc>
      </w:tr>
      <w:tr w14:paraId="757203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D5F7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2.0×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CFD7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200.1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C867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0.998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8395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Adequate (&gt;0.80)</w:t>
            </w:r>
          </w:p>
        </w:tc>
      </w:tr>
      <w:tr w14:paraId="5D3E10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0C3C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3.0×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7824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300.2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7691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1.000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1EC1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Adequate (&gt;0.80)</w:t>
            </w:r>
          </w:p>
        </w:tc>
      </w:tr>
      <w:tr w14:paraId="6DCF04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9F98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4.0×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8062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400.2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9D98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1.000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8E2D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Adequate (&gt;0.80)</w:t>
            </w:r>
          </w:p>
        </w:tc>
      </w:tr>
      <w:tr w14:paraId="0DEFB56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E0BFD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5.0×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4B5E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500.3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6AC3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1.000</w:t>
            </w:r>
          </w:p>
        </w:tc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26E9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Adequate (&gt;0.80)</w:t>
            </w:r>
          </w:p>
        </w:tc>
      </w:tr>
      <w:tr w14:paraId="2D37C50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CDF8D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Required N (80% power)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9CA6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19 prefectures</w:t>
            </w:r>
          </w:p>
        </w:tc>
        <w:tc>
          <w:tcPr>
            <w:tcW w:w="10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6234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—</w:t>
            </w:r>
          </w:p>
        </w:tc>
        <w:tc>
          <w:tcPr>
            <w:tcW w:w="13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ACF2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County N≈90 sufficient</w:t>
            </w:r>
          </w:p>
        </w:tc>
      </w:tr>
    </w:tbl>
    <w:p w14:paraId="167D51D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left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  <w:t>Power via Monte Carlo simulation, N=14, ρ=0.364, observed indirect effect (−100.06, SE=41.14).</w:t>
      </w:r>
    </w:p>
    <w:p w14:paraId="76C36C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</w:pPr>
    </w:p>
    <w:p w14:paraId="57C609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kern w:val="0"/>
          <w:sz w:val="24"/>
          <w:szCs w:val="24"/>
          <w:lang w:eastAsia="en-US"/>
        </w:rPr>
        <w:t>Supplementary Table S12. Leave-one-out sensitivity analysis.</w:t>
      </w:r>
    </w:p>
    <w:tbl>
      <w:tblPr>
        <w:tblStyle w:val="3"/>
        <w:tblW w:w="4998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6"/>
        <w:gridCol w:w="1166"/>
        <w:gridCol w:w="2437"/>
      </w:tblGrid>
      <w:tr w14:paraId="0C8EEE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8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53AB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Excluded Prefecture</w:t>
            </w:r>
          </w:p>
        </w:tc>
        <w:tc>
          <w:tcPr>
            <w:tcW w:w="68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F9EC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ρ</w:t>
            </w:r>
          </w:p>
        </w:tc>
        <w:tc>
          <w:tcPr>
            <w:tcW w:w="143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117D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b/>
                <w:kern w:val="0"/>
                <w:sz w:val="21"/>
                <w:szCs w:val="21"/>
                <w:lang w:eastAsia="en-US"/>
              </w:rPr>
              <w:t>PAI Total Effect</w:t>
            </w:r>
          </w:p>
        </w:tc>
      </w:tr>
      <w:tr w14:paraId="4447063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C86A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Changji Hui Autonomous Pref.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F7E0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0.3086</w:t>
            </w:r>
          </w:p>
        </w:tc>
        <w:tc>
          <w:tcPr>
            <w:tcW w:w="143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1796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−112.17</w:t>
            </w:r>
          </w:p>
        </w:tc>
      </w:tr>
      <w:tr w14:paraId="52DB425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589C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Hotan (Khotan)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0DA5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0.3327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1D51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−110.06</w:t>
            </w:r>
          </w:p>
        </w:tc>
      </w:tr>
      <w:tr w14:paraId="581B1A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A954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Bayingolin Mongol Autonomous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670B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0.3776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560E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−102.57</w:t>
            </w:r>
          </w:p>
        </w:tc>
      </w:tr>
      <w:tr w14:paraId="0E015AF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73BA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Ili Kazakh Autonomous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103C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0.3683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5D24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−99.53</w:t>
            </w:r>
          </w:p>
        </w:tc>
      </w:tr>
      <w:tr w14:paraId="7F3809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168A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Bortala Mongol Autonomous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1BDA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0.4613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9C6B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−98.64</w:t>
            </w:r>
          </w:p>
        </w:tc>
      </w:tr>
      <w:tr w14:paraId="4442E5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C470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Ürümqi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195C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0.3534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5D96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−96.86</w:t>
            </w:r>
          </w:p>
        </w:tc>
      </w:tr>
      <w:tr w14:paraId="51BDCF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05A5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Altay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4B9E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0.3040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BE52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−94.68</w:t>
            </w:r>
          </w:p>
        </w:tc>
      </w:tr>
      <w:tr w14:paraId="1EC21B7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776F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Tacheng (Tarbagatay)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CF9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0.3356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C112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−90.21</w:t>
            </w:r>
          </w:p>
        </w:tc>
      </w:tr>
      <w:tr w14:paraId="6D84C5F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4200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Kizilsu Kirghiz Autonomous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0DCA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0.3602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46A5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−89.60</w:t>
            </w:r>
          </w:p>
        </w:tc>
      </w:tr>
      <w:tr w14:paraId="0A4625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D573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Hami (Kumul)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C103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0.3006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681E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−89.24</w:t>
            </w:r>
          </w:p>
        </w:tc>
      </w:tr>
      <w:tr w14:paraId="5B0B12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1264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Karamay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0FC7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0.3274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9922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−87.25</w:t>
            </w:r>
          </w:p>
        </w:tc>
      </w:tr>
      <w:tr w14:paraId="416318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C5D3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Kashgar (Kashi)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22B8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0.3336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BB3C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−87.21</w:t>
            </w:r>
          </w:p>
        </w:tc>
      </w:tr>
      <w:tr w14:paraId="02A904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5A20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Aksu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542E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0.3246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86D5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−84.25</w:t>
            </w:r>
          </w:p>
        </w:tc>
      </w:tr>
      <w:tr w14:paraId="210823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C913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Turpan (Tulufan) Pref.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4275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0.2873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AD9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−75.97</w:t>
            </w:r>
          </w:p>
        </w:tc>
      </w:tr>
      <w:tr w14:paraId="335C43B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8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6C26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Full sample (baseline)</w:t>
            </w:r>
          </w:p>
        </w:tc>
        <w:tc>
          <w:tcPr>
            <w:tcW w:w="68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956B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0.3643</w:t>
            </w:r>
          </w:p>
        </w:tc>
        <w:tc>
          <w:tcPr>
            <w:tcW w:w="143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211F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ＭＳ 明朝" w:cs="Times New Roman"/>
                <w:kern w:val="0"/>
                <w:sz w:val="21"/>
                <w:szCs w:val="21"/>
                <w:lang w:eastAsia="en-US"/>
              </w:rPr>
              <w:t>−92.53</w:t>
            </w:r>
          </w:p>
        </w:tc>
      </w:tr>
    </w:tbl>
    <w:p w14:paraId="186287C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left"/>
        <w:textAlignment w:val="auto"/>
        <w:rPr>
          <w:rFonts w:ascii="Times New Roman" w:hAnsi="Times New Roman" w:eastAsia="宋体" w:cs="Times New Roman"/>
          <w:kern w:val="0"/>
          <w:sz w:val="21"/>
          <w:szCs w:val="21"/>
          <w:lang w:eastAsia="en-US"/>
        </w:rPr>
      </w:pPr>
      <w:r>
        <w:t>PAI total effect direction negative across all 14 exclusions, confirming robustness to single-prefecture influence. The full-sample baseline in the leave-one-out model (−92.53) differs from Table 2 (−94.15) because the leave-one-out specification excludes nurse density to maintain model convergence across all 14 subsamples.</w:t>
      </w:r>
    </w:p>
    <w:p w14:paraId="738E361A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1"/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lang w:val="en-US" w:eastAsia="en-US" w:bidi="ar-SA"/>
        </w:rPr>
      </w:pPr>
    </w:p>
    <w:p w14:paraId="247DA2C1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outlineLvl w:val="1"/>
        <w:rPr>
          <w:rFonts w:ascii="Times New Roman" w:hAnsi="Times New Roman" w:eastAsia="宋体" w:cs="Times New Roman"/>
          <w:b/>
          <w:bCs/>
          <w:color w:val="4F81BD"/>
          <w:sz w:val="28"/>
          <w:szCs w:val="28"/>
          <w:lang w:val="en-US" w:eastAsia="en-US" w:bidi="ar-SA"/>
        </w:rPr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  <w:lang w:val="en-US" w:eastAsia="en-US" w:bidi="ar-SA"/>
        </w:rPr>
        <w:t>Supplementary Figures</w:t>
      </w:r>
    </w:p>
    <w:p w14:paraId="6C35708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  <w:drawing>
          <wp:inline distT="0" distB="0" distL="114300" distR="114300">
            <wp:extent cx="4572000" cy="375729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5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CE0E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Supplementary Figure S1: Directed Acyclic Graph (DAG) of the hypothesized causal framework—nutritional affordability (PAI), spatial dependence (rho), and TB incidence. Solid arrows denote hypothesized causal paths; dashed arrows denote feedback/secondary pathways; dotted arrows denote confounding (COVID-19 NPIs).</w:t>
      </w:r>
    </w:p>
    <w:p w14:paraId="65DD4C9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  <w:drawing>
          <wp:inline distT="0" distB="0" distL="114300" distR="114300">
            <wp:extent cx="4572000" cy="201803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1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7F51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Supplementary Figure S2: Multi-dimensional supplementary analyses. (a) Global Moran’s I trajectory for PAI and TB incidence, 2013–2024; filled markers = P &lt; 0.05. (b) PAI construct validity: Pearson correlations with health and economic indicators. (c) COVID-19 counterfactual bounding with Xinjiang Model effect range. (d) Regional heterogeneity: SDM estimates for Xinjiang-wide (N = 14), Northern (N = 7), and Southern (N = 5) Xinjiang.</w:t>
      </w:r>
    </w:p>
    <w:p w14:paraId="464F4BBE">
      <w:r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  <w:drawing>
          <wp:inline distT="0" distB="0" distL="114300" distR="114300">
            <wp:extent cx="4572000" cy="33680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36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5140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Supplementary Figure S3: XGBoost-SHAP feature importance ranking (mean |SHAP|, top 12 features) and SHAP dependence plots for the six highest-importance features (PAI, bed density, GDP per capita, urbanization, physician density, nurse density), plus post-2018 intervention SHAP value distribution.</w:t>
      </w:r>
    </w:p>
    <w:p w14:paraId="5E496F7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</w:p>
    <w:p w14:paraId="2EAFF72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  <w:drawing>
          <wp:inline distT="0" distB="0" distL="114300" distR="114300">
            <wp:extent cx="4572000" cy="3583305"/>
            <wp:effectExtent l="0" t="0" r="0" b="133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6E82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Supplementary Figure S4: Leave-one-out sensitivity analysis and spatial placebo test. (a) PAI total effects from SDM re-estimation with each prefecture sequentially excluded; red line = full-sample baseline with 95% CI. (b) Null distribution of PAI total effects under 1,000 random permutations of the spatial weight matrix; red line = observed value with empirical P.</w:t>
      </w:r>
    </w:p>
    <w:p w14:paraId="0D41583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</w:p>
    <w:p w14:paraId="7658005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60F0D"/>
    <w:rsid w:val="0A60366D"/>
    <w:rsid w:val="2AA25897"/>
    <w:rsid w:val="2C484235"/>
    <w:rsid w:val="3A812860"/>
    <w:rsid w:val="517F7502"/>
    <w:rsid w:val="56EC2E4B"/>
    <w:rsid w:val="746F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740</Words>
  <Characters>4898</Characters>
  <Lines>0</Lines>
  <Paragraphs>0</Paragraphs>
  <TotalTime>5</TotalTime>
  <ScaleCrop>false</ScaleCrop>
  <LinksUpToDate>false</LinksUpToDate>
  <CharactersWithSpaces>5300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2026-06-21T16:49:00Z</dcterms:created>
  <dc:creator>梁辰</dc:creator>
  <cp:lastModifiedBy>WPS_1653566225</cp:lastModifiedBy>
  <dcterms:modified xsi:type="dcterms:W3CDTF">2026-06-27T11:44:15Z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eyJoZGlkIjoiNTEyMjkxMGUwOGU5MTc2ZGEyNjRlZDJmNDZlYzE2ZDgiLCJ1c2VySWQiOiIxMzc1MTM1NzUyIn0=</vt:lpwstr>
  </property>
  <property fmtid="{D5CDD505-2E9C-101B-9397-08002B2CF9AE}" pid="4" name="ICV">
    <vt:lpwstr>CF7036CD684B48AFA02011AD9F4BE113_12</vt:lpwstr>
  </property>
</Properties>
</file>