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AC20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/>
        <w:jc w:val="both"/>
        <w:textAlignment w:val="auto"/>
        <w:rPr>
          <w:rFonts w:hint="default" w:ascii="Times New Roman Regular" w:hAnsi="Times New Roman Regular" w:eastAsia="宋体" w:cs="Times New Roman Regular"/>
          <w:kern w:val="0"/>
          <w:sz w:val="24"/>
          <w:szCs w:val="24"/>
          <w:lang/>
        </w:rPr>
      </w:pPr>
    </w:p>
    <w:p w14:paraId="6A2A68E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jc w:val="both"/>
        <w:textAlignment w:val="auto"/>
        <w:rPr>
          <w:rFonts w:hint="default" w:ascii="Times New Roman Regular" w:hAnsi="Times New Roman Regular" w:eastAsia="宋体" w:cs="Times New Roman Regular"/>
          <w:b/>
          <w:bCs/>
          <w:kern w:val="0"/>
          <w:sz w:val="21"/>
          <w:szCs w:val="21"/>
          <w:lang w:val="en-US" w:eastAsia="zh-CN" w:bidi="ar"/>
        </w:rPr>
      </w:pPr>
      <w:r>
        <w:rPr>
          <w:rFonts w:hint="default" w:ascii="Times New Roman Regular" w:hAnsi="Times New Roman Regular" w:eastAsia="宋体" w:cs="Times New Roman Regular"/>
          <w:b/>
          <w:bCs/>
          <w:kern w:val="0"/>
          <w:sz w:val="21"/>
          <w:szCs w:val="21"/>
          <w:lang w:val="en-US" w:eastAsia="zh-CN" w:bidi="ar"/>
        </w:rPr>
        <w:t>Table S1. Interannual (year) and year × salinity effects on all measured variables</w:t>
      </w:r>
    </w:p>
    <w:p w14:paraId="1C422F5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/>
        <w:jc w:val="both"/>
        <w:textAlignment w:val="auto"/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 xml:space="preserve">Linear mixed models (response ~ salinity × year + (1 | plot)) fitted to the two-season data (2024, 2025); salinity as a three-level factor. Because the design is a balanced split-plot in time (8 plots per salinity class, each surveyed in both years), the year and year × salinity terms are tested on 1 and 2 numerator degrees of freedom, respectively, against 21 residual degrees of freedom. No year effect and no year × salinity interaction was significant for any variable (all year </w:t>
      </w:r>
      <w:r>
        <w:rPr>
          <w:rFonts w:hint="default" w:ascii="Times New Roman Italic" w:hAnsi="Times New Roman Italic" w:eastAsia="宋体" w:cs="Times New Roman Italic"/>
          <w:i/>
          <w:iCs/>
          <w:kern w:val="0"/>
          <w:sz w:val="21"/>
          <w:szCs w:val="21"/>
          <w:lang w:val="en-US" w:eastAsia="zh-CN" w:bidi="ar"/>
        </w:rPr>
        <w:t>P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 xml:space="preserve"> &gt; 0.35; all interaction</w:t>
      </w:r>
      <w:r>
        <w:rPr>
          <w:rFonts w:hint="default" w:ascii="Times New Roman Italic" w:hAnsi="Times New Roman Italic" w:eastAsia="宋体" w:cs="Times New Roman Italic"/>
          <w:i/>
          <w:iCs/>
          <w:kern w:val="0"/>
          <w:sz w:val="21"/>
          <w:szCs w:val="21"/>
          <w:lang w:val="en-US" w:eastAsia="zh-CN" w:bidi="ar"/>
        </w:rPr>
        <w:t xml:space="preserve"> P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 xml:space="preserve"> &gt; 0.30), justifying pooling of the two years to plot-level means (Section 2.8). </w:t>
      </w:r>
      <w:r>
        <w:rPr>
          <w:rFonts w:hint="default" w:ascii="Times New Roman Regular" w:hAnsi="Times New Roman Regular" w:eastAsia="宋体" w:cs="Times New Roman Regular"/>
          <w:i/>
          <w:kern w:val="0"/>
          <w:sz w:val="21"/>
          <w:szCs w:val="21"/>
          <w:lang w:val="en-US" w:eastAsia="zh-CN" w:bidi="ar"/>
        </w:rPr>
        <w:t>F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 xml:space="preserve"> and </w:t>
      </w:r>
      <w:r>
        <w:rPr>
          <w:rFonts w:hint="default" w:ascii="Times New Roman Regular" w:hAnsi="Times New Roman Regular" w:eastAsia="宋体" w:cs="Times New Roman Regular"/>
          <w:i/>
          <w:kern w:val="0"/>
          <w:sz w:val="21"/>
          <w:szCs w:val="21"/>
          <w:lang w:val="en-US" w:eastAsia="zh-CN" w:bidi="ar"/>
        </w:rPr>
        <w:t>P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 xml:space="preserve"> are Type III tests.</w:t>
      </w:r>
    </w:p>
    <w:tbl>
      <w:tblPr>
        <w:tblStyle w:val="2"/>
        <w:tblW w:w="9439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3350"/>
        <w:gridCol w:w="1523"/>
        <w:gridCol w:w="933"/>
        <w:gridCol w:w="1956"/>
        <w:gridCol w:w="1677"/>
      </w:tblGrid>
      <w:tr w14:paraId="41AD9D1D">
        <w:trPr>
          <w:tblHeader/>
        </w:trPr>
        <w:tc>
          <w:tcPr>
            <w:tcW w:w="335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9AF0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Variable</w:t>
            </w:r>
          </w:p>
        </w:tc>
        <w:tc>
          <w:tcPr>
            <w:tcW w:w="152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43E8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 xml:space="preserve">Year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/>
                <w:kern w:val="0"/>
                <w:sz w:val="21"/>
                <w:szCs w:val="21"/>
                <w:lang w:val="en-US" w:eastAsia="zh-CN" w:bidi="ar"/>
              </w:rPr>
              <w:t>F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vertAlign w:val="subscript"/>
                <w:lang w:val="en-US" w:eastAsia="zh-CN" w:bidi="ar"/>
              </w:rPr>
              <w:t>1,21</w:t>
            </w:r>
          </w:p>
        </w:tc>
        <w:tc>
          <w:tcPr>
            <w:tcW w:w="93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6CE2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 xml:space="preserve">Year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/>
                <w:kern w:val="0"/>
                <w:sz w:val="21"/>
                <w:szCs w:val="21"/>
                <w:lang w:val="en-US" w:eastAsia="zh-CN" w:bidi="ar"/>
              </w:rPr>
              <w:t>P</w:t>
            </w:r>
          </w:p>
        </w:tc>
        <w:tc>
          <w:tcPr>
            <w:tcW w:w="195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F200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 xml:space="preserve">Year × Salinity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/>
                <w:kern w:val="0"/>
                <w:sz w:val="21"/>
                <w:szCs w:val="21"/>
                <w:lang w:val="en-US" w:eastAsia="zh-CN" w:bidi="ar"/>
              </w:rPr>
              <w:t>F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vertAlign w:val="subscript"/>
                <w:lang w:val="en-US" w:eastAsia="zh-CN" w:bidi="ar"/>
              </w:rPr>
              <w:t>2,21</w:t>
            </w:r>
          </w:p>
        </w:tc>
        <w:tc>
          <w:tcPr>
            <w:tcW w:w="167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A0E3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 xml:space="preserve">Year × Salinity 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/>
                <w:kern w:val="0"/>
                <w:sz w:val="21"/>
                <w:szCs w:val="21"/>
                <w:lang w:val="en-US" w:eastAsia="zh-CN" w:bidi="ar"/>
              </w:rPr>
              <w:t>P</w:t>
            </w:r>
          </w:p>
        </w:tc>
      </w:tr>
      <w:tr w14:paraId="6F769B69">
        <w:tc>
          <w:tcPr>
            <w:tcW w:w="335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4A57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Soil ECe</w:t>
            </w:r>
          </w:p>
        </w:tc>
        <w:tc>
          <w:tcPr>
            <w:tcW w:w="152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E790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0.31</w:t>
            </w:r>
          </w:p>
        </w:tc>
        <w:tc>
          <w:tcPr>
            <w:tcW w:w="93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1EF6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0.58</w:t>
            </w:r>
          </w:p>
        </w:tc>
        <w:tc>
          <w:tcPr>
            <w:tcW w:w="195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ED09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0.42</w:t>
            </w:r>
          </w:p>
        </w:tc>
        <w:tc>
          <w:tcPr>
            <w:tcW w:w="167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260E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0.66</w:t>
            </w:r>
          </w:p>
        </w:tc>
      </w:tr>
      <w:tr w14:paraId="54D02E69">
        <w:tc>
          <w:tcPr>
            <w:tcW w:w="3350" w:type="dxa"/>
            <w:shd w:val="clear" w:color="auto" w:fill="auto"/>
            <w:vAlign w:val="center"/>
          </w:tcPr>
          <w:p w14:paraId="127EE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Total soluble salts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34770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0.18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4FBAE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0.68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C794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0.55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4FB0B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0.58</w:t>
            </w:r>
          </w:p>
        </w:tc>
      </w:tr>
      <w:tr w14:paraId="4EEF59F7">
        <w:tc>
          <w:tcPr>
            <w:tcW w:w="3350" w:type="dxa"/>
            <w:shd w:val="clear" w:color="auto" w:fill="auto"/>
            <w:vAlign w:val="center"/>
          </w:tcPr>
          <w:p w14:paraId="36871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Soil Na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vertAlign w:val="superscript"/>
                <w:lang w:val="en-US" w:eastAsia="zh-CN" w:bidi="ar"/>
              </w:rPr>
              <w:t>+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15F6D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0.44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4D6E6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0.51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7624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0.29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4A7D5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0.75</w:t>
            </w:r>
          </w:p>
        </w:tc>
      </w:tr>
      <w:tr w14:paraId="3C09F398">
        <w:tc>
          <w:tcPr>
            <w:tcW w:w="3350" w:type="dxa"/>
            <w:shd w:val="clear" w:color="auto" w:fill="auto"/>
            <w:vAlign w:val="center"/>
          </w:tcPr>
          <w:p w14:paraId="573A1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Soil pH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6F54B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0.08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70A15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0.78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7FB2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0.61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2FBD0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0.55</w:t>
            </w:r>
          </w:p>
        </w:tc>
      </w:tr>
      <w:tr w14:paraId="45C3F227">
        <w:tc>
          <w:tcPr>
            <w:tcW w:w="3350" w:type="dxa"/>
            <w:shd w:val="clear" w:color="auto" w:fill="auto"/>
            <w:vAlign w:val="center"/>
          </w:tcPr>
          <w:p w14:paraId="7E113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Soil total N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7CE35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0.52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62AB9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0.48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5053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0.37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1CF9E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0.69</w:t>
            </w:r>
          </w:p>
        </w:tc>
      </w:tr>
      <w:tr w14:paraId="0793E7E3">
        <w:tc>
          <w:tcPr>
            <w:tcW w:w="3350" w:type="dxa"/>
            <w:shd w:val="clear" w:color="auto" w:fill="auto"/>
            <w:vAlign w:val="center"/>
          </w:tcPr>
          <w:p w14:paraId="13B73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Soil available N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3B14F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0.66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08CDC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0.43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45A8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0.71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11EFF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0.50</w:t>
            </w:r>
          </w:p>
        </w:tc>
      </w:tr>
      <w:tr w14:paraId="44DAE167">
        <w:tc>
          <w:tcPr>
            <w:tcW w:w="3350" w:type="dxa"/>
            <w:shd w:val="clear" w:color="auto" w:fill="auto"/>
            <w:vAlign w:val="center"/>
          </w:tcPr>
          <w:p w14:paraId="0ADA1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Soil δ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vertAlign w:val="superscript"/>
                <w:lang w:val="en-US" w:eastAsia="zh-CN" w:bidi="ar"/>
              </w:rPr>
              <w:t>15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N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5253D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0.24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5BA9F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0.63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0121A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0.48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64EC1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0.62</w:t>
            </w:r>
          </w:p>
        </w:tc>
      </w:tr>
      <w:tr w14:paraId="453CED12">
        <w:tc>
          <w:tcPr>
            <w:tcW w:w="3350" w:type="dxa"/>
            <w:shd w:val="clear" w:color="auto" w:fill="auto"/>
            <w:vAlign w:val="center"/>
          </w:tcPr>
          <w:p w14:paraId="178CD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Soil water content (0–30 cm)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1FDCF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0.79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7EF2B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0.38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5931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0.83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78873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0.45</w:t>
            </w:r>
          </w:p>
        </w:tc>
      </w:tr>
      <w:tr w14:paraId="32547E1E">
        <w:tc>
          <w:tcPr>
            <w:tcW w:w="3350" w:type="dxa"/>
            <w:shd w:val="clear" w:color="auto" w:fill="auto"/>
            <w:vAlign w:val="center"/>
          </w:tcPr>
          <w:p w14:paraId="76448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Groundwater depth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73259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0.13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45AC3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0.72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B59C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0.34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0814F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0.71</w:t>
            </w:r>
          </w:p>
        </w:tc>
      </w:tr>
      <w:tr w14:paraId="78E93D4E">
        <w:tc>
          <w:tcPr>
            <w:tcW w:w="3350" w:type="dxa"/>
            <w:shd w:val="clear" w:color="auto" w:fill="auto"/>
            <w:vAlign w:val="center"/>
          </w:tcPr>
          <w:p w14:paraId="67034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Reference (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/>
                <w:kern w:val="0"/>
                <w:sz w:val="21"/>
                <w:szCs w:val="21"/>
                <w:lang w:val="en-US" w:eastAsia="zh-CN" w:bidi="ar"/>
              </w:rPr>
              <w:t>T. ramosissima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) leaf δ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vertAlign w:val="superscript"/>
                <w:lang w:val="en-US" w:eastAsia="zh-CN" w:bidi="ar"/>
              </w:rPr>
              <w:t>15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N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29296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0.37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6ADF9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0.55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1EBE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0.52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6FBF0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0.60</w:t>
            </w:r>
          </w:p>
        </w:tc>
      </w:tr>
      <w:tr w14:paraId="5EEBE000">
        <w:tc>
          <w:tcPr>
            <w:tcW w:w="3350" w:type="dxa"/>
            <w:shd w:val="clear" w:color="auto" w:fill="auto"/>
            <w:vAlign w:val="center"/>
          </w:tcPr>
          <w:p w14:paraId="04321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Legume (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/>
                <w:kern w:val="0"/>
                <w:sz w:val="21"/>
                <w:szCs w:val="21"/>
                <w:lang w:val="en-US" w:eastAsia="zh-CN" w:bidi="ar"/>
              </w:rPr>
              <w:t>H. halodendron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) leaf δ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vertAlign w:val="superscript"/>
                <w:lang w:val="en-US" w:eastAsia="zh-CN" w:bidi="ar"/>
              </w:rPr>
              <w:t>15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N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15177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0.61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6A708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0.44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501D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0.66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36FB4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0.53</w:t>
            </w:r>
          </w:p>
        </w:tc>
      </w:tr>
      <w:tr w14:paraId="3EC03632">
        <w:tc>
          <w:tcPr>
            <w:tcW w:w="3350" w:type="dxa"/>
            <w:shd w:val="clear" w:color="auto" w:fill="auto"/>
            <w:vAlign w:val="center"/>
          </w:tcPr>
          <w:p w14:paraId="53E4A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%Ndfa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4622B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0.55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3F186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0.47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0A87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0.58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3E29C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0.57</w:t>
            </w:r>
          </w:p>
        </w:tc>
      </w:tr>
      <w:tr w14:paraId="750C705B">
        <w:tc>
          <w:tcPr>
            <w:tcW w:w="3350" w:type="dxa"/>
            <w:shd w:val="clear" w:color="auto" w:fill="auto"/>
            <w:vAlign w:val="center"/>
          </w:tcPr>
          <w:p w14:paraId="2E8BC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Leaf Nmass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5107B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0.42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20664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0.52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CE2D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0.44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07565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0.65</w:t>
            </w:r>
          </w:p>
        </w:tc>
      </w:tr>
      <w:tr w14:paraId="54DF17CC">
        <w:tc>
          <w:tcPr>
            <w:tcW w:w="3350" w:type="dxa"/>
            <w:shd w:val="clear" w:color="auto" w:fill="auto"/>
            <w:vAlign w:val="center"/>
          </w:tcPr>
          <w:p w14:paraId="33347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Leaf Narea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467C9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0.29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57BF6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0.60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3D2B2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0.39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0EC40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0.68</w:t>
            </w:r>
          </w:p>
        </w:tc>
      </w:tr>
      <w:tr w14:paraId="6F4C5A18">
        <w:tc>
          <w:tcPr>
            <w:tcW w:w="3350" w:type="dxa"/>
            <w:shd w:val="clear" w:color="auto" w:fill="auto"/>
            <w:vAlign w:val="center"/>
          </w:tcPr>
          <w:p w14:paraId="47B31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SLA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78F74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0.71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1D99B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0.41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2A32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0.61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3B605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0.55</w:t>
            </w:r>
          </w:p>
        </w:tc>
      </w:tr>
      <w:tr w14:paraId="488CDA9B">
        <w:tc>
          <w:tcPr>
            <w:tcW w:w="3350" w:type="dxa"/>
            <w:shd w:val="clear" w:color="auto" w:fill="auto"/>
            <w:vAlign w:val="center"/>
          </w:tcPr>
          <w:p w14:paraId="113C8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LDMC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2A2F0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0.48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49AED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0.49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42763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0.73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5FC94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0.49</w:t>
            </w:r>
          </w:p>
        </w:tc>
      </w:tr>
      <w:tr w14:paraId="7C640E35">
        <w:tc>
          <w:tcPr>
            <w:tcW w:w="3350" w:type="dxa"/>
            <w:shd w:val="clear" w:color="auto" w:fill="auto"/>
            <w:vAlign w:val="center"/>
          </w:tcPr>
          <w:p w14:paraId="29D64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Leaf succulence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00F41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0.33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252DC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0.57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5B532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0.51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35D0E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0.61</w:t>
            </w:r>
          </w:p>
        </w:tc>
      </w:tr>
      <w:tr w14:paraId="5948EF85">
        <w:tc>
          <w:tcPr>
            <w:tcW w:w="3350" w:type="dxa"/>
            <w:shd w:val="clear" w:color="auto" w:fill="auto"/>
            <w:vAlign w:val="center"/>
          </w:tcPr>
          <w:p w14:paraId="5251D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Leaf Na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vertAlign w:val="superscript"/>
                <w:lang w:val="en-US" w:eastAsia="zh-CN" w:bidi="ar"/>
              </w:rPr>
              <w:t>+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57779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0.58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2A876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0.45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F6FF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0.47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627A7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0.63</w:t>
            </w:r>
          </w:p>
        </w:tc>
      </w:tr>
      <w:tr w14:paraId="0A894F92">
        <w:tc>
          <w:tcPr>
            <w:tcW w:w="3350" w:type="dxa"/>
            <w:shd w:val="clear" w:color="auto" w:fill="auto"/>
            <w:vAlign w:val="center"/>
          </w:tcPr>
          <w:p w14:paraId="00C21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Leaf K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vertAlign w:val="superscript"/>
                <w:lang w:val="en-US" w:eastAsia="zh-CN" w:bidi="ar"/>
              </w:rPr>
              <w:t>+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5FC59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0.21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3A73B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0.65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28555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0.36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4A035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0.70</w:t>
            </w:r>
          </w:p>
        </w:tc>
      </w:tr>
      <w:tr w14:paraId="22B3CD2B">
        <w:tc>
          <w:tcPr>
            <w:tcW w:w="3350" w:type="dxa"/>
            <w:shd w:val="clear" w:color="auto" w:fill="auto"/>
            <w:vAlign w:val="center"/>
          </w:tcPr>
          <w:p w14:paraId="6BE46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Leaf Na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vertAlign w:val="superscript"/>
                <w:lang w:val="en-US" w:eastAsia="zh-CN" w:bidi="ar"/>
              </w:rPr>
              <w:t>+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/K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vertAlign w:val="superscript"/>
                <w:lang w:val="en-US" w:eastAsia="zh-CN" w:bidi="ar"/>
              </w:rPr>
              <w:t>+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7BA19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0.64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4888E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0.43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77170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0.55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4DCCB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0.58</w:t>
            </w:r>
          </w:p>
        </w:tc>
      </w:tr>
      <w:tr w14:paraId="64B25783">
        <w:tc>
          <w:tcPr>
            <w:tcW w:w="3350" w:type="dxa"/>
            <w:shd w:val="clear" w:color="auto" w:fill="auto"/>
            <w:vAlign w:val="center"/>
          </w:tcPr>
          <w:p w14:paraId="0CB32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Leaf δ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vertAlign w:val="superscript"/>
                <w:lang w:val="en-US" w:eastAsia="zh-CN" w:bidi="ar"/>
              </w:rPr>
              <w:t>13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C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4F5BE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0.46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65B0C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0.50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0B38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0.62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12759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0.55</w:t>
            </w:r>
          </w:p>
        </w:tc>
      </w:tr>
      <w:tr w14:paraId="143FE352">
        <w:tc>
          <w:tcPr>
            <w:tcW w:w="3350" w:type="dxa"/>
            <w:shd w:val="clear" w:color="auto" w:fill="auto"/>
            <w:vAlign w:val="center"/>
          </w:tcPr>
          <w:p w14:paraId="3639E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Aboveground biomass</w:t>
            </w:r>
          </w:p>
        </w:tc>
        <w:tc>
          <w:tcPr>
            <w:tcW w:w="1523" w:type="dxa"/>
            <w:shd w:val="clear" w:color="auto" w:fill="auto"/>
            <w:vAlign w:val="center"/>
          </w:tcPr>
          <w:p w14:paraId="04E9C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0.69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5752D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0.42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5219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0.78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70A4F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0.47</w:t>
            </w:r>
          </w:p>
        </w:tc>
      </w:tr>
    </w:tbl>
    <w:p w14:paraId="4A7305B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/>
        <w:jc w:val="both"/>
        <w:textAlignment w:val="auto"/>
        <w:rPr>
          <w:rFonts w:hint="default" w:ascii="Times New Roman Regular" w:hAnsi="Times New Roman Regular" w:eastAsia="宋体" w:cs="Times New Roman Regular"/>
          <w:kern w:val="0"/>
          <w:sz w:val="24"/>
          <w:szCs w:val="24"/>
          <w:lang/>
        </w:rPr>
      </w:pPr>
    </w:p>
    <w:p w14:paraId="3C3D3C2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jc w:val="both"/>
        <w:textAlignment w:val="auto"/>
        <w:rPr>
          <w:rFonts w:hint="default" w:ascii="Times New Roman Regular" w:hAnsi="Times New Roman Regular" w:eastAsia="宋体" w:cs="Times New Roman Regular"/>
          <w:b/>
          <w:bCs/>
          <w:kern w:val="0"/>
          <w:sz w:val="24"/>
          <w:szCs w:val="24"/>
          <w:lang w:val="en-US" w:eastAsia="zh-CN" w:bidi="ar"/>
        </w:rPr>
        <w:sectPr>
          <w:pgSz w:w="12240" w:h="15840"/>
          <w:pgMar w:top="1440" w:right="1440" w:bottom="1440" w:left="1440" w:header="720" w:footer="720" w:gutter="0"/>
          <w:cols w:space="720" w:num="1"/>
        </w:sectPr>
      </w:pPr>
    </w:p>
    <w:p w14:paraId="14545D3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jc w:val="both"/>
        <w:textAlignment w:val="auto"/>
        <w:rPr>
          <w:rFonts w:hint="default" w:ascii="Times New Roman Regular" w:hAnsi="Times New Roman Regular" w:eastAsia="宋体" w:cs="Times New Roman Regular"/>
          <w:b/>
          <w:bCs/>
          <w:kern w:val="0"/>
          <w:sz w:val="21"/>
          <w:szCs w:val="21"/>
          <w:lang w:val="en-US" w:eastAsia="zh-CN" w:bidi="ar"/>
        </w:rPr>
      </w:pPr>
      <w:r>
        <w:rPr>
          <w:rFonts w:hint="default" w:ascii="Times New Roman Regular" w:hAnsi="Times New Roman Regular" w:eastAsia="宋体" w:cs="Times New Roman Regular"/>
          <w:b/>
          <w:bCs/>
          <w:kern w:val="0"/>
          <w:sz w:val="21"/>
          <w:szCs w:val="21"/>
          <w:lang w:val="en-US" w:eastAsia="zh-CN" w:bidi="ar"/>
        </w:rPr>
        <w:t>Table S2. The salinity gradient is not confounded with plot spatial position</w:t>
      </w:r>
    </w:p>
    <w:p w14:paraId="20B380C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/>
        <w:jc w:val="both"/>
        <w:textAlignment w:val="auto"/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>Pearson correlations (n = 24 plots) between soil ECe and each spatial coordinate. None was significant, and all |</w:t>
      </w:r>
      <w:r>
        <w:rPr>
          <w:rFonts w:hint="default" w:ascii="Times New Roman Regular" w:hAnsi="Times New Roman Regular" w:eastAsia="宋体" w:cs="Times New Roman Regular"/>
          <w:i/>
          <w:kern w:val="0"/>
          <w:sz w:val="21"/>
          <w:szCs w:val="21"/>
          <w:lang w:val="en-US" w:eastAsia="zh-CN" w:bidi="ar"/>
        </w:rPr>
        <w:t>r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 xml:space="preserve">| &lt; 0.20 (Sections 2.8, 3.1), indicating that ECe was not a proxy for geographic position or distance from the river channel. Spearman rank correlations gave the same result (all </w:t>
      </w:r>
      <w:r>
        <w:rPr>
          <w:rFonts w:hint="default" w:ascii="Times New Roman Italic" w:hAnsi="Times New Roman Italic" w:eastAsia="宋体" w:cs="Times New Roman Italic"/>
          <w:i/>
          <w:iCs/>
          <w:kern w:val="0"/>
          <w:sz w:val="21"/>
          <w:szCs w:val="21"/>
          <w:lang w:val="en-US" w:eastAsia="zh-CN" w:bidi="ar"/>
        </w:rPr>
        <w:t>P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 xml:space="preserve"> &gt; 0.35).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4962"/>
        <w:gridCol w:w="2611"/>
        <w:gridCol w:w="1777"/>
      </w:tblGrid>
      <w:tr w14:paraId="3DDDAC18">
        <w:trPr>
          <w:tblHeader/>
        </w:trPr>
        <w:tc>
          <w:tcPr>
            <w:tcW w:w="496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F22A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b/>
                <w:bCs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kern w:val="0"/>
                <w:sz w:val="21"/>
                <w:szCs w:val="21"/>
                <w:lang w:val="en-US" w:eastAsia="zh-CN" w:bidi="ar"/>
              </w:rPr>
              <w:t>Spatial variable</w:t>
            </w:r>
          </w:p>
        </w:tc>
        <w:tc>
          <w:tcPr>
            <w:tcW w:w="261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B447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b/>
                <w:bCs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/>
                <w:kern w:val="0"/>
                <w:sz w:val="21"/>
                <w:szCs w:val="21"/>
                <w:lang w:val="en-US" w:eastAsia="zh-CN" w:bidi="ar"/>
              </w:rPr>
              <w:t>r</w:t>
            </w:r>
            <w:r>
              <w:rPr>
                <w:rFonts w:hint="default" w:ascii="Times New Roman Regular" w:hAnsi="Times New Roman Regular" w:eastAsia="宋体" w:cs="Times New Roman Regular"/>
                <w:b/>
                <w:bCs/>
                <w:kern w:val="0"/>
                <w:sz w:val="21"/>
                <w:szCs w:val="21"/>
                <w:lang w:val="en-US" w:eastAsia="zh-CN" w:bidi="ar"/>
              </w:rPr>
              <w:t xml:space="preserve"> with EC~e~</w:t>
            </w:r>
          </w:p>
        </w:tc>
        <w:tc>
          <w:tcPr>
            <w:tcW w:w="177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638D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b/>
                <w:bCs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/>
                <w:kern w:val="0"/>
                <w:sz w:val="21"/>
                <w:szCs w:val="21"/>
                <w:lang w:val="en-US" w:eastAsia="zh-CN" w:bidi="ar"/>
              </w:rPr>
              <w:t>P</w:t>
            </w:r>
          </w:p>
        </w:tc>
      </w:tr>
      <w:tr w14:paraId="07AE617D">
        <w:tc>
          <w:tcPr>
            <w:tcW w:w="496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56C1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Latitude (°N)</w:t>
            </w:r>
          </w:p>
        </w:tc>
        <w:tc>
          <w:tcPr>
            <w:tcW w:w="261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A1D5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0.14</w:t>
            </w:r>
          </w:p>
        </w:tc>
        <w:tc>
          <w:tcPr>
            <w:tcW w:w="177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2E9B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0.51</w:t>
            </w:r>
          </w:p>
        </w:tc>
      </w:tr>
      <w:tr w14:paraId="75A68FC4">
        <w:tc>
          <w:tcPr>
            <w:tcW w:w="4962" w:type="dxa"/>
            <w:shd w:val="clear" w:color="auto" w:fill="auto"/>
            <w:vAlign w:val="center"/>
          </w:tcPr>
          <w:p w14:paraId="15F8C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Longitude (°E)</w:t>
            </w:r>
          </w:p>
        </w:tc>
        <w:tc>
          <w:tcPr>
            <w:tcW w:w="2611" w:type="dxa"/>
            <w:shd w:val="clear" w:color="auto" w:fill="auto"/>
            <w:vAlign w:val="center"/>
          </w:tcPr>
          <w:p w14:paraId="3CB6A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−0.11</w:t>
            </w:r>
          </w:p>
        </w:tc>
        <w:tc>
          <w:tcPr>
            <w:tcW w:w="1777" w:type="dxa"/>
            <w:shd w:val="clear" w:color="auto" w:fill="auto"/>
            <w:vAlign w:val="center"/>
          </w:tcPr>
          <w:p w14:paraId="14357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0.61</w:t>
            </w:r>
          </w:p>
        </w:tc>
      </w:tr>
      <w:tr w14:paraId="3A85C1E0">
        <w:tc>
          <w:tcPr>
            <w:tcW w:w="4962" w:type="dxa"/>
            <w:shd w:val="clear" w:color="auto" w:fill="auto"/>
            <w:vAlign w:val="center"/>
          </w:tcPr>
          <w:p w14:paraId="5CCF2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Straight-line distance to main channel (m)</w:t>
            </w:r>
          </w:p>
        </w:tc>
        <w:tc>
          <w:tcPr>
            <w:tcW w:w="2611" w:type="dxa"/>
            <w:shd w:val="clear" w:color="auto" w:fill="auto"/>
            <w:vAlign w:val="center"/>
          </w:tcPr>
          <w:p w14:paraId="7FA28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0.18</w:t>
            </w:r>
          </w:p>
        </w:tc>
        <w:tc>
          <w:tcPr>
            <w:tcW w:w="1777" w:type="dxa"/>
            <w:shd w:val="clear" w:color="auto" w:fill="auto"/>
            <w:vAlign w:val="center"/>
          </w:tcPr>
          <w:p w14:paraId="17F7A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0.40</w:t>
            </w:r>
          </w:p>
        </w:tc>
      </w:tr>
    </w:tbl>
    <w:p w14:paraId="61C0E58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/>
        <w:jc w:val="both"/>
        <w:textAlignment w:val="auto"/>
        <w:rPr>
          <w:rFonts w:hint="default" w:ascii="Times New Roman Regular" w:hAnsi="Times New Roman Regular" w:eastAsia="宋体" w:cs="Times New Roman Regular"/>
          <w:kern w:val="0"/>
          <w:sz w:val="24"/>
          <w:szCs w:val="24"/>
          <w:lang/>
        </w:rPr>
      </w:pPr>
    </w:p>
    <w:p w14:paraId="4367AE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jc w:val="both"/>
        <w:textAlignment w:val="auto"/>
        <w:rPr>
          <w:rFonts w:hint="default" w:ascii="Times New Roman Regular" w:hAnsi="Times New Roman Regular" w:eastAsia="宋体" w:cs="Times New Roman Regular"/>
          <w:b/>
          <w:bCs/>
          <w:kern w:val="0"/>
          <w:sz w:val="24"/>
          <w:szCs w:val="24"/>
          <w:lang w:val="en-US" w:eastAsia="zh-CN" w:bidi="ar"/>
        </w:rPr>
        <w:sectPr>
          <w:pgSz w:w="12240" w:h="15840"/>
          <w:pgMar w:top="1440" w:right="1440" w:bottom="1440" w:left="1440" w:header="720" w:footer="720" w:gutter="0"/>
          <w:cols w:space="720" w:num="1"/>
        </w:sectPr>
      </w:pPr>
    </w:p>
    <w:p w14:paraId="79E7E41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jc w:val="both"/>
        <w:textAlignment w:val="auto"/>
        <w:rPr>
          <w:rFonts w:hint="default" w:ascii="Times New Roman Regular" w:hAnsi="Times New Roman Regular" w:eastAsia="宋体" w:cs="Times New Roman Regular"/>
          <w:b/>
          <w:bCs/>
          <w:kern w:val="0"/>
          <w:sz w:val="21"/>
          <w:szCs w:val="21"/>
          <w:lang w:val="en-US" w:eastAsia="zh-CN" w:bidi="ar"/>
        </w:rPr>
      </w:pPr>
      <w:r>
        <w:rPr>
          <w:rFonts w:hint="default" w:ascii="Times New Roman Regular" w:hAnsi="Times New Roman Regular" w:eastAsia="宋体" w:cs="Times New Roman Regular"/>
          <w:b/>
          <w:bCs/>
          <w:kern w:val="0"/>
          <w:sz w:val="21"/>
          <w:szCs w:val="21"/>
          <w:lang w:val="en-US" w:eastAsia="zh-CN" w:bidi="ar"/>
        </w:rPr>
        <w:t>Table S3. No residual spatial autocorrelation in the main ECe–response regressions</w:t>
      </w:r>
    </w:p>
    <w:p w14:paraId="5361611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/>
        <w:jc w:val="both"/>
        <w:textAlignment w:val="auto"/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 xml:space="preserve">Moran's </w:t>
      </w:r>
      <w:r>
        <w:rPr>
          <w:rFonts w:hint="default" w:ascii="Times New Roman Regular" w:hAnsi="Times New Roman Regular" w:eastAsia="宋体" w:cs="Times New Roman Regular"/>
          <w:i/>
          <w:kern w:val="0"/>
          <w:sz w:val="21"/>
          <w:szCs w:val="21"/>
          <w:lang w:val="en-US" w:eastAsia="zh-CN" w:bidi="ar"/>
        </w:rPr>
        <w:t>I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 xml:space="preserve"> of the residuals from the linear regressions of each key response variable on soil ECe (n = 24 plots), computed from a row-standardized inverse-distance spatial weights matrix. Expected value under no autocorrelation E(</w:t>
      </w:r>
      <w:r>
        <w:rPr>
          <w:rFonts w:hint="default" w:ascii="Times New Roman Regular" w:hAnsi="Times New Roman Regular" w:eastAsia="宋体" w:cs="Times New Roman Regular"/>
          <w:i/>
          <w:kern w:val="0"/>
          <w:sz w:val="21"/>
          <w:szCs w:val="21"/>
          <w:lang w:val="en-US" w:eastAsia="zh-CN" w:bidi="ar"/>
        </w:rPr>
        <w:t>I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 xml:space="preserve">) = −1/(n − 1) = −0.043; </w:t>
      </w:r>
      <w:r>
        <w:rPr>
          <w:rFonts w:hint="default" w:ascii="Times New Roman Regular" w:hAnsi="Times New Roman Regular" w:eastAsia="宋体" w:cs="Times New Roman Regular"/>
          <w:i/>
          <w:kern w:val="0"/>
          <w:sz w:val="21"/>
          <w:szCs w:val="21"/>
          <w:lang w:val="en-US" w:eastAsia="zh-CN" w:bidi="ar"/>
        </w:rPr>
        <w:t>z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 xml:space="preserve"> = (</w:t>
      </w:r>
      <w:r>
        <w:rPr>
          <w:rFonts w:hint="default" w:ascii="Times New Roman Regular" w:hAnsi="Times New Roman Regular" w:eastAsia="宋体" w:cs="Times New Roman Regular"/>
          <w:i/>
          <w:kern w:val="0"/>
          <w:sz w:val="21"/>
          <w:szCs w:val="21"/>
          <w:lang w:val="en-US" w:eastAsia="zh-CN" w:bidi="ar"/>
        </w:rPr>
        <w:t>I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 xml:space="preserve"> − E(</w:t>
      </w:r>
      <w:r>
        <w:rPr>
          <w:rFonts w:hint="default" w:ascii="Times New Roman Regular" w:hAnsi="Times New Roman Regular" w:eastAsia="宋体" w:cs="Times New Roman Regular"/>
          <w:i/>
          <w:kern w:val="0"/>
          <w:sz w:val="21"/>
          <w:szCs w:val="21"/>
          <w:lang w:val="en-US" w:eastAsia="zh-CN" w:bidi="ar"/>
        </w:rPr>
        <w:t>I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>))/SD(</w:t>
      </w:r>
      <w:r>
        <w:rPr>
          <w:rFonts w:hint="default" w:ascii="Times New Roman Regular" w:hAnsi="Times New Roman Regular" w:eastAsia="宋体" w:cs="Times New Roman Regular"/>
          <w:i/>
          <w:kern w:val="0"/>
          <w:sz w:val="21"/>
          <w:szCs w:val="21"/>
          <w:lang w:val="en-US" w:eastAsia="zh-CN" w:bidi="ar"/>
        </w:rPr>
        <w:t>I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>), with SD(</w:t>
      </w:r>
      <w:r>
        <w:rPr>
          <w:rFonts w:hint="default" w:ascii="Times New Roman Regular" w:hAnsi="Times New Roman Regular" w:eastAsia="宋体" w:cs="Times New Roman Regular"/>
          <w:i/>
          <w:kern w:val="0"/>
          <w:sz w:val="21"/>
          <w:szCs w:val="21"/>
          <w:lang w:val="en-US" w:eastAsia="zh-CN" w:bidi="ar"/>
        </w:rPr>
        <w:t>I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 xml:space="preserve">) from the randomization assumption; </w:t>
      </w:r>
      <w:r>
        <w:rPr>
          <w:rFonts w:hint="default" w:ascii="Times New Roman Regular" w:hAnsi="Times New Roman Regular" w:eastAsia="宋体" w:cs="Times New Roman Regular"/>
          <w:i/>
          <w:kern w:val="0"/>
          <w:sz w:val="21"/>
          <w:szCs w:val="21"/>
          <w:lang w:val="en-US" w:eastAsia="zh-CN" w:bidi="ar"/>
        </w:rPr>
        <w:t>P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 xml:space="preserve"> is two-tailed. No variable showed significant residual autocorrelation (all </w:t>
      </w:r>
      <w:r>
        <w:rPr>
          <w:rFonts w:hint="default" w:ascii="Times New Roman Regular" w:hAnsi="Times New Roman Regular" w:eastAsia="宋体" w:cs="Times New Roman Regular"/>
          <w:i/>
          <w:kern w:val="0"/>
          <w:sz w:val="21"/>
          <w:szCs w:val="21"/>
          <w:lang w:val="en-US" w:eastAsia="zh-CN" w:bidi="ar"/>
        </w:rPr>
        <w:t>P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 xml:space="preserve"> &gt; 0.05), so the ECe–response relationships in the main text are not artefacts of spatial structure (Sections 2.8, 3.1).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3395"/>
        <w:gridCol w:w="1191"/>
        <w:gridCol w:w="1191"/>
        <w:gridCol w:w="1191"/>
        <w:gridCol w:w="1191"/>
        <w:gridCol w:w="1191"/>
      </w:tblGrid>
      <w:tr w14:paraId="5376A60E">
        <w:trPr>
          <w:tblHeader/>
        </w:trPr>
        <w:tc>
          <w:tcPr>
            <w:tcW w:w="339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32C6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b/>
                <w:bCs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kern w:val="0"/>
                <w:sz w:val="21"/>
                <w:szCs w:val="21"/>
                <w:lang w:val="en-US" w:eastAsia="zh-CN" w:bidi="ar"/>
              </w:rPr>
              <w:t>Regression residuals</w:t>
            </w:r>
          </w:p>
        </w:tc>
        <w:tc>
          <w:tcPr>
            <w:tcW w:w="119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0F19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b/>
                <w:bCs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kern w:val="0"/>
                <w:sz w:val="21"/>
                <w:szCs w:val="21"/>
                <w:lang w:val="en-US" w:eastAsia="zh-CN" w:bidi="ar"/>
              </w:rPr>
              <w:t xml:space="preserve">Moran's </w:t>
            </w:r>
            <w:r>
              <w:rPr>
                <w:rFonts w:hint="default" w:ascii="Times New Roman Regular" w:hAnsi="Times New Roman Regular" w:eastAsia="宋体" w:cs="Times New Roman Regular"/>
                <w:b/>
                <w:bCs/>
                <w:i/>
                <w:kern w:val="0"/>
                <w:sz w:val="21"/>
                <w:szCs w:val="21"/>
                <w:lang w:val="en-US" w:eastAsia="zh-CN" w:bidi="ar"/>
              </w:rPr>
              <w:t>I</w:t>
            </w:r>
          </w:p>
        </w:tc>
        <w:tc>
          <w:tcPr>
            <w:tcW w:w="119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83C0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b/>
                <w:bCs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kern w:val="0"/>
                <w:sz w:val="21"/>
                <w:szCs w:val="21"/>
                <w:lang w:val="en-US" w:eastAsia="zh-CN" w:bidi="ar"/>
              </w:rPr>
              <w:t>E(</w:t>
            </w:r>
            <w:r>
              <w:rPr>
                <w:rFonts w:hint="default" w:ascii="Times New Roman Regular" w:hAnsi="Times New Roman Regular" w:eastAsia="宋体" w:cs="Times New Roman Regular"/>
                <w:b/>
                <w:bCs/>
                <w:i/>
                <w:kern w:val="0"/>
                <w:sz w:val="21"/>
                <w:szCs w:val="21"/>
                <w:lang w:val="en-US" w:eastAsia="zh-CN" w:bidi="ar"/>
              </w:rPr>
              <w:t>I</w:t>
            </w:r>
            <w:r>
              <w:rPr>
                <w:rFonts w:hint="default" w:ascii="Times New Roman Regular" w:hAnsi="Times New Roman Regular" w:eastAsia="宋体" w:cs="Times New Roman Regular"/>
                <w:b/>
                <w:bCs/>
                <w:kern w:val="0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119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6692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b/>
                <w:bCs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kern w:val="0"/>
                <w:sz w:val="21"/>
                <w:szCs w:val="21"/>
                <w:lang w:val="en-US" w:eastAsia="zh-CN" w:bidi="ar"/>
              </w:rPr>
              <w:t>SD(</w:t>
            </w:r>
            <w:r>
              <w:rPr>
                <w:rFonts w:hint="default" w:ascii="Times New Roman Regular" w:hAnsi="Times New Roman Regular" w:eastAsia="宋体" w:cs="Times New Roman Regular"/>
                <w:b/>
                <w:bCs/>
                <w:i/>
                <w:kern w:val="0"/>
                <w:sz w:val="21"/>
                <w:szCs w:val="21"/>
                <w:lang w:val="en-US" w:eastAsia="zh-CN" w:bidi="ar"/>
              </w:rPr>
              <w:t>I</w:t>
            </w:r>
            <w:r>
              <w:rPr>
                <w:rFonts w:hint="default" w:ascii="Times New Roman Regular" w:hAnsi="Times New Roman Regular" w:eastAsia="宋体" w:cs="Times New Roman Regular"/>
                <w:b/>
                <w:bCs/>
                <w:kern w:val="0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119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DE92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b/>
                <w:bCs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/>
                <w:kern w:val="0"/>
                <w:sz w:val="21"/>
                <w:szCs w:val="21"/>
                <w:lang w:val="en-US" w:eastAsia="zh-CN" w:bidi="ar"/>
              </w:rPr>
              <w:t>z</w:t>
            </w:r>
          </w:p>
        </w:tc>
        <w:tc>
          <w:tcPr>
            <w:tcW w:w="119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AB86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b/>
                <w:bCs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/>
                <w:kern w:val="0"/>
                <w:sz w:val="21"/>
                <w:szCs w:val="21"/>
                <w:lang w:val="en-US" w:eastAsia="zh-CN" w:bidi="ar"/>
              </w:rPr>
              <w:t>P</w:t>
            </w:r>
          </w:p>
        </w:tc>
      </w:tr>
      <w:tr w14:paraId="0C9AFFC3">
        <w:tc>
          <w:tcPr>
            <w:tcW w:w="339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7C94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Legume leaf δ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vertAlign w:val="superscript"/>
                <w:lang w:val="en-US" w:eastAsia="zh-CN" w:bidi="ar"/>
              </w:rPr>
              <w:t>15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N ~ ECe</w:t>
            </w:r>
          </w:p>
        </w:tc>
        <w:tc>
          <w:tcPr>
            <w:tcW w:w="119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5D79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−0.086</w:t>
            </w:r>
          </w:p>
        </w:tc>
        <w:tc>
          <w:tcPr>
            <w:tcW w:w="119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0E94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−0.043</w:t>
            </w:r>
          </w:p>
        </w:tc>
        <w:tc>
          <w:tcPr>
            <w:tcW w:w="119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A6DF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0.108</w:t>
            </w:r>
          </w:p>
        </w:tc>
        <w:tc>
          <w:tcPr>
            <w:tcW w:w="119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F6FD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−0.39</w:t>
            </w:r>
          </w:p>
        </w:tc>
        <w:tc>
          <w:tcPr>
            <w:tcW w:w="119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62AD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0.69</w:t>
            </w:r>
          </w:p>
        </w:tc>
      </w:tr>
      <w:tr w14:paraId="6DB594B8">
        <w:tc>
          <w:tcPr>
            <w:tcW w:w="3395" w:type="dxa"/>
            <w:shd w:val="clear" w:color="auto" w:fill="auto"/>
            <w:vAlign w:val="center"/>
          </w:tcPr>
          <w:p w14:paraId="1C116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%Ndfa ~ ECe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38347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−0.021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64BFD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−0.043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20DFB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0.108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20132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0.21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6499F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0.84</w:t>
            </w:r>
          </w:p>
        </w:tc>
      </w:tr>
      <w:tr w14:paraId="258F6CE1">
        <w:tc>
          <w:tcPr>
            <w:tcW w:w="3395" w:type="dxa"/>
            <w:shd w:val="clear" w:color="auto" w:fill="auto"/>
            <w:vAlign w:val="center"/>
          </w:tcPr>
          <w:p w14:paraId="03531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Leaf Na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vertAlign w:val="superscript"/>
                <w:lang w:val="en-US" w:eastAsia="zh-CN" w:bidi="ar"/>
              </w:rPr>
              <w:t>+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/K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vertAlign w:val="superscript"/>
                <w:lang w:val="en-US" w:eastAsia="zh-CN" w:bidi="ar"/>
              </w:rPr>
              <w:t>+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 xml:space="preserve"> ~ ECe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6DA33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−0.118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4B033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−0.043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28A75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0.108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15095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−0.69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20E7F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0.49</w:t>
            </w:r>
          </w:p>
        </w:tc>
      </w:tr>
      <w:tr w14:paraId="46D42AA9">
        <w:tc>
          <w:tcPr>
            <w:tcW w:w="3395" w:type="dxa"/>
            <w:shd w:val="clear" w:color="auto" w:fill="auto"/>
            <w:vAlign w:val="center"/>
          </w:tcPr>
          <w:p w14:paraId="2BD41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Leaf δ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vertAlign w:val="superscript"/>
                <w:lang w:val="en-US" w:eastAsia="zh-CN" w:bidi="ar"/>
              </w:rPr>
              <w:t>13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C ~ ECe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427CE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0.034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7FE76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−0.043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1A972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0.108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518CC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0.72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3D8BC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0.47</w:t>
            </w:r>
          </w:p>
        </w:tc>
      </w:tr>
      <w:tr w14:paraId="7B415942">
        <w:tc>
          <w:tcPr>
            <w:tcW w:w="3395" w:type="dxa"/>
            <w:shd w:val="clear" w:color="auto" w:fill="auto"/>
            <w:vAlign w:val="center"/>
          </w:tcPr>
          <w:p w14:paraId="6EFBA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 xml:space="preserve">Leaf succulence 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~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 xml:space="preserve"> ECe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48D71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−0.061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214E1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−0.043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4F9CB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0.108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1ADB0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−0.16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0D1C9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0.87</w:t>
            </w:r>
          </w:p>
        </w:tc>
      </w:tr>
      <w:tr w14:paraId="5C379995">
        <w:tc>
          <w:tcPr>
            <w:tcW w:w="3395" w:type="dxa"/>
            <w:shd w:val="clear" w:color="auto" w:fill="auto"/>
            <w:vAlign w:val="center"/>
          </w:tcPr>
          <w:p w14:paraId="785AE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Aboveground biomass ~ ECe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45C27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0.092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510B4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−0.043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75541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0.108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10F52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1.25</w:t>
            </w:r>
          </w:p>
        </w:tc>
        <w:tc>
          <w:tcPr>
            <w:tcW w:w="1191" w:type="dxa"/>
            <w:shd w:val="clear" w:color="auto" w:fill="auto"/>
            <w:vAlign w:val="center"/>
          </w:tcPr>
          <w:p w14:paraId="4F191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0.21</w:t>
            </w:r>
          </w:p>
        </w:tc>
      </w:tr>
    </w:tbl>
    <w:p w14:paraId="1D031F1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/>
        <w:jc w:val="both"/>
        <w:textAlignment w:val="auto"/>
        <w:rPr>
          <w:rFonts w:hint="default" w:ascii="Times New Roman Regular" w:hAnsi="Times New Roman Regular" w:eastAsia="宋体" w:cs="Times New Roman Regular"/>
          <w:kern w:val="0"/>
          <w:sz w:val="24"/>
          <w:szCs w:val="24"/>
          <w:lang/>
        </w:rPr>
      </w:pPr>
    </w:p>
    <w:p w14:paraId="68C3047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jc w:val="both"/>
        <w:textAlignment w:val="auto"/>
        <w:rPr>
          <w:rFonts w:hint="default" w:ascii="Times New Roman Regular" w:hAnsi="Times New Roman Regular" w:eastAsia="宋体" w:cs="Times New Roman Regular"/>
          <w:b/>
          <w:bCs/>
          <w:kern w:val="0"/>
          <w:sz w:val="24"/>
          <w:szCs w:val="24"/>
          <w:lang w:val="en-US" w:eastAsia="zh-CN" w:bidi="ar"/>
        </w:rPr>
        <w:sectPr>
          <w:pgSz w:w="12240" w:h="15840"/>
          <w:pgMar w:top="1440" w:right="1440" w:bottom="1440" w:left="1440" w:header="720" w:footer="720" w:gutter="0"/>
          <w:cols w:space="720" w:num="1"/>
        </w:sectPr>
      </w:pPr>
    </w:p>
    <w:p w14:paraId="4250A19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jc w:val="both"/>
        <w:textAlignment w:val="auto"/>
        <w:rPr>
          <w:rFonts w:hint="default" w:ascii="Times New Roman Regular" w:hAnsi="Times New Roman Regular" w:eastAsia="宋体" w:cs="Times New Roman Regular"/>
          <w:b/>
          <w:bCs/>
          <w:kern w:val="0"/>
          <w:sz w:val="21"/>
          <w:szCs w:val="21"/>
          <w:lang w:val="en-US" w:eastAsia="zh-CN" w:bidi="ar"/>
        </w:rPr>
      </w:pPr>
      <w:r>
        <w:rPr>
          <w:rFonts w:hint="default" w:ascii="Times New Roman Regular" w:hAnsi="Times New Roman Regular" w:eastAsia="宋体" w:cs="Times New Roman Regular"/>
          <w:b/>
          <w:bCs/>
          <w:kern w:val="0"/>
          <w:sz w:val="21"/>
          <w:szCs w:val="21"/>
          <w:lang w:val="en-US" w:eastAsia="zh-CN" w:bidi="ar"/>
        </w:rPr>
        <w:t>Table S4. Sensitivity of estimated %Ndfa to the B value</w:t>
      </w:r>
    </w:p>
    <w:p w14:paraId="21DCAE9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/>
        <w:jc w:val="both"/>
        <w:textAlignment w:val="auto"/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 xml:space="preserve">Estimated apparent %Ndfa of </w:t>
      </w:r>
      <w:r>
        <w:rPr>
          <w:rFonts w:hint="default" w:ascii="Times New Roman Regular" w:hAnsi="Times New Roman Regular" w:eastAsia="宋体" w:cs="Times New Roman Regular"/>
          <w:i/>
          <w:kern w:val="0"/>
          <w:sz w:val="21"/>
          <w:szCs w:val="21"/>
          <w:lang w:val="en-US" w:eastAsia="zh-CN" w:bidi="ar"/>
        </w:rPr>
        <w:t>H. halodendron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 xml:space="preserve"> (mean ± SD; n = 8 plots per class) using the </w:t>
      </w:r>
      <w:r>
        <w:rPr>
          <w:rFonts w:hint="default" w:ascii="Times New Roman Regular" w:hAnsi="Times New Roman Regular" w:eastAsia="宋体" w:cs="Times New Roman Regular"/>
          <w:i/>
          <w:kern w:val="0"/>
          <w:sz w:val="21"/>
          <w:szCs w:val="21"/>
          <w:lang w:val="en-US" w:eastAsia="zh-CN" w:bidi="ar"/>
        </w:rPr>
        <w:t>T. ramosissima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 xml:space="preserve"> reference and three plausible B values for woody legumes (−1.0, −1.5, −2.0‰; Unkovich et al., 2008). Values were computed from the class-mean reference and legume leaf δ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vertAlign w:val="superscript"/>
          <w:lang w:val="en-US" w:eastAsia="zh-CN" w:bidi="ar"/>
        </w:rPr>
        <w:t>15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>N in main-text Table 2, i.e. %Ndfa = (δ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vertAlign w:val="superscript"/>
          <w:lang w:val="en-US" w:eastAsia="zh-CN" w:bidi="ar"/>
        </w:rPr>
        <w:t>15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>Nref − δ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vertAlign w:val="superscript"/>
          <w:lang w:val="en-US" w:eastAsia="zh-CN" w:bidi="ar"/>
        </w:rPr>
        <w:t>15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>Nlegume)/(δ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vertAlign w:val="superscript"/>
          <w:lang w:val="en-US" w:eastAsia="zh-CN" w:bidi="ar"/>
        </w:rPr>
        <w:t>15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>Nref − B) × 100. The B = −1.5‰ column reproduces the %Ndfa values reported in main-text Table 2. Absolute %Ndfa shifts by only a few percentage points across this B range, and the increase across salinity classes is preserved for every B (Section 2.5, 3.2).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1556"/>
        <w:gridCol w:w="2367"/>
        <w:gridCol w:w="3244"/>
        <w:gridCol w:w="2178"/>
      </w:tblGrid>
      <w:tr w14:paraId="6EB90CFF">
        <w:trPr>
          <w:tblHeader/>
        </w:trPr>
        <w:tc>
          <w:tcPr>
            <w:tcW w:w="155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8C38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b/>
                <w:bCs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kern w:val="0"/>
                <w:sz w:val="21"/>
                <w:szCs w:val="21"/>
                <w:lang w:val="en-US" w:eastAsia="zh-CN" w:bidi="ar"/>
              </w:rPr>
              <w:t>Salinity class</w:t>
            </w:r>
          </w:p>
        </w:tc>
        <w:tc>
          <w:tcPr>
            <w:tcW w:w="236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487F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b/>
                <w:bCs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kern w:val="0"/>
                <w:sz w:val="21"/>
                <w:szCs w:val="21"/>
                <w:lang w:val="en-US" w:eastAsia="zh-CN" w:bidi="ar"/>
              </w:rPr>
              <w:t>%Ndfa at B = −1.0‰</w:t>
            </w:r>
          </w:p>
        </w:tc>
        <w:tc>
          <w:tcPr>
            <w:tcW w:w="32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EB21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b/>
                <w:bCs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kern w:val="0"/>
                <w:sz w:val="21"/>
                <w:szCs w:val="21"/>
                <w:lang w:val="en-US" w:eastAsia="zh-CN" w:bidi="ar"/>
              </w:rPr>
              <w:t>%Ndfa at B = −1.5‰ (main text)</w:t>
            </w:r>
          </w:p>
        </w:tc>
        <w:tc>
          <w:tcPr>
            <w:tcW w:w="217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95D1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b/>
                <w:bCs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kern w:val="0"/>
                <w:sz w:val="21"/>
                <w:szCs w:val="21"/>
                <w:lang w:val="en-US" w:eastAsia="zh-CN" w:bidi="ar"/>
              </w:rPr>
              <w:t>%Ndfa at B = −2.0‰</w:t>
            </w:r>
          </w:p>
        </w:tc>
      </w:tr>
      <w:tr w14:paraId="28B8B417">
        <w:tc>
          <w:tcPr>
            <w:tcW w:w="155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0CA5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Moderate (S1)</w:t>
            </w:r>
          </w:p>
        </w:tc>
        <w:tc>
          <w:tcPr>
            <w:tcW w:w="236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6D22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23.3 ± 7.2</w:t>
            </w:r>
          </w:p>
        </w:tc>
        <w:tc>
          <w:tcPr>
            <w:tcW w:w="324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7C88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22.1 ± 6.8</w:t>
            </w:r>
          </w:p>
        </w:tc>
        <w:tc>
          <w:tcPr>
            <w:tcW w:w="217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FDF2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21.0 ± 6.5</w:t>
            </w:r>
          </w:p>
        </w:tc>
      </w:tr>
      <w:tr w14:paraId="44E55F0C">
        <w:tc>
          <w:tcPr>
            <w:tcW w:w="1556" w:type="dxa"/>
            <w:shd w:val="clear" w:color="auto" w:fill="auto"/>
            <w:vAlign w:val="center"/>
          </w:tcPr>
          <w:p w14:paraId="0F440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Severe (S2)</w:t>
            </w:r>
          </w:p>
        </w:tc>
        <w:tc>
          <w:tcPr>
            <w:tcW w:w="2367" w:type="dxa"/>
            <w:shd w:val="clear" w:color="auto" w:fill="auto"/>
            <w:vAlign w:val="center"/>
          </w:tcPr>
          <w:p w14:paraId="6195E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52.1 ± 8.6</w:t>
            </w:r>
          </w:p>
        </w:tc>
        <w:tc>
          <w:tcPr>
            <w:tcW w:w="3244" w:type="dxa"/>
            <w:shd w:val="clear" w:color="auto" w:fill="auto"/>
            <w:vAlign w:val="center"/>
          </w:tcPr>
          <w:p w14:paraId="6D134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49.5 ± 8.2</w:t>
            </w:r>
          </w:p>
        </w:tc>
        <w:tc>
          <w:tcPr>
            <w:tcW w:w="2178" w:type="dxa"/>
            <w:shd w:val="clear" w:color="auto" w:fill="auto"/>
            <w:vAlign w:val="center"/>
          </w:tcPr>
          <w:p w14:paraId="7E0B7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47.2 ± 7.8</w:t>
            </w:r>
          </w:p>
        </w:tc>
      </w:tr>
      <w:tr w14:paraId="4D308927">
        <w:tc>
          <w:tcPr>
            <w:tcW w:w="1556" w:type="dxa"/>
            <w:shd w:val="clear" w:color="auto" w:fill="auto"/>
            <w:vAlign w:val="center"/>
          </w:tcPr>
          <w:p w14:paraId="3EB9F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Very severe (S3)</w:t>
            </w:r>
          </w:p>
        </w:tc>
        <w:tc>
          <w:tcPr>
            <w:tcW w:w="2367" w:type="dxa"/>
            <w:shd w:val="clear" w:color="auto" w:fill="auto"/>
            <w:vAlign w:val="center"/>
          </w:tcPr>
          <w:p w14:paraId="6BD45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73.5 ± 9.3</w:t>
            </w:r>
          </w:p>
        </w:tc>
        <w:tc>
          <w:tcPr>
            <w:tcW w:w="3244" w:type="dxa"/>
            <w:shd w:val="clear" w:color="auto" w:fill="auto"/>
            <w:vAlign w:val="center"/>
          </w:tcPr>
          <w:p w14:paraId="5B2DC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70.1 ± 8.9</w:t>
            </w:r>
          </w:p>
        </w:tc>
        <w:tc>
          <w:tcPr>
            <w:tcW w:w="2178" w:type="dxa"/>
            <w:shd w:val="clear" w:color="auto" w:fill="auto"/>
            <w:vAlign w:val="center"/>
          </w:tcPr>
          <w:p w14:paraId="76768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67.0 ± 8.5</w:t>
            </w:r>
          </w:p>
        </w:tc>
      </w:tr>
      <w:tr w14:paraId="68BC4ADE">
        <w:tc>
          <w:tcPr>
            <w:tcW w:w="1556" w:type="dxa"/>
            <w:shd w:val="clear" w:color="auto" w:fill="auto"/>
            <w:vAlign w:val="center"/>
          </w:tcPr>
          <w:p w14:paraId="5E437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Among-class test</w:t>
            </w:r>
          </w:p>
        </w:tc>
        <w:tc>
          <w:tcPr>
            <w:tcW w:w="2367" w:type="dxa"/>
            <w:shd w:val="clear" w:color="auto" w:fill="auto"/>
            <w:vAlign w:val="center"/>
          </w:tcPr>
          <w:p w14:paraId="43A08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kern w:val="0"/>
                <w:sz w:val="21"/>
                <w:szCs w:val="21"/>
                <w:lang w:val="en-US" w:eastAsia="zh-CN" w:bidi="ar"/>
              </w:rPr>
              <w:t>F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 xml:space="preserve">~2,21~ = 86.2, </w:t>
            </w:r>
            <w:r>
              <w:rPr>
                <w:rFonts w:hint="default" w:ascii="Times New Roman Regular" w:hAnsi="Times New Roman Regular" w:eastAsia="宋体" w:cs="Times New Roman Regular"/>
                <w:i/>
                <w:kern w:val="0"/>
                <w:sz w:val="21"/>
                <w:szCs w:val="21"/>
                <w:lang w:val="en-US" w:eastAsia="zh-CN" w:bidi="ar"/>
              </w:rPr>
              <w:t>P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 xml:space="preserve"> &lt; 0.001</w:t>
            </w:r>
          </w:p>
        </w:tc>
        <w:tc>
          <w:tcPr>
            <w:tcW w:w="3244" w:type="dxa"/>
            <w:shd w:val="clear" w:color="auto" w:fill="auto"/>
            <w:vAlign w:val="center"/>
          </w:tcPr>
          <w:p w14:paraId="75A77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kern w:val="0"/>
                <w:sz w:val="21"/>
                <w:szCs w:val="21"/>
                <w:lang w:val="en-US" w:eastAsia="zh-CN" w:bidi="ar"/>
              </w:rPr>
              <w:t>F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 xml:space="preserve">~2,21~ = 84.7, </w:t>
            </w:r>
            <w:r>
              <w:rPr>
                <w:rFonts w:hint="default" w:ascii="Times New Roman Regular" w:hAnsi="Times New Roman Regular" w:eastAsia="宋体" w:cs="Times New Roman Regular"/>
                <w:i/>
                <w:kern w:val="0"/>
                <w:sz w:val="21"/>
                <w:szCs w:val="21"/>
                <w:lang w:val="en-US" w:eastAsia="zh-CN" w:bidi="ar"/>
              </w:rPr>
              <w:t>P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 xml:space="preserve"> &lt; 0.001</w:t>
            </w:r>
          </w:p>
        </w:tc>
        <w:tc>
          <w:tcPr>
            <w:tcW w:w="2178" w:type="dxa"/>
            <w:shd w:val="clear" w:color="auto" w:fill="auto"/>
            <w:vAlign w:val="center"/>
          </w:tcPr>
          <w:p w14:paraId="59DFC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kern w:val="0"/>
                <w:sz w:val="21"/>
                <w:szCs w:val="21"/>
                <w:lang w:val="en-US" w:eastAsia="zh-CN" w:bidi="ar"/>
              </w:rPr>
              <w:t>F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 xml:space="preserve">~2,21~ = 83.1, </w:t>
            </w:r>
            <w:r>
              <w:rPr>
                <w:rFonts w:hint="default" w:ascii="Times New Roman Regular" w:hAnsi="Times New Roman Regular" w:eastAsia="宋体" w:cs="Times New Roman Regular"/>
                <w:i/>
                <w:kern w:val="0"/>
                <w:sz w:val="21"/>
                <w:szCs w:val="21"/>
                <w:lang w:val="en-US" w:eastAsia="zh-CN" w:bidi="ar"/>
              </w:rPr>
              <w:t>P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 xml:space="preserve"> &lt; 0.001</w:t>
            </w:r>
          </w:p>
        </w:tc>
      </w:tr>
    </w:tbl>
    <w:p w14:paraId="2EFC52B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/>
        <w:jc w:val="both"/>
        <w:textAlignment w:val="auto"/>
        <w:rPr>
          <w:rFonts w:hint="default" w:ascii="Times New Roman Regular" w:hAnsi="Times New Roman Regular" w:eastAsia="宋体" w:cs="Times New Roman Regular"/>
          <w:kern w:val="0"/>
          <w:sz w:val="24"/>
          <w:szCs w:val="24"/>
          <w:lang/>
        </w:rPr>
      </w:pPr>
    </w:p>
    <w:p w14:paraId="72681E8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jc w:val="both"/>
        <w:textAlignment w:val="auto"/>
        <w:rPr>
          <w:rFonts w:hint="default" w:ascii="Times New Roman Regular" w:hAnsi="Times New Roman Regular" w:eastAsia="宋体" w:cs="Times New Roman Regular"/>
          <w:b/>
          <w:bCs/>
          <w:kern w:val="0"/>
          <w:sz w:val="24"/>
          <w:szCs w:val="24"/>
          <w:lang w:val="en-US" w:eastAsia="zh-CN" w:bidi="ar"/>
        </w:rPr>
        <w:sectPr>
          <w:pgSz w:w="12240" w:h="15840"/>
          <w:pgMar w:top="1440" w:right="1440" w:bottom="1440" w:left="1440" w:header="720" w:footer="720" w:gutter="0"/>
          <w:cols w:space="720" w:num="1"/>
        </w:sectPr>
      </w:pPr>
    </w:p>
    <w:p w14:paraId="4E305FE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jc w:val="both"/>
        <w:textAlignment w:val="auto"/>
        <w:rPr>
          <w:rFonts w:hint="default" w:ascii="Times New Roman Regular" w:hAnsi="Times New Roman Regular" w:eastAsia="宋体" w:cs="Times New Roman Regular"/>
          <w:b/>
          <w:bCs/>
          <w:kern w:val="0"/>
          <w:sz w:val="21"/>
          <w:szCs w:val="21"/>
          <w:lang w:val="en-US" w:eastAsia="zh-CN" w:bidi="ar"/>
        </w:rPr>
      </w:pPr>
      <w:r>
        <w:rPr>
          <w:rFonts w:hint="default" w:ascii="Times New Roman Regular" w:hAnsi="Times New Roman Regular" w:eastAsia="宋体" w:cs="Times New Roman Regular"/>
          <w:b/>
          <w:bCs/>
          <w:kern w:val="0"/>
          <w:sz w:val="21"/>
          <w:szCs w:val="21"/>
          <w:lang w:val="en-US" w:eastAsia="zh-CN" w:bidi="ar"/>
        </w:rPr>
        <w:t>Table S5. Robustness of the %Ndfa trend to the choice of reference species</w:t>
      </w:r>
    </w:p>
    <w:p w14:paraId="1886FF3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/>
        <w:jc w:val="both"/>
        <w:textAlignment w:val="auto"/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 xml:space="preserve">Estimated apparent %Ndfa of </w:t>
      </w:r>
      <w:r>
        <w:rPr>
          <w:rFonts w:hint="default" w:ascii="Times New Roman Regular" w:hAnsi="Times New Roman Regular" w:eastAsia="宋体" w:cs="Times New Roman Regular"/>
          <w:i/>
          <w:kern w:val="0"/>
          <w:sz w:val="21"/>
          <w:szCs w:val="21"/>
          <w:lang w:val="en-US" w:eastAsia="zh-CN" w:bidi="ar"/>
        </w:rPr>
        <w:t>H. halodendron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 xml:space="preserve"> (B = −1.5‰) using </w:t>
      </w:r>
      <w:r>
        <w:rPr>
          <w:rFonts w:hint="default" w:ascii="Times New Roman Regular" w:hAnsi="Times New Roman Regular" w:eastAsia="宋体" w:cs="Times New Roman Regular"/>
          <w:i/>
          <w:kern w:val="0"/>
          <w:sz w:val="21"/>
          <w:szCs w:val="21"/>
          <w:lang w:val="en-US" w:eastAsia="zh-CN" w:bidi="ar"/>
        </w:rPr>
        <w:t>Karelinia caspia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 xml:space="preserve"> as an alternative non-fixing reference, at the subset of plots where it was sampled (n = 4 plots per class, 12 plots total). Leaf δ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vertAlign w:val="superscript"/>
          <w:lang w:val="en-US" w:eastAsia="zh-CN" w:bidi="ar"/>
        </w:rPr>
        <w:t>15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 xml:space="preserve">N of </w:t>
      </w:r>
      <w:r>
        <w:rPr>
          <w:rFonts w:hint="default" w:ascii="Times New Roman Regular" w:hAnsi="Times New Roman Regular" w:eastAsia="宋体" w:cs="Times New Roman Regular"/>
          <w:i/>
          <w:kern w:val="0"/>
          <w:sz w:val="21"/>
          <w:szCs w:val="21"/>
          <w:lang w:val="en-US" w:eastAsia="zh-CN" w:bidi="ar"/>
        </w:rPr>
        <w:t>K. caspia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 xml:space="preserve"> increased with salinity, tracking the soil signal, as did that of </w:t>
      </w:r>
      <w:r>
        <w:rPr>
          <w:rFonts w:hint="default" w:ascii="Times New Roman Regular" w:hAnsi="Times New Roman Regular" w:eastAsia="宋体" w:cs="Times New Roman Regular"/>
          <w:i/>
          <w:kern w:val="0"/>
          <w:sz w:val="21"/>
          <w:szCs w:val="21"/>
          <w:lang w:val="en-US" w:eastAsia="zh-CN" w:bidi="ar"/>
        </w:rPr>
        <w:t>T. ramosissima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 xml:space="preserve"> (main-text Table 2), whereas legume δ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vertAlign w:val="superscript"/>
          <w:lang w:val="en-US" w:eastAsia="zh-CN" w:bidi="ar"/>
        </w:rPr>
        <w:t>15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 xml:space="preserve">N declined. Absolute %Ndfa estimates are a few percentage points lower with </w:t>
      </w:r>
      <w:r>
        <w:rPr>
          <w:rFonts w:hint="default" w:ascii="Times New Roman Regular" w:hAnsi="Times New Roman Regular" w:eastAsia="宋体" w:cs="Times New Roman Regular"/>
          <w:i/>
          <w:kern w:val="0"/>
          <w:sz w:val="21"/>
          <w:szCs w:val="21"/>
          <w:lang w:val="en-US" w:eastAsia="zh-CN" w:bidi="ar"/>
        </w:rPr>
        <w:t>K. caspia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 xml:space="preserve"> than with </w:t>
      </w:r>
      <w:r>
        <w:rPr>
          <w:rFonts w:hint="default" w:ascii="Times New Roman Regular" w:hAnsi="Times New Roman Regular" w:eastAsia="宋体" w:cs="Times New Roman Regular"/>
          <w:i/>
          <w:kern w:val="0"/>
          <w:sz w:val="21"/>
          <w:szCs w:val="21"/>
          <w:lang w:val="en-US" w:eastAsia="zh-CN" w:bidi="ar"/>
        </w:rPr>
        <w:t>T. ramosissima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>, but the increasing trend across salinity classes is identical, and the two reference-based estimates were strongly correlated across plots (</w:t>
      </w:r>
      <w:r>
        <w:rPr>
          <w:rFonts w:hint="default" w:ascii="Times New Roman Regular" w:hAnsi="Times New Roman Regular" w:eastAsia="宋体" w:cs="Times New Roman Regular"/>
          <w:i/>
          <w:kern w:val="0"/>
          <w:sz w:val="21"/>
          <w:szCs w:val="21"/>
          <w:lang w:val="en-US" w:eastAsia="zh-CN" w:bidi="ar"/>
        </w:rPr>
        <w:t>r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 xml:space="preserve"> = 0.93, </w:t>
      </w:r>
      <w:r>
        <w:rPr>
          <w:rFonts w:hint="default" w:ascii="Times New Roman Regular" w:hAnsi="Times New Roman Regular" w:eastAsia="宋体" w:cs="Times New Roman Regular"/>
          <w:i/>
          <w:kern w:val="0"/>
          <w:sz w:val="21"/>
          <w:szCs w:val="21"/>
          <w:lang w:val="en-US" w:eastAsia="zh-CN" w:bidi="ar"/>
        </w:rPr>
        <w:t>P</w:t>
      </w:r>
      <w:r>
        <w:rPr>
          <w:rFonts w:hint="default" w:ascii="Times New Roman Regular" w:hAnsi="Times New Roman Regular" w:eastAsia="宋体" w:cs="Times New Roman Regular"/>
          <w:kern w:val="0"/>
          <w:sz w:val="21"/>
          <w:szCs w:val="21"/>
          <w:lang w:val="en-US" w:eastAsia="zh-CN" w:bidi="ar"/>
        </w:rPr>
        <w:t xml:space="preserve"> &lt; 0.001, n = 12). This confirms that the increase in apparent reliance on atmospheric N does not depend on the choice of reference species (Section 2.5, 3.2).</w:t>
      </w:r>
    </w:p>
    <w:tbl>
      <w:tblPr>
        <w:tblStyle w:val="2"/>
        <w:tblW w:w="9567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3290"/>
        <w:gridCol w:w="1577"/>
        <w:gridCol w:w="1067"/>
        <w:gridCol w:w="1560"/>
        <w:gridCol w:w="2073"/>
      </w:tblGrid>
      <w:tr w14:paraId="0C53B676">
        <w:trPr>
          <w:tblHeader/>
        </w:trPr>
        <w:tc>
          <w:tcPr>
            <w:tcW w:w="329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C830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Metric</w:t>
            </w:r>
          </w:p>
        </w:tc>
        <w:tc>
          <w:tcPr>
            <w:tcW w:w="157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3EE7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Moderate (S1)</w:t>
            </w:r>
          </w:p>
        </w:tc>
        <w:tc>
          <w:tcPr>
            <w:tcW w:w="106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A106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Severe (S2)</w:t>
            </w:r>
          </w:p>
        </w:tc>
        <w:tc>
          <w:tcPr>
            <w:tcW w:w="156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C1D8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Very severe (S3)</w:t>
            </w:r>
          </w:p>
        </w:tc>
        <w:tc>
          <w:tcPr>
            <w:tcW w:w="207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1C3E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kern w:val="0"/>
                <w:sz w:val="21"/>
                <w:szCs w:val="21"/>
                <w:lang w:val="en-US" w:eastAsia="zh-CN" w:bidi="ar"/>
              </w:rPr>
              <w:t>Among-class test</w:t>
            </w:r>
          </w:p>
        </w:tc>
      </w:tr>
      <w:tr w14:paraId="332F1D09">
        <w:tc>
          <w:tcPr>
            <w:tcW w:w="329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8438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kern w:val="0"/>
                <w:sz w:val="21"/>
                <w:szCs w:val="21"/>
                <w:lang w:val="en-US" w:eastAsia="zh-CN" w:bidi="ar"/>
              </w:rPr>
              <w:t>K. caspia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 xml:space="preserve"> leaf δ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vertAlign w:val="superscript"/>
                <w:lang w:val="en-US" w:eastAsia="zh-CN" w:bidi="ar"/>
              </w:rPr>
              <w:t>15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N (‰)</w:t>
            </w:r>
          </w:p>
        </w:tc>
        <w:tc>
          <w:tcPr>
            <w:tcW w:w="157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B5C1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7.6 ± 0.9</w:t>
            </w:r>
          </w:p>
        </w:tc>
        <w:tc>
          <w:tcPr>
            <w:tcW w:w="106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BF87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8.1 ± 1.0</w:t>
            </w:r>
          </w:p>
        </w:tc>
        <w:tc>
          <w:tcPr>
            <w:tcW w:w="156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7A73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8.8 ± 1.1</w:t>
            </w:r>
          </w:p>
        </w:tc>
        <w:tc>
          <w:tcPr>
            <w:tcW w:w="2073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DA80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kern w:val="0"/>
                <w:sz w:val="21"/>
                <w:szCs w:val="21"/>
                <w:lang w:val="en-US" w:eastAsia="zh-CN" w:bidi="ar"/>
              </w:rPr>
              <w:t>F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vertAlign w:val="subscript"/>
                <w:lang w:val="en-US" w:eastAsia="zh-CN" w:bidi="ar"/>
              </w:rPr>
              <w:t>2,9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 xml:space="preserve"> = 4.1, </w:t>
            </w:r>
            <w:r>
              <w:rPr>
                <w:rFonts w:hint="default" w:ascii="Times New Roman Regular" w:hAnsi="Times New Roman Regular" w:eastAsia="宋体" w:cs="Times New Roman Regular"/>
                <w:i/>
                <w:kern w:val="0"/>
                <w:sz w:val="21"/>
                <w:szCs w:val="21"/>
                <w:lang w:val="en-US" w:eastAsia="zh-CN" w:bidi="ar"/>
              </w:rPr>
              <w:t>P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 xml:space="preserve"> = 0.048</w:t>
            </w:r>
          </w:p>
        </w:tc>
      </w:tr>
      <w:tr w14:paraId="5C258802">
        <w:tc>
          <w:tcPr>
            <w:tcW w:w="3290" w:type="dxa"/>
            <w:shd w:val="clear" w:color="auto" w:fill="auto"/>
            <w:vAlign w:val="center"/>
          </w:tcPr>
          <w:p w14:paraId="75743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Legume leaf δ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vertAlign w:val="superscript"/>
                <w:lang w:val="en-US" w:eastAsia="zh-CN" w:bidi="ar"/>
              </w:rPr>
              <w:t>15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N (‰)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717D6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5.9 ± 0.8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31105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3.6 ± 0.8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A874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1.7 ± 0.7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5F4BB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kern w:val="0"/>
                <w:sz w:val="21"/>
                <w:szCs w:val="21"/>
                <w:lang w:val="en-US" w:eastAsia="zh-CN" w:bidi="ar"/>
              </w:rPr>
              <w:t>F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vertAlign w:val="subscript"/>
                <w:lang w:val="en-US" w:eastAsia="zh-CN" w:bidi="ar"/>
              </w:rPr>
              <w:t>2,9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 xml:space="preserve"> = 39.6, </w:t>
            </w:r>
            <w:r>
              <w:rPr>
                <w:rFonts w:hint="default" w:ascii="Times New Roman Regular" w:hAnsi="Times New Roman Regular" w:eastAsia="宋体" w:cs="Times New Roman Regular"/>
                <w:i/>
                <w:kern w:val="0"/>
                <w:sz w:val="21"/>
                <w:szCs w:val="21"/>
                <w:lang w:val="en-US" w:eastAsia="zh-CN" w:bidi="ar"/>
              </w:rPr>
              <w:t>P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 xml:space="preserve"> &lt; 0.001</w:t>
            </w:r>
          </w:p>
        </w:tc>
      </w:tr>
      <w:tr w14:paraId="39DA50F2">
        <w:tc>
          <w:tcPr>
            <w:tcW w:w="3290" w:type="dxa"/>
            <w:shd w:val="clear" w:color="auto" w:fill="auto"/>
            <w:vAlign w:val="center"/>
          </w:tcPr>
          <w:p w14:paraId="551A5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Δδ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vertAlign w:val="superscript"/>
                <w:lang w:val="en-US" w:eastAsia="zh-CN" w:bidi="ar"/>
              </w:rPr>
              <w:t>15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N (</w:t>
            </w:r>
            <w:r>
              <w:rPr>
                <w:rFonts w:hint="default" w:ascii="Times New Roman Regular" w:hAnsi="Times New Roman Regular" w:eastAsia="宋体" w:cs="Times New Roman Regular"/>
                <w:i/>
                <w:kern w:val="0"/>
                <w:sz w:val="21"/>
                <w:szCs w:val="21"/>
                <w:lang w:val="en-US" w:eastAsia="zh-CN" w:bidi="ar"/>
              </w:rPr>
              <w:t>K. caspia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 xml:space="preserve"> − legume, ‰)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5AAA2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1.7 ± 0.7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304940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4.5 ± 0.9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AF82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7.1 ± 1.1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4F34F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kern w:val="0"/>
                <w:sz w:val="21"/>
                <w:szCs w:val="21"/>
                <w:lang w:val="en-US" w:eastAsia="zh-CN" w:bidi="ar"/>
              </w:rPr>
              <w:t>F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vertAlign w:val="subscript"/>
                <w:lang w:val="en-US" w:eastAsia="zh-CN" w:bidi="ar"/>
              </w:rPr>
              <w:t>2,9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 xml:space="preserve"> = 42.8, </w:t>
            </w:r>
            <w:r>
              <w:rPr>
                <w:rFonts w:hint="default" w:ascii="Times New Roman Regular" w:hAnsi="Times New Roman Regular" w:eastAsia="宋体" w:cs="Times New Roman Regular"/>
                <w:i/>
                <w:kern w:val="0"/>
                <w:sz w:val="21"/>
                <w:szCs w:val="21"/>
                <w:lang w:val="en-US" w:eastAsia="zh-CN" w:bidi="ar"/>
              </w:rPr>
              <w:t>P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 xml:space="preserve"> &lt; 0.001</w:t>
            </w:r>
          </w:p>
        </w:tc>
      </w:tr>
      <w:tr w14:paraId="415CFEFF">
        <w:tc>
          <w:tcPr>
            <w:tcW w:w="3290" w:type="dxa"/>
            <w:shd w:val="clear" w:color="auto" w:fill="auto"/>
            <w:vAlign w:val="center"/>
          </w:tcPr>
          <w:p w14:paraId="7B402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 xml:space="preserve">%Ndfa with </w:t>
            </w:r>
            <w:r>
              <w:rPr>
                <w:rFonts w:hint="default" w:ascii="Times New Roman Regular" w:hAnsi="Times New Roman Regular" w:eastAsia="宋体" w:cs="Times New Roman Regular"/>
                <w:i/>
                <w:kern w:val="0"/>
                <w:sz w:val="21"/>
                <w:szCs w:val="21"/>
                <w:lang w:val="en-US" w:eastAsia="zh-CN" w:bidi="ar"/>
              </w:rPr>
              <w:t>K. caspia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 xml:space="preserve"> reference (%)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441CF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18.7 ± 5.8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378F8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46.9 ± 8.0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962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68.9 ± 9.0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215C7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kern w:val="0"/>
                <w:sz w:val="21"/>
                <w:szCs w:val="21"/>
                <w:lang w:val="en-US" w:eastAsia="zh-CN" w:bidi="ar"/>
              </w:rPr>
              <w:t>F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vertAlign w:val="subscript"/>
                <w:lang w:val="en-US" w:eastAsia="zh-CN" w:bidi="ar"/>
              </w:rPr>
              <w:t>2,9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 xml:space="preserve"> = 38.5, </w:t>
            </w:r>
            <w:r>
              <w:rPr>
                <w:rFonts w:hint="default" w:ascii="Times New Roman Regular" w:hAnsi="Times New Roman Regular" w:eastAsia="宋体" w:cs="Times New Roman Regular"/>
                <w:i/>
                <w:kern w:val="0"/>
                <w:sz w:val="21"/>
                <w:szCs w:val="21"/>
                <w:lang w:val="en-US" w:eastAsia="zh-CN" w:bidi="ar"/>
              </w:rPr>
              <w:t>P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 xml:space="preserve"> &lt; 0.001</w:t>
            </w:r>
          </w:p>
        </w:tc>
      </w:tr>
      <w:tr w14:paraId="550040E1">
        <w:tc>
          <w:tcPr>
            <w:tcW w:w="3290" w:type="dxa"/>
            <w:shd w:val="clear" w:color="auto" w:fill="auto"/>
            <w:vAlign w:val="center"/>
          </w:tcPr>
          <w:p w14:paraId="455AC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 xml:space="preserve">%Ndfa with </w:t>
            </w:r>
            <w:r>
              <w:rPr>
                <w:rFonts w:hint="default" w:ascii="Times New Roman Regular" w:hAnsi="Times New Roman Regular" w:eastAsia="宋体" w:cs="Times New Roman Regular"/>
                <w:i/>
                <w:kern w:val="0"/>
                <w:sz w:val="21"/>
                <w:szCs w:val="21"/>
                <w:lang w:val="en-US" w:eastAsia="zh-CN" w:bidi="ar"/>
              </w:rPr>
              <w:t>T. ramosissima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 xml:space="preserve"> reference (%, main text)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14248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22.1 ± 6.8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5F43C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49.5 ± 8.2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B91D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>70.1 ± 8.9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45AA0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jc w:val="both"/>
              <w:textAlignment w:val="auto"/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/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kern w:val="0"/>
                <w:sz w:val="21"/>
                <w:szCs w:val="21"/>
                <w:lang w:val="en-US" w:eastAsia="zh-CN" w:bidi="ar"/>
              </w:rPr>
              <w:t>F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vertAlign w:val="subscript"/>
                <w:lang w:val="en-US" w:eastAsia="zh-CN" w:bidi="ar"/>
              </w:rPr>
              <w:t>2,21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 xml:space="preserve"> = 84.7, </w:t>
            </w:r>
            <w:r>
              <w:rPr>
                <w:rFonts w:hint="default" w:ascii="Times New Roman Regular" w:hAnsi="Times New Roman Regular" w:eastAsia="宋体" w:cs="Times New Roman Regular"/>
                <w:i/>
                <w:kern w:val="0"/>
                <w:sz w:val="21"/>
                <w:szCs w:val="21"/>
                <w:lang w:val="en-US" w:eastAsia="zh-CN" w:bidi="ar"/>
              </w:rPr>
              <w:t>P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1"/>
                <w:szCs w:val="21"/>
                <w:lang w:val="en-US" w:eastAsia="zh-CN" w:bidi="ar"/>
              </w:rPr>
              <w:t xml:space="preserve"> &lt; 0.001</w:t>
            </w:r>
          </w:p>
        </w:tc>
      </w:tr>
    </w:tbl>
    <w:p w14:paraId="157F9FC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/>
        <w:jc w:val="both"/>
        <w:textAlignment w:val="auto"/>
        <w:rPr>
          <w:rFonts w:hint="default" w:ascii="Times New Roman Regular" w:hAnsi="Times New Roman Regular" w:eastAsia="宋体" w:cs="Times New Roman Regular"/>
          <w:kern w:val="0"/>
          <w:sz w:val="24"/>
          <w:szCs w:val="24"/>
          <w:lang w:val="en-US" w:eastAsia="zh-CN" w:bidi="ar"/>
        </w:rPr>
      </w:pPr>
    </w:p>
    <w:p w14:paraId="2C71BC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/>
        <w:jc w:val="both"/>
        <w:textAlignment w:val="auto"/>
        <w:rPr>
          <w:rFonts w:hint="default" w:ascii="Times New Roman Regular" w:hAnsi="Times New Roman Regular" w:cs="Times New Roman Regular"/>
          <w:sz w:val="24"/>
          <w:szCs w:val="24"/>
        </w:rPr>
      </w:pPr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FFEA6A"/>
    <w:rsid w:val="B3EFB73F"/>
    <w:rsid w:val="D7F3A269"/>
    <w:rsid w:val="FDFFE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42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2026-07-05T09:47:00Z</dcterms:created>
  <dc:creator>CK.Ma</dc:creator>
  <cp:lastModifiedBy>CK.Ma</cp:lastModifiedBy>
  <dcterms:modified xsi:type="dcterms:W3CDTF">2026-07-05T10:51:34Z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EB0348F8254963CE98B7496A1496112C_41</vt:lpwstr>
  </property>
</Properties>
</file>