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CB0E" w14:textId="77777777" w:rsidR="00CD000E" w:rsidRPr="00CA2717" w:rsidRDefault="00CD000E" w:rsidP="00CD000E">
      <w:pPr>
        <w:spacing w:line="360" w:lineRule="auto"/>
        <w:jc w:val="both"/>
        <w:rPr>
          <w:rFonts w:ascii="Arial" w:hAnsi="Arial" w:cs="Arial"/>
          <w:b/>
          <w:bCs/>
          <w:color w:val="000000"/>
          <w:sz w:val="22"/>
          <w:szCs w:val="22"/>
          <w:lang w:eastAsia="en-GB"/>
        </w:rPr>
      </w:pPr>
      <w:r w:rsidRPr="00CA2717">
        <w:rPr>
          <w:rFonts w:ascii="Arial" w:hAnsi="Arial" w:cs="Arial"/>
          <w:b/>
          <w:bCs/>
          <w:color w:val="000000"/>
          <w:sz w:val="22"/>
          <w:szCs w:val="22"/>
          <w:lang w:eastAsia="en-GB"/>
        </w:rPr>
        <w:t>Supplementary Figure legends</w:t>
      </w:r>
    </w:p>
    <w:p w14:paraId="1881D13F" w14:textId="77777777" w:rsidR="00CD000E" w:rsidRPr="00CA2717" w:rsidRDefault="00CD000E" w:rsidP="00CD000E">
      <w:pPr>
        <w:spacing w:line="360" w:lineRule="atLeast"/>
        <w:jc w:val="both"/>
        <w:rPr>
          <w:rFonts w:ascii="Arial" w:hAnsi="Arial" w:cs="Arial"/>
          <w:b/>
          <w:bCs/>
          <w:color w:val="000000"/>
          <w:sz w:val="22"/>
          <w:szCs w:val="22"/>
          <w:lang w:eastAsia="en-GB"/>
        </w:rPr>
      </w:pPr>
      <w:r w:rsidRPr="00CA2717">
        <w:rPr>
          <w:rFonts w:ascii="Arial" w:hAnsi="Arial" w:cs="Arial"/>
          <w:b/>
          <w:bCs/>
          <w:color w:val="000000"/>
          <w:sz w:val="22"/>
          <w:szCs w:val="22"/>
          <w:lang w:eastAsia="en-GB"/>
        </w:rPr>
        <w:t xml:space="preserve">Supplementary </w:t>
      </w:r>
      <w:r w:rsidRPr="00CA2717">
        <w:rPr>
          <w:rFonts w:ascii="Arial" w:eastAsia="Arial" w:hAnsi="Arial" w:cs="Arial"/>
          <w:b/>
          <w:sz w:val="22"/>
          <w:szCs w:val="22"/>
        </w:rPr>
        <w:t xml:space="preserve">Figure 1. DNA localization in </w:t>
      </w:r>
      <w:r w:rsidRPr="00CA2717">
        <w:rPr>
          <w:rFonts w:ascii="Arial" w:eastAsia="Arial" w:hAnsi="Arial" w:cs="Arial"/>
          <w:b/>
          <w:i/>
          <w:sz w:val="22"/>
          <w:szCs w:val="22"/>
        </w:rPr>
        <w:t>A. filiformis</w:t>
      </w:r>
      <w:r w:rsidRPr="00CA2717">
        <w:rPr>
          <w:rFonts w:ascii="Arial" w:eastAsia="Arial" w:hAnsi="Arial" w:cs="Arial"/>
          <w:b/>
          <w:sz w:val="22"/>
          <w:szCs w:val="22"/>
        </w:rPr>
        <w:t xml:space="preserve">, </w:t>
      </w:r>
      <w:r w:rsidRPr="00CA2717">
        <w:rPr>
          <w:rFonts w:ascii="Arial" w:eastAsia="Arial" w:hAnsi="Arial" w:cs="Arial"/>
          <w:b/>
          <w:i/>
          <w:sz w:val="22"/>
          <w:szCs w:val="22"/>
        </w:rPr>
        <w:t>S. muelleri</w:t>
      </w:r>
      <w:r w:rsidRPr="00CA2717">
        <w:rPr>
          <w:rFonts w:ascii="Arial" w:eastAsia="Arial" w:hAnsi="Arial" w:cs="Arial"/>
          <w:b/>
          <w:sz w:val="22"/>
          <w:szCs w:val="22"/>
        </w:rPr>
        <w:t xml:space="preserve"> and </w:t>
      </w:r>
      <w:r w:rsidRPr="00CA2717">
        <w:rPr>
          <w:rFonts w:ascii="Arial" w:eastAsia="Arial" w:hAnsi="Arial" w:cs="Arial"/>
          <w:b/>
          <w:i/>
          <w:sz w:val="22"/>
          <w:szCs w:val="22"/>
        </w:rPr>
        <w:t>C. steedae</w:t>
      </w:r>
      <w:r w:rsidRPr="00CA2717">
        <w:rPr>
          <w:rFonts w:ascii="Arial" w:eastAsia="Arial" w:hAnsi="Arial" w:cs="Arial"/>
          <w:b/>
          <w:sz w:val="22"/>
          <w:szCs w:val="22"/>
        </w:rPr>
        <w:t xml:space="preserve"> cells.</w:t>
      </w:r>
      <w:r w:rsidRPr="00CA2717">
        <w:rPr>
          <w:rFonts w:ascii="Arial" w:eastAsia="Arial" w:hAnsi="Arial" w:cs="Arial"/>
          <w:sz w:val="22"/>
          <w:szCs w:val="22"/>
        </w:rPr>
        <w:t xml:space="preserve"> Schematic representations and confocal microscope images of (a) </w:t>
      </w:r>
      <w:r w:rsidRPr="00CA2717">
        <w:rPr>
          <w:rFonts w:ascii="Arial" w:eastAsia="Arial" w:hAnsi="Arial" w:cs="Arial"/>
          <w:i/>
          <w:iCs/>
          <w:sz w:val="22"/>
          <w:szCs w:val="22"/>
        </w:rPr>
        <w:t xml:space="preserve">A. filiformis, </w:t>
      </w:r>
      <w:r w:rsidRPr="00CA2717">
        <w:rPr>
          <w:rFonts w:ascii="Arial" w:eastAsia="Arial" w:hAnsi="Arial" w:cs="Arial"/>
          <w:sz w:val="22"/>
          <w:szCs w:val="22"/>
        </w:rPr>
        <w:t xml:space="preserve">(b) </w:t>
      </w:r>
      <w:r w:rsidRPr="00CA2717">
        <w:rPr>
          <w:rFonts w:ascii="Arial" w:eastAsia="Arial" w:hAnsi="Arial" w:cs="Arial"/>
          <w:i/>
          <w:iCs/>
          <w:sz w:val="22"/>
          <w:szCs w:val="22"/>
        </w:rPr>
        <w:t xml:space="preserve">S. muelleri </w:t>
      </w:r>
      <w:r w:rsidRPr="00CA2717">
        <w:rPr>
          <w:rFonts w:ascii="Arial" w:eastAsia="Arial" w:hAnsi="Arial" w:cs="Arial"/>
          <w:sz w:val="22"/>
          <w:szCs w:val="22"/>
        </w:rPr>
        <w:t xml:space="preserve">and (c) </w:t>
      </w:r>
      <w:r w:rsidRPr="00CA2717">
        <w:rPr>
          <w:rFonts w:ascii="Arial" w:eastAsia="Arial" w:hAnsi="Arial" w:cs="Arial"/>
          <w:i/>
          <w:iCs/>
          <w:sz w:val="22"/>
          <w:szCs w:val="22"/>
        </w:rPr>
        <w:t>C. steedae</w:t>
      </w:r>
      <w:r w:rsidRPr="00CA2717">
        <w:rPr>
          <w:rFonts w:ascii="Arial" w:eastAsia="Arial" w:hAnsi="Arial" w:cs="Arial"/>
          <w:sz w:val="22"/>
          <w:szCs w:val="22"/>
        </w:rPr>
        <w:t xml:space="preserve"> labeled with the peptidoglycan precursor TADA for 60 min (false colored in green) and stained with Hoechst 3342 (magenta). (a) Frontal view of an </w:t>
      </w:r>
      <w:r w:rsidRPr="00CA2717">
        <w:rPr>
          <w:rFonts w:ascii="Arial" w:eastAsia="Arial" w:hAnsi="Arial" w:cs="Arial"/>
          <w:i/>
          <w:iCs/>
          <w:sz w:val="22"/>
          <w:szCs w:val="22"/>
        </w:rPr>
        <w:t>A. filiformis</w:t>
      </w:r>
      <w:r w:rsidRPr="00CA2717">
        <w:rPr>
          <w:rFonts w:ascii="Arial" w:eastAsia="Arial" w:hAnsi="Arial" w:cs="Arial"/>
          <w:iCs/>
          <w:sz w:val="22"/>
          <w:szCs w:val="22"/>
        </w:rPr>
        <w:t xml:space="preserve"> filament</w:t>
      </w:r>
      <w:r w:rsidRPr="00CA2717">
        <w:rPr>
          <w:rFonts w:ascii="Arial" w:eastAsia="Arial" w:hAnsi="Arial" w:cs="Arial"/>
          <w:i/>
          <w:iCs/>
          <w:sz w:val="22"/>
          <w:szCs w:val="22"/>
        </w:rPr>
        <w:t xml:space="preserve"> </w:t>
      </w:r>
      <w:r w:rsidRPr="00CA2717">
        <w:rPr>
          <w:rFonts w:ascii="Arial" w:eastAsia="Arial" w:hAnsi="Arial" w:cs="Arial"/>
          <w:sz w:val="22"/>
          <w:szCs w:val="22"/>
        </w:rPr>
        <w:t xml:space="preserve">reveals a V-shaped DNA localization pattern due to longitudinal septation starting at the distal </w:t>
      </w:r>
      <w:r>
        <w:rPr>
          <w:rFonts w:ascii="Arial" w:eastAsia="Arial" w:hAnsi="Arial" w:cs="Arial"/>
          <w:sz w:val="22"/>
          <w:szCs w:val="22"/>
        </w:rPr>
        <w:t xml:space="preserve">(D) </w:t>
      </w:r>
      <w:r w:rsidRPr="00CA2717">
        <w:rPr>
          <w:rFonts w:ascii="Arial" w:eastAsia="Arial" w:hAnsi="Arial" w:cs="Arial"/>
          <w:sz w:val="22"/>
          <w:szCs w:val="22"/>
        </w:rPr>
        <w:t xml:space="preserve">pole (Nyongesa et al., 2022). Rightmost panel displays a 90 degrees rotated view of the cells marked with </w:t>
      </w:r>
      <w:r>
        <w:rPr>
          <w:rFonts w:ascii="Arial" w:eastAsia="Arial" w:hAnsi="Arial" w:cs="Arial"/>
          <w:sz w:val="22"/>
          <w:szCs w:val="22"/>
        </w:rPr>
        <w:t>an asterisk</w:t>
      </w:r>
      <w:r w:rsidRPr="00CA2717">
        <w:rPr>
          <w:rFonts w:ascii="Arial" w:eastAsia="Arial" w:hAnsi="Arial" w:cs="Arial"/>
          <w:sz w:val="22"/>
          <w:szCs w:val="22"/>
        </w:rPr>
        <w:t>. (b) Viewed from the top</w:t>
      </w:r>
      <w:r w:rsidRPr="00CA2717">
        <w:rPr>
          <w:rFonts w:ascii="Arial" w:eastAsia="Arial" w:hAnsi="Arial" w:cs="Arial"/>
          <w:i/>
          <w:sz w:val="22"/>
          <w:szCs w:val="22"/>
        </w:rPr>
        <w:t xml:space="preserve">, S. muelleri </w:t>
      </w:r>
      <w:r w:rsidRPr="00CA2717">
        <w:rPr>
          <w:rFonts w:ascii="Arial" w:eastAsia="Arial" w:hAnsi="Arial" w:cs="Arial"/>
          <w:sz w:val="22"/>
          <w:szCs w:val="22"/>
        </w:rPr>
        <w:t xml:space="preserve">DNA </w:t>
      </w:r>
      <w:r>
        <w:rPr>
          <w:rFonts w:ascii="Arial" w:eastAsia="Arial" w:hAnsi="Arial" w:cs="Arial"/>
          <w:sz w:val="22"/>
          <w:szCs w:val="22"/>
        </w:rPr>
        <w:t>is absent from the center of a non-terminal, likely proliferating cell (n</w:t>
      </w:r>
      <w:r w:rsidRPr="00CA2717">
        <w:rPr>
          <w:rFonts w:ascii="Arial" w:eastAsia="Arial" w:hAnsi="Arial" w:cs="Arial"/>
          <w:sz w:val="22"/>
          <w:szCs w:val="22"/>
        </w:rPr>
        <w:t xml:space="preserve">) or </w:t>
      </w:r>
      <w:r>
        <w:rPr>
          <w:rFonts w:ascii="Arial" w:eastAsia="Arial" w:hAnsi="Arial" w:cs="Arial"/>
          <w:sz w:val="22"/>
          <w:szCs w:val="22"/>
        </w:rPr>
        <w:t xml:space="preserve">present at the center of a terminal (t), likely non-replicating cell. </w:t>
      </w:r>
      <w:r w:rsidRPr="00CA2717">
        <w:rPr>
          <w:rFonts w:ascii="Arial" w:eastAsia="Arial" w:hAnsi="Arial" w:cs="Arial"/>
          <w:sz w:val="22"/>
          <w:szCs w:val="22"/>
        </w:rPr>
        <w:t xml:space="preserve">Rightmost panel displays side views of </w:t>
      </w:r>
      <w:r>
        <w:rPr>
          <w:rFonts w:ascii="Arial" w:eastAsia="Arial" w:hAnsi="Arial" w:cs="Arial"/>
          <w:sz w:val="22"/>
          <w:szCs w:val="22"/>
        </w:rPr>
        <w:t xml:space="preserve">a non-terminal (n) </w:t>
      </w:r>
      <w:r w:rsidRPr="00CA2717">
        <w:rPr>
          <w:rFonts w:ascii="Arial" w:eastAsia="Arial" w:hAnsi="Arial" w:cs="Arial"/>
          <w:sz w:val="22"/>
          <w:szCs w:val="22"/>
        </w:rPr>
        <w:t>and</w:t>
      </w:r>
      <w:r>
        <w:rPr>
          <w:rFonts w:ascii="Arial" w:eastAsia="Arial" w:hAnsi="Arial" w:cs="Arial"/>
          <w:sz w:val="22"/>
          <w:szCs w:val="22"/>
        </w:rPr>
        <w:t xml:space="preserve"> a terminal (t) cell</w:t>
      </w:r>
      <w:r w:rsidRPr="00CA2717">
        <w:rPr>
          <w:rFonts w:ascii="Arial" w:eastAsia="Arial" w:hAnsi="Arial" w:cs="Arial"/>
          <w:sz w:val="22"/>
          <w:szCs w:val="22"/>
        </w:rPr>
        <w:t xml:space="preserve">. Rightmost panel displays side views of </w:t>
      </w:r>
      <w:r>
        <w:rPr>
          <w:rFonts w:ascii="Arial" w:eastAsia="Arial" w:hAnsi="Arial" w:cs="Arial"/>
          <w:sz w:val="22"/>
          <w:szCs w:val="22"/>
        </w:rPr>
        <w:t xml:space="preserve">a non-terminal (n) </w:t>
      </w:r>
      <w:r w:rsidRPr="00CA2717">
        <w:rPr>
          <w:rFonts w:ascii="Arial" w:eastAsia="Arial" w:hAnsi="Arial" w:cs="Arial"/>
          <w:sz w:val="22"/>
          <w:szCs w:val="22"/>
        </w:rPr>
        <w:t xml:space="preserve">and </w:t>
      </w:r>
      <w:r>
        <w:rPr>
          <w:rFonts w:ascii="Arial" w:eastAsia="Arial" w:hAnsi="Arial" w:cs="Arial"/>
          <w:sz w:val="22"/>
          <w:szCs w:val="22"/>
        </w:rPr>
        <w:t>a terminal cell (t)</w:t>
      </w:r>
      <w:r w:rsidRPr="00CA2717">
        <w:rPr>
          <w:rFonts w:ascii="Arial" w:eastAsia="Arial" w:hAnsi="Arial" w:cs="Arial"/>
          <w:sz w:val="22"/>
          <w:szCs w:val="22"/>
        </w:rPr>
        <w:t xml:space="preserve">. (c) Viewed from the top, </w:t>
      </w:r>
      <w:r w:rsidRPr="00CA2717">
        <w:rPr>
          <w:rFonts w:ascii="Arial" w:eastAsia="Arial" w:hAnsi="Arial" w:cs="Arial"/>
          <w:i/>
          <w:sz w:val="22"/>
          <w:szCs w:val="22"/>
        </w:rPr>
        <w:t>C. steedae</w:t>
      </w:r>
      <w:r w:rsidRPr="00CA2717">
        <w:rPr>
          <w:rFonts w:ascii="Arial" w:eastAsia="Arial" w:hAnsi="Arial" w:cs="Arial"/>
          <w:sz w:val="22"/>
          <w:szCs w:val="22"/>
        </w:rPr>
        <w:t xml:space="preserve"> DNA </w:t>
      </w:r>
      <w:r>
        <w:rPr>
          <w:rFonts w:ascii="Arial" w:eastAsia="Arial" w:hAnsi="Arial" w:cs="Arial"/>
          <w:sz w:val="22"/>
          <w:szCs w:val="22"/>
        </w:rPr>
        <w:t>is absent from the center of a non-terminal, likely DNA replicating cell (n</w:t>
      </w:r>
      <w:r w:rsidRPr="00CA2717">
        <w:rPr>
          <w:rFonts w:ascii="Arial" w:eastAsia="Arial" w:hAnsi="Arial" w:cs="Arial"/>
          <w:sz w:val="22"/>
          <w:szCs w:val="22"/>
        </w:rPr>
        <w:t xml:space="preserve">) or </w:t>
      </w:r>
      <w:r>
        <w:rPr>
          <w:rFonts w:ascii="Arial" w:eastAsia="Arial" w:hAnsi="Arial" w:cs="Arial"/>
          <w:sz w:val="22"/>
          <w:szCs w:val="22"/>
        </w:rPr>
        <w:t xml:space="preserve">present at the center of a prospective terminal, non-replicating cell (t). </w:t>
      </w:r>
      <w:r w:rsidRPr="00CA2717">
        <w:rPr>
          <w:rFonts w:ascii="Arial" w:eastAsia="Arial" w:hAnsi="Arial" w:cs="Arial"/>
          <w:sz w:val="22"/>
          <w:szCs w:val="22"/>
        </w:rPr>
        <w:t xml:space="preserve">Rightmost panel displays side views of </w:t>
      </w:r>
      <w:r>
        <w:rPr>
          <w:rFonts w:ascii="Arial" w:eastAsia="Arial" w:hAnsi="Arial" w:cs="Arial"/>
          <w:sz w:val="22"/>
          <w:szCs w:val="22"/>
        </w:rPr>
        <w:t xml:space="preserve">a non-terminal (n) </w:t>
      </w:r>
      <w:r w:rsidRPr="00CA2717">
        <w:rPr>
          <w:rFonts w:ascii="Arial" w:eastAsia="Arial" w:hAnsi="Arial" w:cs="Arial"/>
          <w:sz w:val="22"/>
          <w:szCs w:val="22"/>
        </w:rPr>
        <w:t>and</w:t>
      </w:r>
      <w:r>
        <w:rPr>
          <w:rFonts w:ascii="Arial" w:eastAsia="Arial" w:hAnsi="Arial" w:cs="Arial"/>
          <w:sz w:val="22"/>
          <w:szCs w:val="22"/>
        </w:rPr>
        <w:t xml:space="preserve"> a terminal (t) cell</w:t>
      </w:r>
      <w:r w:rsidRPr="00CA2717">
        <w:rPr>
          <w:rFonts w:ascii="Arial" w:eastAsia="Arial" w:hAnsi="Arial" w:cs="Arial"/>
          <w:sz w:val="22"/>
          <w:szCs w:val="22"/>
        </w:rPr>
        <w:t>. Scale bars are 1 µm.</w:t>
      </w:r>
    </w:p>
    <w:p w14:paraId="47452CC9" w14:textId="77777777" w:rsidR="00CD000E" w:rsidRPr="00CA2717" w:rsidRDefault="00CD000E" w:rsidP="00CD000E">
      <w:pPr>
        <w:spacing w:line="360" w:lineRule="atLeast"/>
        <w:jc w:val="both"/>
        <w:rPr>
          <w:rFonts w:ascii="Arial" w:hAnsi="Arial" w:cs="Arial"/>
          <w:b/>
          <w:bCs/>
          <w:color w:val="000000"/>
          <w:sz w:val="22"/>
          <w:szCs w:val="22"/>
          <w:lang w:eastAsia="en-GB"/>
        </w:rPr>
      </w:pPr>
    </w:p>
    <w:p w14:paraId="43D3FF20" w14:textId="77777777" w:rsidR="00CD000E" w:rsidRPr="00CA2717" w:rsidRDefault="00CD000E" w:rsidP="00CD000E">
      <w:pPr>
        <w:spacing w:line="360" w:lineRule="auto"/>
        <w:jc w:val="both"/>
        <w:rPr>
          <w:rFonts w:ascii="Arial" w:eastAsia="Arial" w:hAnsi="Arial" w:cs="Arial"/>
          <w:sz w:val="22"/>
          <w:szCs w:val="22"/>
        </w:rPr>
      </w:pPr>
      <w:r w:rsidRPr="00CA2717">
        <w:rPr>
          <w:rFonts w:ascii="Arial" w:eastAsia="Arial" w:hAnsi="Arial" w:cs="Arial"/>
          <w:b/>
          <w:sz w:val="22"/>
          <w:szCs w:val="22"/>
        </w:rPr>
        <w:t>Supplementary</w:t>
      </w:r>
      <w:r w:rsidRPr="00CA2717">
        <w:rPr>
          <w:rFonts w:ascii="Arial" w:eastAsia="Arial" w:hAnsi="Arial" w:cs="Arial"/>
          <w:b/>
          <w:color w:val="000000"/>
          <w:sz w:val="22"/>
          <w:szCs w:val="22"/>
        </w:rPr>
        <w:t xml:space="preserve"> Figure 2. </w:t>
      </w:r>
      <w:r w:rsidRPr="00CA2717">
        <w:rPr>
          <w:rFonts w:ascii="Arial" w:eastAsia="Arial" w:hAnsi="Arial" w:cs="Arial"/>
          <w:b/>
          <w:sz w:val="22"/>
          <w:szCs w:val="22"/>
        </w:rPr>
        <w:t xml:space="preserve">Lateral segregation of </w:t>
      </w:r>
      <w:r w:rsidRPr="00CA2717">
        <w:rPr>
          <w:rFonts w:ascii="Arial" w:eastAsia="Arial" w:hAnsi="Arial" w:cs="Arial"/>
          <w:b/>
          <w:i/>
          <w:sz w:val="22"/>
          <w:szCs w:val="22"/>
        </w:rPr>
        <w:t xml:space="preserve">A. filiformis </w:t>
      </w:r>
      <w:r w:rsidRPr="00CA2717">
        <w:rPr>
          <w:rFonts w:ascii="Arial" w:eastAsia="Arial" w:hAnsi="Arial" w:cs="Arial"/>
          <w:b/>
          <w:iCs/>
          <w:sz w:val="22"/>
          <w:szCs w:val="22"/>
        </w:rPr>
        <w:t>chromosome</w:t>
      </w:r>
      <w:r w:rsidRPr="00CA2717">
        <w:rPr>
          <w:rFonts w:ascii="Arial" w:eastAsia="Arial" w:hAnsi="Arial" w:cs="Arial"/>
          <w:b/>
          <w:sz w:val="22"/>
          <w:szCs w:val="22"/>
        </w:rPr>
        <w:t xml:space="preserve">. </w:t>
      </w:r>
      <w:r w:rsidRPr="00CA2717">
        <w:rPr>
          <w:rFonts w:ascii="Arial" w:eastAsia="Arial" w:hAnsi="Arial" w:cs="Arial"/>
          <w:sz w:val="22"/>
          <w:szCs w:val="22"/>
        </w:rPr>
        <w:t xml:space="preserve">(a) DNA FISH-based subcellular localization of </w:t>
      </w:r>
      <w:r w:rsidRPr="00CA2717">
        <w:rPr>
          <w:rFonts w:ascii="Arial" w:eastAsia="Arial" w:hAnsi="Arial" w:cs="Arial"/>
          <w:i/>
          <w:iCs/>
          <w:sz w:val="22"/>
          <w:szCs w:val="22"/>
        </w:rPr>
        <w:t xml:space="preserve">A. filiformis ori </w:t>
      </w:r>
      <w:r w:rsidRPr="00CA2717">
        <w:rPr>
          <w:rFonts w:ascii="Arial" w:eastAsia="Arial" w:hAnsi="Arial" w:cs="Arial"/>
          <w:sz w:val="22"/>
          <w:szCs w:val="22"/>
        </w:rPr>
        <w:t xml:space="preserve">in 709 non-replicating (1 </w:t>
      </w:r>
      <w:r w:rsidRPr="00CA2717">
        <w:rPr>
          <w:rFonts w:ascii="Arial" w:eastAsia="Arial" w:hAnsi="Arial" w:cs="Arial"/>
          <w:i/>
          <w:iCs/>
          <w:sz w:val="22"/>
          <w:szCs w:val="22"/>
        </w:rPr>
        <w:t>ori</w:t>
      </w:r>
      <w:r w:rsidRPr="00CA2717">
        <w:rPr>
          <w:rFonts w:ascii="Arial" w:eastAsia="Arial" w:hAnsi="Arial" w:cs="Arial"/>
          <w:sz w:val="22"/>
          <w:szCs w:val="22"/>
        </w:rPr>
        <w:t xml:space="preserve"> focus; left) or 39 replicating (2 </w:t>
      </w:r>
      <w:r w:rsidRPr="00CA2717">
        <w:rPr>
          <w:rFonts w:ascii="Arial" w:eastAsia="Arial" w:hAnsi="Arial" w:cs="Arial"/>
          <w:i/>
          <w:iCs/>
          <w:sz w:val="22"/>
          <w:szCs w:val="22"/>
        </w:rPr>
        <w:t>ori</w:t>
      </w:r>
      <w:r w:rsidRPr="00CA2717">
        <w:rPr>
          <w:rFonts w:ascii="Arial" w:eastAsia="Arial" w:hAnsi="Arial" w:cs="Arial"/>
          <w:sz w:val="22"/>
          <w:szCs w:val="22"/>
        </w:rPr>
        <w:t xml:space="preserve"> foci; right) cells. (b) DNA FISH-based subcellular localization of </w:t>
      </w:r>
      <w:r w:rsidRPr="00CA2717">
        <w:rPr>
          <w:rFonts w:ascii="Arial" w:eastAsia="Arial" w:hAnsi="Arial" w:cs="Arial"/>
          <w:i/>
          <w:iCs/>
          <w:sz w:val="22"/>
          <w:szCs w:val="22"/>
        </w:rPr>
        <w:t xml:space="preserve">A. filiformis ter </w:t>
      </w:r>
      <w:r w:rsidRPr="00CA2717">
        <w:rPr>
          <w:rFonts w:ascii="Arial" w:eastAsia="Arial" w:hAnsi="Arial" w:cs="Arial"/>
          <w:sz w:val="22"/>
          <w:szCs w:val="22"/>
        </w:rPr>
        <w:t xml:space="preserve">in 402 non-replicating (1 </w:t>
      </w:r>
      <w:r w:rsidRPr="00CA2717">
        <w:rPr>
          <w:rFonts w:ascii="Arial" w:eastAsia="Arial" w:hAnsi="Arial" w:cs="Arial"/>
          <w:i/>
          <w:iCs/>
          <w:sz w:val="22"/>
          <w:szCs w:val="22"/>
        </w:rPr>
        <w:t xml:space="preserve">ter </w:t>
      </w:r>
      <w:r w:rsidRPr="00CA2717">
        <w:rPr>
          <w:rFonts w:ascii="Arial" w:eastAsia="Arial" w:hAnsi="Arial" w:cs="Arial"/>
          <w:sz w:val="22"/>
          <w:szCs w:val="22"/>
        </w:rPr>
        <w:t xml:space="preserve">focus; left) cells or in 45 replicating (2 </w:t>
      </w:r>
      <w:r>
        <w:rPr>
          <w:rFonts w:ascii="Arial" w:eastAsia="Arial" w:hAnsi="Arial" w:cs="Arial"/>
          <w:i/>
          <w:iCs/>
          <w:sz w:val="22"/>
          <w:szCs w:val="22"/>
        </w:rPr>
        <w:t>ter</w:t>
      </w:r>
      <w:r w:rsidRPr="00CA2717">
        <w:rPr>
          <w:rFonts w:ascii="Arial" w:eastAsia="Arial" w:hAnsi="Arial" w:cs="Arial"/>
          <w:sz w:val="22"/>
          <w:szCs w:val="22"/>
        </w:rPr>
        <w:t xml:space="preserve"> foci; right) cells. (c) Epifluorescence microscope image of a representative filament of </w:t>
      </w:r>
      <w:r w:rsidRPr="00CA2717">
        <w:rPr>
          <w:rFonts w:ascii="Arial" w:eastAsia="Arial" w:hAnsi="Arial" w:cs="Arial"/>
          <w:i/>
          <w:sz w:val="22"/>
          <w:szCs w:val="22"/>
        </w:rPr>
        <w:t>A. filiformis</w:t>
      </w:r>
      <w:r w:rsidRPr="00CA2717">
        <w:rPr>
          <w:rFonts w:ascii="Arial" w:eastAsia="Arial" w:hAnsi="Arial" w:cs="Arial"/>
          <w:sz w:val="22"/>
          <w:szCs w:val="22"/>
        </w:rPr>
        <w:t xml:space="preserve"> subjected to</w:t>
      </w:r>
      <w:r w:rsidRPr="00CA2717">
        <w:rPr>
          <w:rFonts w:ascii="Arial" w:eastAsia="Arial" w:hAnsi="Arial" w:cs="Arial"/>
          <w:i/>
          <w:sz w:val="22"/>
          <w:szCs w:val="22"/>
        </w:rPr>
        <w:t xml:space="preserve"> </w:t>
      </w:r>
      <w:r w:rsidRPr="00CA2717">
        <w:rPr>
          <w:rFonts w:ascii="Arial" w:eastAsia="Arial" w:hAnsi="Arial" w:cs="Arial"/>
          <w:sz w:val="22"/>
          <w:szCs w:val="22"/>
        </w:rPr>
        <w:t>DNA FISH with a probe targeting the left arm of its chromosome; phase contrast image is displayed in the upper panel and corresponding FISH (green) and Hoechst 3342 (magenta) fluorescence image in the bottom panel. Flanking heat maps display the subcellular localization of</w:t>
      </w:r>
      <w:r w:rsidRPr="00CA2717">
        <w:rPr>
          <w:rFonts w:ascii="Arial" w:eastAsia="Arial" w:hAnsi="Arial" w:cs="Arial"/>
          <w:iCs/>
          <w:sz w:val="22"/>
          <w:szCs w:val="22"/>
        </w:rPr>
        <w:t xml:space="preserve"> left probe</w:t>
      </w:r>
      <w:r w:rsidRPr="00CA2717">
        <w:rPr>
          <w:rFonts w:ascii="Arial" w:eastAsia="Arial" w:hAnsi="Arial" w:cs="Arial"/>
          <w:sz w:val="22"/>
          <w:szCs w:val="22"/>
        </w:rPr>
        <w:t xml:space="preserve"> in 355 non-replicating (1 focus; left heat map) or 17 replicating (2 foci; right heat map) cells. (d) Epifluorescence microscope image of a representative filament of </w:t>
      </w:r>
      <w:r w:rsidRPr="00CA2717">
        <w:rPr>
          <w:rFonts w:ascii="Arial" w:eastAsia="Arial" w:hAnsi="Arial" w:cs="Arial"/>
          <w:i/>
          <w:sz w:val="22"/>
          <w:szCs w:val="22"/>
        </w:rPr>
        <w:t>A. filiformis</w:t>
      </w:r>
      <w:r w:rsidRPr="00CA2717">
        <w:rPr>
          <w:rFonts w:ascii="Arial" w:eastAsia="Arial" w:hAnsi="Arial" w:cs="Arial"/>
          <w:sz w:val="22"/>
          <w:szCs w:val="22"/>
        </w:rPr>
        <w:t xml:space="preserve"> subjected to</w:t>
      </w:r>
      <w:r w:rsidRPr="00CA2717">
        <w:rPr>
          <w:rFonts w:ascii="Arial" w:eastAsia="Arial" w:hAnsi="Arial" w:cs="Arial"/>
          <w:i/>
          <w:sz w:val="22"/>
          <w:szCs w:val="22"/>
        </w:rPr>
        <w:t xml:space="preserve"> </w:t>
      </w:r>
      <w:r w:rsidRPr="00CA2717">
        <w:rPr>
          <w:rFonts w:ascii="Arial" w:eastAsia="Arial" w:hAnsi="Arial" w:cs="Arial"/>
          <w:sz w:val="22"/>
          <w:szCs w:val="22"/>
        </w:rPr>
        <w:t>DNA FISH with a probe targeting the right arm of its chromosome; phase contrast image is displayed in the upper panel and corresponding FISH (green) and Hoechst 3342 (magenta) fluorescence image in the bottom panel. Flanking heat maps display the subcellular localization of</w:t>
      </w:r>
      <w:r w:rsidRPr="00CA2717">
        <w:rPr>
          <w:rFonts w:ascii="Arial" w:eastAsia="Arial" w:hAnsi="Arial" w:cs="Arial"/>
          <w:iCs/>
          <w:sz w:val="22"/>
          <w:szCs w:val="22"/>
        </w:rPr>
        <w:t xml:space="preserve"> the right probe</w:t>
      </w:r>
      <w:r w:rsidRPr="00CA2717">
        <w:rPr>
          <w:rFonts w:ascii="Arial" w:eastAsia="Arial" w:hAnsi="Arial" w:cs="Arial"/>
          <w:sz w:val="22"/>
          <w:szCs w:val="22"/>
        </w:rPr>
        <w:t xml:space="preserve"> in 420 non-replicating (1 focus; left heat map) or 84 replicating (2 foci; right heat map) cells. P: proximal. Scale bars are </w:t>
      </w:r>
      <w:r w:rsidRPr="00927125">
        <w:rPr>
          <w:rFonts w:ascii="Arial" w:eastAsia="Arial" w:hAnsi="Arial" w:cs="Arial"/>
          <w:sz w:val="22"/>
          <w:szCs w:val="22"/>
        </w:rPr>
        <w:t>2 µm.</w:t>
      </w:r>
    </w:p>
    <w:p w14:paraId="36EF3BE0" w14:textId="77777777" w:rsidR="00CD000E" w:rsidRPr="00CA2717" w:rsidRDefault="00CD000E" w:rsidP="00CD000E">
      <w:pPr>
        <w:spacing w:line="360" w:lineRule="atLeast"/>
        <w:jc w:val="both"/>
        <w:rPr>
          <w:rFonts w:ascii="Arial" w:hAnsi="Arial" w:cs="Arial"/>
          <w:b/>
          <w:bCs/>
          <w:color w:val="000000"/>
          <w:sz w:val="22"/>
          <w:szCs w:val="22"/>
          <w:lang w:eastAsia="en-GB"/>
        </w:rPr>
      </w:pPr>
    </w:p>
    <w:p w14:paraId="12D8E4A2" w14:textId="77777777" w:rsidR="00CD000E" w:rsidRPr="00CA2717" w:rsidRDefault="00CD000E" w:rsidP="00CD000E">
      <w:pPr>
        <w:spacing w:line="360" w:lineRule="auto"/>
        <w:jc w:val="both"/>
        <w:rPr>
          <w:rFonts w:ascii="Arial" w:eastAsia="Arial" w:hAnsi="Arial" w:cs="Arial"/>
          <w:b/>
          <w:bCs/>
          <w:sz w:val="22"/>
          <w:szCs w:val="22"/>
        </w:rPr>
      </w:pPr>
      <w:r w:rsidRPr="00CA2717">
        <w:rPr>
          <w:rFonts w:ascii="Arial" w:eastAsia="Arial" w:hAnsi="Arial" w:cs="Arial"/>
          <w:b/>
          <w:bCs/>
          <w:sz w:val="22"/>
          <w:szCs w:val="22"/>
        </w:rPr>
        <w:t>Supplementary Figure 3. Structural alignment of ParB, phylogenetic placement, protein expression in animal symbionts and ParB/</w:t>
      </w:r>
      <w:r w:rsidRPr="00CA2717">
        <w:rPr>
          <w:rFonts w:ascii="Arial" w:eastAsia="Arial" w:hAnsi="Arial" w:cs="Arial"/>
          <w:b/>
          <w:bCs/>
          <w:i/>
          <w:iCs/>
          <w:sz w:val="22"/>
          <w:szCs w:val="22"/>
        </w:rPr>
        <w:t>parS</w:t>
      </w:r>
      <w:r w:rsidRPr="00CA2717">
        <w:rPr>
          <w:rFonts w:ascii="Arial" w:eastAsia="Arial" w:hAnsi="Arial" w:cs="Arial"/>
          <w:b/>
          <w:bCs/>
          <w:sz w:val="22"/>
          <w:szCs w:val="22"/>
        </w:rPr>
        <w:t xml:space="preserve"> electrophoretic mobility shift assays (EMSAs). </w:t>
      </w:r>
      <w:r w:rsidRPr="00CA2717">
        <w:rPr>
          <w:rFonts w:ascii="Arial" w:eastAsia="Arial" w:hAnsi="Arial" w:cs="Arial"/>
          <w:sz w:val="22"/>
          <w:szCs w:val="22"/>
        </w:rPr>
        <w:t xml:space="preserve">(a) Secondary structure prediction of selected ParB proteins. Red indicates predicted alpha helices whereas blue indicates predicted beta strands. The experimental secondary structure elements are inferred from the </w:t>
      </w:r>
      <w:r w:rsidRPr="00CA2717">
        <w:rPr>
          <w:rFonts w:ascii="Arial" w:eastAsia="Arial" w:hAnsi="Arial" w:cs="Arial"/>
          <w:i/>
          <w:iCs/>
          <w:sz w:val="22"/>
          <w:szCs w:val="22"/>
        </w:rPr>
        <w:t>Caulobacter vibrioides</w:t>
      </w:r>
      <w:r w:rsidRPr="00CA2717">
        <w:rPr>
          <w:rFonts w:ascii="Arial" w:eastAsia="Arial" w:hAnsi="Arial" w:cs="Arial"/>
          <w:sz w:val="22"/>
          <w:szCs w:val="22"/>
        </w:rPr>
        <w:t xml:space="preserve"> ParB and depicted </w:t>
      </w:r>
      <w:r w:rsidRPr="00CA2717">
        <w:rPr>
          <w:rFonts w:ascii="Arial" w:eastAsia="Arial" w:hAnsi="Arial" w:cs="Arial"/>
          <w:sz w:val="22"/>
          <w:szCs w:val="22"/>
        </w:rPr>
        <w:lastRenderedPageBreak/>
        <w:t xml:space="preserve">above each sequence block. Prediction was performed using PSIPRED and Ali2D. </w:t>
      </w:r>
      <w:r w:rsidRPr="00CA2717">
        <w:rPr>
          <w:rFonts w:ascii="Arial" w:eastAsia="Arial" w:hAnsi="Arial" w:cs="Arial"/>
          <w:i/>
          <w:iCs/>
          <w:sz w:val="22"/>
          <w:szCs w:val="22"/>
        </w:rPr>
        <w:t>B. subtilis</w:t>
      </w:r>
      <w:r w:rsidRPr="00CA2717">
        <w:rPr>
          <w:rFonts w:ascii="Arial" w:eastAsia="Arial" w:hAnsi="Arial" w:cs="Arial"/>
          <w:sz w:val="22"/>
          <w:szCs w:val="22"/>
        </w:rPr>
        <w:t xml:space="preserve">: </w:t>
      </w:r>
      <w:r w:rsidRPr="00CA2717">
        <w:rPr>
          <w:rFonts w:ascii="Arial" w:eastAsia="Arial" w:hAnsi="Arial" w:cs="Arial"/>
          <w:i/>
          <w:iCs/>
          <w:sz w:val="22"/>
          <w:szCs w:val="22"/>
        </w:rPr>
        <w:t xml:space="preserve">Bacillus subtilis. </w:t>
      </w:r>
      <w:r w:rsidRPr="00FE055D">
        <w:rPr>
          <w:rFonts w:ascii="Arial" w:eastAsia="Arial" w:hAnsi="Arial" w:cs="Arial"/>
          <w:i/>
          <w:iCs/>
          <w:sz w:val="22"/>
          <w:szCs w:val="22"/>
          <w:lang w:val="fr-FR"/>
        </w:rPr>
        <w:t>C. steedae</w:t>
      </w:r>
      <w:r w:rsidRPr="00135D9B">
        <w:rPr>
          <w:rFonts w:ascii="Arial" w:eastAsia="Arial" w:hAnsi="Arial" w:cs="Arial"/>
          <w:sz w:val="22"/>
          <w:szCs w:val="22"/>
          <w:lang w:val="fr-FR"/>
        </w:rPr>
        <w:t>:</w:t>
      </w:r>
      <w:r w:rsidRPr="00FE055D">
        <w:rPr>
          <w:rFonts w:ascii="Arial" w:eastAsia="Arial" w:hAnsi="Arial" w:cs="Arial"/>
          <w:i/>
          <w:iCs/>
          <w:sz w:val="22"/>
          <w:szCs w:val="22"/>
          <w:lang w:val="fr-FR"/>
        </w:rPr>
        <w:t xml:space="preserve"> Conchiformibius steedae</w:t>
      </w:r>
      <w:r w:rsidRPr="00FE055D">
        <w:rPr>
          <w:rFonts w:ascii="Arial" w:eastAsia="Arial" w:hAnsi="Arial" w:cs="Arial"/>
          <w:sz w:val="22"/>
          <w:szCs w:val="22"/>
          <w:lang w:val="fr-FR"/>
        </w:rPr>
        <w:t xml:space="preserve">. </w:t>
      </w:r>
      <w:r w:rsidRPr="00FE055D">
        <w:rPr>
          <w:rFonts w:ascii="Arial" w:eastAsia="Arial" w:hAnsi="Arial" w:cs="Arial"/>
          <w:i/>
          <w:iCs/>
          <w:sz w:val="22"/>
          <w:szCs w:val="22"/>
          <w:lang w:val="fr-FR"/>
        </w:rPr>
        <w:t>A. filiformis</w:t>
      </w:r>
      <w:r w:rsidRPr="00135D9B">
        <w:rPr>
          <w:rFonts w:ascii="Arial" w:eastAsia="Arial" w:hAnsi="Arial" w:cs="Arial"/>
          <w:sz w:val="22"/>
          <w:szCs w:val="22"/>
          <w:lang w:val="fr-FR"/>
        </w:rPr>
        <w:t>:</w:t>
      </w:r>
      <w:r w:rsidRPr="00FE055D">
        <w:rPr>
          <w:rFonts w:ascii="Arial" w:eastAsia="Arial" w:hAnsi="Arial" w:cs="Arial"/>
          <w:i/>
          <w:iCs/>
          <w:sz w:val="22"/>
          <w:szCs w:val="22"/>
          <w:lang w:val="fr-FR"/>
        </w:rPr>
        <w:t xml:space="preserve"> Alysiella filiformis. S. muelleri</w:t>
      </w:r>
      <w:r w:rsidRPr="00135D9B">
        <w:rPr>
          <w:rFonts w:ascii="Arial" w:eastAsia="Arial" w:hAnsi="Arial" w:cs="Arial"/>
          <w:sz w:val="22"/>
          <w:szCs w:val="22"/>
          <w:lang w:val="fr-FR"/>
        </w:rPr>
        <w:t xml:space="preserve">: </w:t>
      </w:r>
      <w:r w:rsidRPr="00FE055D">
        <w:rPr>
          <w:rFonts w:ascii="Arial" w:eastAsia="Arial" w:hAnsi="Arial" w:cs="Arial"/>
          <w:i/>
          <w:iCs/>
          <w:sz w:val="22"/>
          <w:szCs w:val="22"/>
          <w:lang w:val="fr-FR"/>
        </w:rPr>
        <w:t xml:space="preserve">Simonsiella muelleri. </w:t>
      </w:r>
      <w:r w:rsidRPr="00CA2717">
        <w:rPr>
          <w:rFonts w:ascii="Arial" w:eastAsia="Arial" w:hAnsi="Arial" w:cs="Arial"/>
          <w:i/>
          <w:iCs/>
          <w:sz w:val="22"/>
          <w:szCs w:val="22"/>
        </w:rPr>
        <w:t>N. elongata</w:t>
      </w:r>
      <w:r w:rsidRPr="00135D9B">
        <w:rPr>
          <w:rFonts w:ascii="Arial" w:eastAsia="Arial" w:hAnsi="Arial" w:cs="Arial"/>
          <w:sz w:val="22"/>
          <w:szCs w:val="22"/>
        </w:rPr>
        <w:t>:</w:t>
      </w:r>
      <w:r w:rsidRPr="00CA2717">
        <w:rPr>
          <w:rFonts w:ascii="Arial" w:eastAsia="Arial" w:hAnsi="Arial" w:cs="Arial"/>
          <w:i/>
          <w:iCs/>
          <w:sz w:val="22"/>
          <w:szCs w:val="22"/>
        </w:rPr>
        <w:t xml:space="preserve"> Neisseria elongata. N. meningitidis</w:t>
      </w:r>
      <w:r w:rsidRPr="00135D9B">
        <w:rPr>
          <w:rFonts w:ascii="Arial" w:eastAsia="Arial" w:hAnsi="Arial" w:cs="Arial"/>
          <w:sz w:val="22"/>
          <w:szCs w:val="22"/>
        </w:rPr>
        <w:t>:</w:t>
      </w:r>
      <w:r w:rsidRPr="00CA2717">
        <w:rPr>
          <w:rFonts w:ascii="Arial" w:eastAsia="Arial" w:hAnsi="Arial" w:cs="Arial"/>
          <w:i/>
          <w:iCs/>
          <w:sz w:val="22"/>
          <w:szCs w:val="22"/>
        </w:rPr>
        <w:t xml:space="preserve"> Neisseria meningitidis. Ca.</w:t>
      </w:r>
      <w:r w:rsidRPr="00CA2717">
        <w:rPr>
          <w:rFonts w:ascii="Arial" w:eastAsia="Arial" w:hAnsi="Arial" w:cs="Arial"/>
          <w:sz w:val="22"/>
          <w:szCs w:val="22"/>
        </w:rPr>
        <w:t xml:space="preserve"> T. oneisti: </w:t>
      </w:r>
      <w:r w:rsidRPr="00CA2717">
        <w:rPr>
          <w:rFonts w:ascii="Arial" w:eastAsia="Arial" w:hAnsi="Arial" w:cs="Arial"/>
          <w:i/>
          <w:iCs/>
          <w:sz w:val="22"/>
          <w:szCs w:val="22"/>
        </w:rPr>
        <w:t xml:space="preserve">Candidatus </w:t>
      </w:r>
      <w:r w:rsidRPr="00CA2717">
        <w:rPr>
          <w:rFonts w:ascii="Arial" w:eastAsia="Arial" w:hAnsi="Arial" w:cs="Arial"/>
          <w:sz w:val="22"/>
          <w:szCs w:val="22"/>
        </w:rPr>
        <w:t xml:space="preserve">Thiosymbion oneisti. </w:t>
      </w:r>
      <w:r w:rsidRPr="00CA2717">
        <w:rPr>
          <w:rFonts w:ascii="Arial" w:eastAsia="Arial" w:hAnsi="Arial" w:cs="Arial"/>
          <w:i/>
          <w:iCs/>
          <w:sz w:val="22"/>
          <w:szCs w:val="22"/>
        </w:rPr>
        <w:t>Ca.</w:t>
      </w:r>
      <w:r w:rsidRPr="00CA2717">
        <w:rPr>
          <w:rFonts w:ascii="Arial" w:eastAsia="Arial" w:hAnsi="Arial" w:cs="Arial"/>
          <w:sz w:val="22"/>
          <w:szCs w:val="22"/>
        </w:rPr>
        <w:t xml:space="preserve"> T. hypermnestrae: </w:t>
      </w:r>
      <w:r w:rsidRPr="00CA2717">
        <w:rPr>
          <w:rFonts w:ascii="Arial" w:eastAsia="Arial" w:hAnsi="Arial" w:cs="Arial"/>
          <w:i/>
          <w:iCs/>
          <w:sz w:val="22"/>
          <w:szCs w:val="22"/>
        </w:rPr>
        <w:t xml:space="preserve">Candidatus </w:t>
      </w:r>
      <w:r w:rsidRPr="00CA2717">
        <w:rPr>
          <w:rFonts w:ascii="Arial" w:eastAsia="Arial" w:hAnsi="Arial" w:cs="Arial"/>
          <w:sz w:val="22"/>
          <w:szCs w:val="22"/>
        </w:rPr>
        <w:t xml:space="preserve">Thiosymbion hypermnestrae. </w:t>
      </w:r>
      <w:r w:rsidRPr="006E0885">
        <w:rPr>
          <w:rFonts w:ascii="Arial" w:eastAsia="Arial" w:hAnsi="Arial" w:cs="Arial"/>
          <w:sz w:val="22"/>
          <w:szCs w:val="22"/>
        </w:rPr>
        <w:t>ParB box I and II, as well as HTH (</w:t>
      </w:r>
      <w:r w:rsidRPr="006E0885">
        <w:rPr>
          <w:rFonts w:ascii="Arial" w:eastAsia="Arial" w:hAnsi="Arial" w:cs="Arial"/>
          <w:i/>
          <w:iCs/>
          <w:sz w:val="22"/>
          <w:szCs w:val="22"/>
        </w:rPr>
        <w:t>parS</w:t>
      </w:r>
      <w:r w:rsidRPr="006E0885">
        <w:rPr>
          <w:rFonts w:ascii="Arial" w:eastAsia="Arial" w:hAnsi="Arial" w:cs="Arial"/>
          <w:sz w:val="22"/>
          <w:szCs w:val="22"/>
        </w:rPr>
        <w:t xml:space="preserve"> binding) sites are indicated below the alignment. </w:t>
      </w:r>
      <w:r w:rsidRPr="00CA2717">
        <w:rPr>
          <w:rFonts w:ascii="Arial" w:eastAsia="Arial" w:hAnsi="Arial" w:cs="Arial"/>
          <w:sz w:val="22"/>
          <w:szCs w:val="22"/>
        </w:rPr>
        <w:t xml:space="preserve">(b) Unrooted phylogenetic tree including ParB of nematode and oral cavity symbionts, as well as diverse other bacterial ParB. Sequences on </w:t>
      </w:r>
      <w:r>
        <w:rPr>
          <w:rFonts w:ascii="Arial" w:eastAsia="Arial" w:hAnsi="Arial" w:cs="Arial"/>
          <w:sz w:val="22"/>
          <w:szCs w:val="22"/>
        </w:rPr>
        <w:t>mauve</w:t>
      </w:r>
      <w:r w:rsidRPr="00CA2717">
        <w:rPr>
          <w:rFonts w:ascii="Arial" w:eastAsia="Arial" w:hAnsi="Arial" w:cs="Arial"/>
          <w:sz w:val="22"/>
          <w:szCs w:val="22"/>
        </w:rPr>
        <w:t xml:space="preserve"> background are predicted to mediate chromosome segregation whereas sequences on rose background were predicted to mediate plasmid segregation based on Ghosh et al., 2006. The analysis is based on a MAFFT alignment of full-length proteins (data not shown) and estimated under the Q.pfam+G4 model using ML analysis (IQ-TREE) with node support calculated by UltraFast bootstraps. Scale bar represents 0.7% estimated sequence divergence. Closed circles represent values ≥95% based on 10,000 replicates. (c) Western blots of protein extracts of, from left to right, </w:t>
      </w:r>
      <w:r w:rsidRPr="00CA2717">
        <w:rPr>
          <w:rFonts w:ascii="Arial" w:eastAsia="Arial" w:hAnsi="Arial" w:cs="Arial"/>
          <w:i/>
          <w:iCs/>
          <w:sz w:val="22"/>
          <w:szCs w:val="22"/>
        </w:rPr>
        <w:t>A. filiformis</w:t>
      </w:r>
      <w:r w:rsidRPr="00CA2717">
        <w:rPr>
          <w:rFonts w:ascii="Arial" w:eastAsia="Arial" w:hAnsi="Arial" w:cs="Arial"/>
          <w:sz w:val="22"/>
          <w:szCs w:val="22"/>
        </w:rPr>
        <w:t xml:space="preserve">, </w:t>
      </w:r>
      <w:r w:rsidRPr="00CA2717">
        <w:rPr>
          <w:rFonts w:ascii="Arial" w:eastAsia="Arial" w:hAnsi="Arial" w:cs="Arial"/>
          <w:i/>
          <w:iCs/>
          <w:sz w:val="22"/>
          <w:szCs w:val="22"/>
        </w:rPr>
        <w:t>S. muelleri</w:t>
      </w:r>
      <w:r w:rsidRPr="00CA2717">
        <w:rPr>
          <w:rFonts w:ascii="Arial" w:eastAsia="Arial" w:hAnsi="Arial" w:cs="Arial"/>
          <w:sz w:val="22"/>
          <w:szCs w:val="22"/>
        </w:rPr>
        <w:t xml:space="preserve">, </w:t>
      </w:r>
      <w:r w:rsidRPr="00CA2717">
        <w:rPr>
          <w:rFonts w:ascii="Arial" w:eastAsia="Arial" w:hAnsi="Arial" w:cs="Arial"/>
          <w:i/>
          <w:iCs/>
          <w:sz w:val="22"/>
          <w:szCs w:val="22"/>
        </w:rPr>
        <w:t>C. steedae</w:t>
      </w:r>
      <w:r w:rsidRPr="00CA2717">
        <w:rPr>
          <w:rFonts w:ascii="Arial" w:eastAsia="Arial" w:hAnsi="Arial" w:cs="Arial"/>
          <w:sz w:val="22"/>
          <w:szCs w:val="22"/>
        </w:rPr>
        <w:t xml:space="preserve"> and </w:t>
      </w:r>
      <w:r w:rsidRPr="00CA2717">
        <w:rPr>
          <w:rFonts w:ascii="Arial" w:eastAsia="Arial" w:hAnsi="Arial" w:cs="Arial"/>
          <w:i/>
          <w:iCs/>
          <w:sz w:val="22"/>
          <w:szCs w:val="22"/>
        </w:rPr>
        <w:t>Ca.</w:t>
      </w:r>
      <w:r w:rsidRPr="00CA2717">
        <w:rPr>
          <w:rFonts w:ascii="Arial" w:eastAsia="Arial" w:hAnsi="Arial" w:cs="Arial"/>
          <w:sz w:val="22"/>
          <w:szCs w:val="22"/>
        </w:rPr>
        <w:t xml:space="preserve"> T. hypermnestrae probed with an anti-ParB antibody or with the secondary antibody only (-). Numbers indicate apparent MWs expressed in kDa. (</w:t>
      </w:r>
      <w:r>
        <w:rPr>
          <w:rFonts w:ascii="Arial" w:eastAsia="Arial" w:hAnsi="Arial" w:cs="Arial"/>
          <w:sz w:val="22"/>
          <w:szCs w:val="22"/>
        </w:rPr>
        <w:t>d</w:t>
      </w:r>
      <w:r w:rsidRPr="00CA2717">
        <w:rPr>
          <w:rFonts w:ascii="Arial" w:eastAsia="Arial" w:hAnsi="Arial" w:cs="Arial"/>
          <w:sz w:val="22"/>
          <w:szCs w:val="22"/>
        </w:rPr>
        <w:t xml:space="preserve">) Electrophoretic mobility shift assays (EMSAs) of recombinant </w:t>
      </w:r>
      <w:r w:rsidRPr="00CA2717">
        <w:rPr>
          <w:rFonts w:ascii="Arial" w:eastAsia="Arial" w:hAnsi="Arial" w:cs="Arial"/>
          <w:i/>
          <w:iCs/>
          <w:sz w:val="22"/>
          <w:szCs w:val="22"/>
        </w:rPr>
        <w:t>A. filiformis</w:t>
      </w:r>
      <w:r w:rsidRPr="00CA2717">
        <w:rPr>
          <w:rFonts w:ascii="Arial" w:eastAsia="Arial" w:hAnsi="Arial" w:cs="Arial"/>
          <w:sz w:val="22"/>
          <w:szCs w:val="22"/>
        </w:rPr>
        <w:t xml:space="preserve"> ParB and four </w:t>
      </w:r>
      <w:r w:rsidRPr="00CA2717">
        <w:rPr>
          <w:rFonts w:ascii="Arial" w:eastAsia="Arial" w:hAnsi="Arial" w:cs="Arial"/>
          <w:i/>
          <w:iCs/>
          <w:sz w:val="22"/>
          <w:szCs w:val="22"/>
        </w:rPr>
        <w:t>parS</w:t>
      </w:r>
      <w:r w:rsidRPr="00CA2717">
        <w:rPr>
          <w:rFonts w:ascii="Arial" w:eastAsia="Arial" w:hAnsi="Arial" w:cs="Arial"/>
          <w:sz w:val="22"/>
          <w:szCs w:val="22"/>
        </w:rPr>
        <w:t xml:space="preserve"> dialects or a mutated </w:t>
      </w:r>
      <w:r w:rsidRPr="00ED535F">
        <w:rPr>
          <w:rFonts w:ascii="Arial" w:eastAsia="Arial" w:hAnsi="Arial" w:cs="Arial"/>
          <w:i/>
          <w:iCs/>
          <w:sz w:val="22"/>
          <w:szCs w:val="22"/>
        </w:rPr>
        <w:t>parS</w:t>
      </w:r>
      <w:r w:rsidRPr="00CA2717">
        <w:rPr>
          <w:rFonts w:ascii="Arial" w:eastAsia="Arial" w:hAnsi="Arial" w:cs="Arial"/>
          <w:sz w:val="22"/>
          <w:szCs w:val="22"/>
        </w:rPr>
        <w:t xml:space="preserve"> site (top). </w:t>
      </w:r>
      <w:r>
        <w:rPr>
          <w:rFonts w:ascii="Arial" w:eastAsia="Arial" w:hAnsi="Arial" w:cs="Arial"/>
          <w:sz w:val="22"/>
          <w:szCs w:val="22"/>
        </w:rPr>
        <w:t>(e</w:t>
      </w:r>
      <w:r w:rsidRPr="00CA2717">
        <w:rPr>
          <w:rFonts w:ascii="Arial" w:eastAsia="Arial" w:hAnsi="Arial" w:cs="Arial"/>
          <w:sz w:val="22"/>
          <w:szCs w:val="22"/>
        </w:rPr>
        <w:t xml:space="preserve">) Electrophoretic mobility shift assays (EMSAs) of recombinant </w:t>
      </w:r>
      <w:r w:rsidRPr="00CA2717">
        <w:rPr>
          <w:rFonts w:ascii="Arial" w:eastAsia="Arial" w:hAnsi="Arial" w:cs="Arial"/>
          <w:i/>
          <w:iCs/>
          <w:sz w:val="22"/>
          <w:szCs w:val="22"/>
        </w:rPr>
        <w:t>S. muelleri</w:t>
      </w:r>
      <w:r w:rsidRPr="00CA2717">
        <w:rPr>
          <w:rFonts w:ascii="Arial" w:eastAsia="Arial" w:hAnsi="Arial" w:cs="Arial"/>
          <w:sz w:val="22"/>
          <w:szCs w:val="22"/>
        </w:rPr>
        <w:t xml:space="preserve"> ParB and four </w:t>
      </w:r>
      <w:r w:rsidRPr="00CA2717">
        <w:rPr>
          <w:rFonts w:ascii="Arial" w:eastAsia="Arial" w:hAnsi="Arial" w:cs="Arial"/>
          <w:i/>
          <w:iCs/>
          <w:sz w:val="22"/>
          <w:szCs w:val="22"/>
        </w:rPr>
        <w:t>parS</w:t>
      </w:r>
      <w:r w:rsidRPr="00CA2717">
        <w:rPr>
          <w:rFonts w:ascii="Arial" w:eastAsia="Arial" w:hAnsi="Arial" w:cs="Arial"/>
          <w:sz w:val="22"/>
          <w:szCs w:val="22"/>
        </w:rPr>
        <w:t xml:space="preserve"> dialects or a mutated </w:t>
      </w:r>
      <w:r w:rsidRPr="00ED535F">
        <w:rPr>
          <w:rFonts w:ascii="Arial" w:eastAsia="Arial" w:hAnsi="Arial" w:cs="Arial"/>
          <w:i/>
          <w:iCs/>
          <w:sz w:val="22"/>
          <w:szCs w:val="22"/>
        </w:rPr>
        <w:t>parS</w:t>
      </w:r>
      <w:r w:rsidRPr="00CA2717">
        <w:rPr>
          <w:rFonts w:ascii="Arial" w:eastAsia="Arial" w:hAnsi="Arial" w:cs="Arial"/>
          <w:sz w:val="22"/>
          <w:szCs w:val="22"/>
        </w:rPr>
        <w:t xml:space="preserve"> site (top). </w:t>
      </w:r>
    </w:p>
    <w:p w14:paraId="25C7CFAE" w14:textId="77777777" w:rsidR="00CD000E" w:rsidRPr="00CA2717" w:rsidRDefault="00CD000E" w:rsidP="00CD000E">
      <w:pPr>
        <w:spacing w:line="360" w:lineRule="auto"/>
        <w:jc w:val="both"/>
        <w:rPr>
          <w:rFonts w:ascii="Arial" w:eastAsia="Arial" w:hAnsi="Arial" w:cs="Arial"/>
          <w:sz w:val="22"/>
          <w:szCs w:val="22"/>
        </w:rPr>
      </w:pPr>
    </w:p>
    <w:p w14:paraId="7D76FBDB" w14:textId="77777777" w:rsidR="00CD000E" w:rsidRDefault="00CD000E" w:rsidP="00CD000E">
      <w:pPr>
        <w:spacing w:line="360" w:lineRule="auto"/>
        <w:jc w:val="both"/>
        <w:rPr>
          <w:rFonts w:ascii="Arial" w:eastAsia="Arial" w:hAnsi="Arial" w:cs="Arial"/>
          <w:sz w:val="22"/>
          <w:szCs w:val="22"/>
        </w:rPr>
      </w:pPr>
      <w:r w:rsidRPr="0084363F">
        <w:rPr>
          <w:rFonts w:ascii="Arial" w:hAnsi="Arial" w:cs="Arial"/>
          <w:b/>
          <w:bCs/>
          <w:color w:val="000000"/>
          <w:sz w:val="22"/>
          <w:szCs w:val="22"/>
          <w:shd w:val="clear" w:color="auto" w:fill="FFFFFF" w:themeFill="background1"/>
          <w:lang w:eastAsia="en-GB"/>
        </w:rPr>
        <w:t>Supplementary Figure 4.</w:t>
      </w:r>
      <w:r w:rsidRPr="00CA2717">
        <w:rPr>
          <w:rFonts w:ascii="Arial" w:hAnsi="Arial" w:cs="Arial"/>
          <w:b/>
          <w:bCs/>
          <w:color w:val="000000"/>
          <w:sz w:val="22"/>
          <w:szCs w:val="22"/>
          <w:lang w:eastAsia="en-GB"/>
        </w:rPr>
        <w:t xml:space="preserve"> </w:t>
      </w:r>
      <w:r w:rsidRPr="00CA2717">
        <w:rPr>
          <w:rFonts w:ascii="Arial" w:eastAsia="Arial" w:hAnsi="Arial" w:cs="Arial"/>
          <w:b/>
          <w:sz w:val="22"/>
          <w:szCs w:val="22"/>
        </w:rPr>
        <w:t xml:space="preserve">DNA localization, chromosome configuration and ParB localization in </w:t>
      </w:r>
      <w:r w:rsidRPr="00CA2717">
        <w:rPr>
          <w:rFonts w:ascii="Arial" w:eastAsia="Arial" w:hAnsi="Arial" w:cs="Arial"/>
          <w:b/>
          <w:i/>
          <w:sz w:val="22"/>
          <w:szCs w:val="22"/>
        </w:rPr>
        <w:t>Ca.</w:t>
      </w:r>
      <w:r w:rsidRPr="00CA2717">
        <w:rPr>
          <w:rFonts w:ascii="Arial" w:eastAsia="Arial" w:hAnsi="Arial" w:cs="Arial"/>
          <w:b/>
          <w:sz w:val="22"/>
          <w:szCs w:val="22"/>
        </w:rPr>
        <w:t xml:space="preserve"> T. hypermnestrae. </w:t>
      </w:r>
      <w:r w:rsidRPr="00CA2717">
        <w:rPr>
          <w:rFonts w:ascii="Arial" w:eastAsia="Arial" w:hAnsi="Arial" w:cs="Arial"/>
          <w:sz w:val="22"/>
          <w:szCs w:val="22"/>
        </w:rPr>
        <w:t xml:space="preserve">(a) </w:t>
      </w:r>
      <w:r w:rsidRPr="00976686">
        <w:rPr>
          <w:rFonts w:ascii="Arial" w:eastAsia="Arial" w:hAnsi="Arial" w:cs="Arial"/>
          <w:sz w:val="22"/>
          <w:szCs w:val="22"/>
        </w:rPr>
        <w:t xml:space="preserve">Epifluorescence microscope images of </w:t>
      </w:r>
      <w:r w:rsidRPr="00CA2717">
        <w:rPr>
          <w:rFonts w:ascii="Arial" w:eastAsia="Arial" w:hAnsi="Arial" w:cs="Arial"/>
          <w:sz w:val="22"/>
          <w:szCs w:val="22"/>
        </w:rPr>
        <w:t xml:space="preserve">Hoechst 3342 staining of fixed </w:t>
      </w:r>
      <w:r w:rsidRPr="00CA2717">
        <w:rPr>
          <w:rFonts w:ascii="Arial" w:eastAsia="Arial" w:hAnsi="Arial" w:cs="Arial"/>
          <w:i/>
          <w:sz w:val="22"/>
          <w:szCs w:val="22"/>
        </w:rPr>
        <w:t>Ca.</w:t>
      </w:r>
      <w:r w:rsidRPr="00CA2717">
        <w:rPr>
          <w:rFonts w:ascii="Arial" w:eastAsia="Arial" w:hAnsi="Arial" w:cs="Arial"/>
          <w:sz w:val="22"/>
          <w:szCs w:val="22"/>
        </w:rPr>
        <w:t xml:space="preserve"> T. hypermnestrae cells. Cells are arranged from the youngest to the oldest from left to right. Upper panels display phase contrast images of cells and lower panels their corresponding DNA fluorescence (white dotted line represent cell outlines). (b) Averaged DNA fluorescence (a.u.) plotted against the cell length (right</w:t>
      </w:r>
      <w:r>
        <w:rPr>
          <w:rFonts w:ascii="Arial" w:eastAsia="Arial" w:hAnsi="Arial" w:cs="Arial"/>
          <w:sz w:val="22"/>
          <w:szCs w:val="22"/>
        </w:rPr>
        <w:t>; n=447)</w:t>
      </w:r>
      <w:r w:rsidRPr="00CA2717">
        <w:rPr>
          <w:rFonts w:ascii="Arial" w:eastAsia="Arial" w:hAnsi="Arial" w:cs="Arial"/>
          <w:sz w:val="22"/>
          <w:szCs w:val="22"/>
        </w:rPr>
        <w:t>. (c</w:t>
      </w:r>
      <w:r>
        <w:rPr>
          <w:rFonts w:ascii="Arial" w:eastAsia="Arial" w:hAnsi="Arial" w:cs="Arial"/>
          <w:sz w:val="22"/>
          <w:szCs w:val="22"/>
        </w:rPr>
        <w:t xml:space="preserve"> and </w:t>
      </w:r>
      <w:r w:rsidRPr="00CA2717">
        <w:rPr>
          <w:rFonts w:ascii="Arial" w:eastAsia="Arial" w:hAnsi="Arial" w:cs="Arial"/>
          <w:sz w:val="22"/>
          <w:szCs w:val="22"/>
        </w:rPr>
        <w:t>f)</w:t>
      </w:r>
      <w:r w:rsidRPr="00CA2717">
        <w:rPr>
          <w:rFonts w:ascii="Arial" w:eastAsia="Arial" w:hAnsi="Arial" w:cs="Arial"/>
          <w:b/>
          <w:sz w:val="22"/>
          <w:szCs w:val="22"/>
        </w:rPr>
        <w:t xml:space="preserve"> </w:t>
      </w:r>
      <w:r w:rsidRPr="00CA2717">
        <w:rPr>
          <w:rFonts w:ascii="Arial" w:eastAsia="Arial" w:hAnsi="Arial" w:cs="Arial"/>
          <w:sz w:val="22"/>
          <w:szCs w:val="22"/>
        </w:rPr>
        <w:t xml:space="preserve">Histograms showing number of (c) </w:t>
      </w:r>
      <w:r w:rsidRPr="00CA2717">
        <w:rPr>
          <w:rFonts w:ascii="Arial" w:eastAsia="Arial" w:hAnsi="Arial" w:cs="Arial"/>
          <w:i/>
          <w:sz w:val="22"/>
          <w:szCs w:val="22"/>
        </w:rPr>
        <w:t>ori</w:t>
      </w:r>
      <w:r w:rsidRPr="00CA2717">
        <w:rPr>
          <w:rFonts w:ascii="Arial" w:eastAsia="Arial" w:hAnsi="Arial" w:cs="Arial"/>
          <w:sz w:val="22"/>
          <w:szCs w:val="22"/>
        </w:rPr>
        <w:t xml:space="preserve"> foci (n=413) and (f) </w:t>
      </w:r>
      <w:r w:rsidRPr="00CA2717">
        <w:rPr>
          <w:rFonts w:ascii="Arial" w:eastAsia="Arial" w:hAnsi="Arial" w:cs="Arial"/>
          <w:i/>
          <w:sz w:val="22"/>
          <w:szCs w:val="22"/>
        </w:rPr>
        <w:t>ter</w:t>
      </w:r>
      <w:r w:rsidRPr="00CA2717">
        <w:rPr>
          <w:rFonts w:ascii="Arial" w:eastAsia="Arial" w:hAnsi="Arial" w:cs="Arial"/>
          <w:sz w:val="22"/>
          <w:szCs w:val="22"/>
        </w:rPr>
        <w:t xml:space="preserve"> foci (n=576) per cell. (d</w:t>
      </w:r>
      <w:r>
        <w:rPr>
          <w:rFonts w:ascii="Arial" w:eastAsia="Arial" w:hAnsi="Arial" w:cs="Arial"/>
          <w:sz w:val="22"/>
          <w:szCs w:val="22"/>
        </w:rPr>
        <w:t xml:space="preserve"> and</w:t>
      </w:r>
      <w:r w:rsidRPr="00CA2717">
        <w:rPr>
          <w:rFonts w:ascii="Arial" w:eastAsia="Arial" w:hAnsi="Arial" w:cs="Arial"/>
          <w:sz w:val="22"/>
          <w:szCs w:val="22"/>
        </w:rPr>
        <w:t xml:space="preserve"> g) Confocal microscope images of </w:t>
      </w:r>
      <w:r w:rsidRPr="00AC049B">
        <w:rPr>
          <w:rFonts w:ascii="Arial" w:eastAsia="Arial" w:hAnsi="Arial" w:cs="Arial"/>
          <w:i/>
          <w:iCs/>
          <w:sz w:val="22"/>
          <w:szCs w:val="22"/>
        </w:rPr>
        <w:t>Ca.</w:t>
      </w:r>
      <w:r w:rsidRPr="00AC049B">
        <w:rPr>
          <w:rFonts w:ascii="Arial" w:eastAsia="Arial" w:hAnsi="Arial" w:cs="Arial"/>
          <w:sz w:val="22"/>
          <w:szCs w:val="22"/>
        </w:rPr>
        <w:t xml:space="preserve"> T. hypermnestrae cells </w:t>
      </w:r>
      <w:r w:rsidRPr="00CA2717">
        <w:rPr>
          <w:rFonts w:ascii="Arial" w:eastAsia="Arial" w:hAnsi="Arial" w:cs="Arial"/>
          <w:sz w:val="22"/>
          <w:szCs w:val="22"/>
        </w:rPr>
        <w:t>subjected to (d)</w:t>
      </w:r>
      <w:r w:rsidRPr="00CA2717">
        <w:rPr>
          <w:rFonts w:ascii="Arial" w:eastAsia="Arial" w:hAnsi="Arial" w:cs="Arial"/>
          <w:i/>
          <w:sz w:val="22"/>
          <w:szCs w:val="22"/>
        </w:rPr>
        <w:t xml:space="preserve"> ori </w:t>
      </w:r>
      <w:r w:rsidRPr="00CA2717">
        <w:rPr>
          <w:rFonts w:ascii="Arial" w:eastAsia="Arial" w:hAnsi="Arial" w:cs="Arial"/>
          <w:sz w:val="22"/>
          <w:szCs w:val="22"/>
        </w:rPr>
        <w:t xml:space="preserve">DNA FISH or (g) </w:t>
      </w:r>
      <w:r w:rsidRPr="00CA2717">
        <w:rPr>
          <w:rFonts w:ascii="Arial" w:eastAsia="Arial" w:hAnsi="Arial" w:cs="Arial"/>
          <w:i/>
          <w:sz w:val="22"/>
          <w:szCs w:val="22"/>
        </w:rPr>
        <w:t xml:space="preserve">ter </w:t>
      </w:r>
      <w:r w:rsidRPr="00CA2717">
        <w:rPr>
          <w:rFonts w:ascii="Arial" w:eastAsia="Arial" w:hAnsi="Arial" w:cs="Arial"/>
          <w:sz w:val="22"/>
          <w:szCs w:val="22"/>
        </w:rPr>
        <w:t>DNA FISH; phase contrast images are displayed in upper panels and corresponding FISH (white) fluorescence images in bottom panels.</w:t>
      </w:r>
      <w:r>
        <w:rPr>
          <w:rFonts w:ascii="Arial" w:eastAsia="Arial" w:hAnsi="Arial" w:cs="Arial"/>
          <w:sz w:val="22"/>
          <w:szCs w:val="22"/>
        </w:rPr>
        <w:t xml:space="preserve"> W</w:t>
      </w:r>
      <w:r w:rsidRPr="00AC049B">
        <w:rPr>
          <w:rFonts w:ascii="Arial" w:eastAsia="Arial" w:hAnsi="Arial" w:cs="Arial"/>
          <w:sz w:val="22"/>
          <w:szCs w:val="22"/>
        </w:rPr>
        <w:t>hite dotted line</w:t>
      </w:r>
      <w:r>
        <w:rPr>
          <w:rFonts w:ascii="Arial" w:eastAsia="Arial" w:hAnsi="Arial" w:cs="Arial"/>
          <w:sz w:val="22"/>
          <w:szCs w:val="22"/>
        </w:rPr>
        <w:t>s</w:t>
      </w:r>
      <w:r w:rsidRPr="00AC049B">
        <w:rPr>
          <w:rFonts w:ascii="Arial" w:eastAsia="Arial" w:hAnsi="Arial" w:cs="Arial"/>
          <w:sz w:val="22"/>
          <w:szCs w:val="22"/>
        </w:rPr>
        <w:t xml:space="preserve"> represent cell outlines.</w:t>
      </w:r>
      <w:r w:rsidRPr="00CA2717">
        <w:rPr>
          <w:rFonts w:ascii="Arial" w:eastAsia="Arial" w:hAnsi="Arial" w:cs="Arial"/>
          <w:sz w:val="22"/>
          <w:szCs w:val="22"/>
        </w:rPr>
        <w:t xml:space="preserve"> (e) Subcellular localization of 413 </w:t>
      </w:r>
      <w:r w:rsidRPr="00CA2717">
        <w:rPr>
          <w:rFonts w:ascii="Arial" w:eastAsia="Arial" w:hAnsi="Arial" w:cs="Arial"/>
          <w:i/>
          <w:sz w:val="22"/>
          <w:szCs w:val="22"/>
        </w:rPr>
        <w:t>ori</w:t>
      </w:r>
      <w:r w:rsidRPr="00CA2717">
        <w:rPr>
          <w:rFonts w:ascii="Arial" w:eastAsia="Arial" w:hAnsi="Arial" w:cs="Arial"/>
          <w:sz w:val="22"/>
          <w:szCs w:val="22"/>
        </w:rPr>
        <w:t xml:space="preserve">, 320 </w:t>
      </w:r>
      <w:r w:rsidRPr="00CA2717">
        <w:rPr>
          <w:rFonts w:ascii="Arial" w:eastAsia="Arial" w:hAnsi="Arial" w:cs="Arial"/>
          <w:i/>
          <w:iCs/>
          <w:sz w:val="22"/>
          <w:szCs w:val="22"/>
        </w:rPr>
        <w:t>ftsQAZ</w:t>
      </w:r>
      <w:r w:rsidRPr="00CA2717">
        <w:rPr>
          <w:rFonts w:ascii="Arial" w:eastAsia="Arial" w:hAnsi="Arial" w:cs="Arial"/>
          <w:sz w:val="22"/>
          <w:szCs w:val="22"/>
        </w:rPr>
        <w:t xml:space="preserve"> and 1,124 </w:t>
      </w:r>
      <w:r w:rsidRPr="00CA2717">
        <w:rPr>
          <w:rFonts w:ascii="Arial" w:eastAsia="Arial" w:hAnsi="Arial" w:cs="Arial"/>
          <w:i/>
          <w:sz w:val="22"/>
          <w:szCs w:val="22"/>
        </w:rPr>
        <w:t>parS2</w:t>
      </w:r>
      <w:r w:rsidRPr="00CA2717">
        <w:rPr>
          <w:rFonts w:ascii="Arial" w:eastAsia="Arial" w:hAnsi="Arial" w:cs="Arial"/>
          <w:sz w:val="22"/>
          <w:szCs w:val="22"/>
        </w:rPr>
        <w:t xml:space="preserve"> foci (from left to right) and (h) subcellular localization of 576 </w:t>
      </w:r>
      <w:r w:rsidRPr="00CA2717">
        <w:rPr>
          <w:rFonts w:ascii="Arial" w:eastAsia="Arial" w:hAnsi="Arial" w:cs="Arial"/>
          <w:i/>
          <w:sz w:val="22"/>
          <w:szCs w:val="22"/>
        </w:rPr>
        <w:t>ter</w:t>
      </w:r>
      <w:r w:rsidRPr="00CA2717">
        <w:rPr>
          <w:rFonts w:ascii="Arial" w:eastAsia="Arial" w:hAnsi="Arial" w:cs="Arial"/>
          <w:sz w:val="22"/>
          <w:szCs w:val="22"/>
        </w:rPr>
        <w:t xml:space="preserve"> foci. (i) Representative images showing five </w:t>
      </w:r>
      <w:r w:rsidRPr="00CA2717">
        <w:rPr>
          <w:rFonts w:ascii="Arial" w:eastAsia="Arial" w:hAnsi="Arial" w:cs="Arial"/>
          <w:i/>
          <w:sz w:val="22"/>
          <w:szCs w:val="22"/>
        </w:rPr>
        <w:t>Ca.</w:t>
      </w:r>
      <w:r w:rsidRPr="00CA2717">
        <w:rPr>
          <w:rFonts w:ascii="Arial" w:eastAsia="Arial" w:hAnsi="Arial" w:cs="Arial"/>
          <w:sz w:val="22"/>
          <w:szCs w:val="22"/>
        </w:rPr>
        <w:t xml:space="preserve"> T. hypermnestrae cells arranged from the youngest to the oldest from left to right. Panels display phase contrast images, ParB</w:t>
      </w:r>
      <w:r>
        <w:rPr>
          <w:rFonts w:ascii="Arial" w:eastAsia="Arial" w:hAnsi="Arial" w:cs="Arial"/>
          <w:sz w:val="22"/>
          <w:szCs w:val="22"/>
        </w:rPr>
        <w:t xml:space="preserve"> (green)</w:t>
      </w:r>
      <w:r w:rsidRPr="00CA2717">
        <w:rPr>
          <w:rFonts w:ascii="Arial" w:eastAsia="Arial" w:hAnsi="Arial" w:cs="Arial"/>
          <w:sz w:val="22"/>
          <w:szCs w:val="22"/>
        </w:rPr>
        <w:t xml:space="preserve"> and DNA fluorescence </w:t>
      </w:r>
      <w:r>
        <w:rPr>
          <w:rFonts w:ascii="Arial" w:eastAsia="Arial" w:hAnsi="Arial" w:cs="Arial"/>
          <w:sz w:val="22"/>
          <w:szCs w:val="22"/>
        </w:rPr>
        <w:t xml:space="preserve">(Hoechst 3342; red) </w:t>
      </w:r>
      <w:r w:rsidRPr="00CA2717">
        <w:rPr>
          <w:rFonts w:ascii="Arial" w:eastAsia="Arial" w:hAnsi="Arial" w:cs="Arial"/>
          <w:sz w:val="22"/>
          <w:szCs w:val="22"/>
        </w:rPr>
        <w:t>and corresponding overlays (from top to bottom). White dotted lines represent cell outlines. (j) Subcellular localization of symbiont ParB</w:t>
      </w:r>
      <w:r>
        <w:rPr>
          <w:rFonts w:ascii="Arial" w:eastAsia="Arial" w:hAnsi="Arial" w:cs="Arial"/>
          <w:sz w:val="22"/>
          <w:szCs w:val="22"/>
        </w:rPr>
        <w:t xml:space="preserve"> </w:t>
      </w:r>
      <w:r w:rsidRPr="00CA2717">
        <w:rPr>
          <w:rFonts w:ascii="Arial" w:eastAsia="Arial" w:hAnsi="Arial" w:cs="Arial"/>
          <w:sz w:val="22"/>
          <w:szCs w:val="22"/>
        </w:rPr>
        <w:t xml:space="preserve">foci of 576 cells immunostained with an anti-ParB antibody. (k) Averaged ParB and DNA fluorescence (a.u.) plotted against the cell length </w:t>
      </w:r>
      <w:r w:rsidRPr="00CA2717">
        <w:rPr>
          <w:rFonts w:ascii="Arial" w:eastAsia="Arial" w:hAnsi="Arial" w:cs="Arial"/>
          <w:sz w:val="22"/>
          <w:szCs w:val="22"/>
        </w:rPr>
        <w:lastRenderedPageBreak/>
        <w:t xml:space="preserve">(n=82). (l) Model of </w:t>
      </w:r>
      <w:r w:rsidRPr="00CA2717">
        <w:rPr>
          <w:rFonts w:ascii="Arial" w:eastAsia="Arial" w:hAnsi="Arial" w:cs="Arial"/>
          <w:i/>
          <w:sz w:val="22"/>
          <w:szCs w:val="22"/>
        </w:rPr>
        <w:t>ori-ter</w:t>
      </w:r>
      <w:r w:rsidRPr="00CA2717">
        <w:rPr>
          <w:rFonts w:ascii="Arial" w:eastAsia="Arial" w:hAnsi="Arial" w:cs="Arial"/>
          <w:sz w:val="22"/>
          <w:szCs w:val="22"/>
        </w:rPr>
        <w:t xml:space="preserve"> chromosome configuration and lateral chromosome segregation in the monoploid </w:t>
      </w:r>
      <w:r w:rsidRPr="00CA2717">
        <w:rPr>
          <w:rFonts w:ascii="Arial" w:eastAsia="Arial" w:hAnsi="Arial" w:cs="Arial"/>
          <w:i/>
          <w:sz w:val="22"/>
          <w:szCs w:val="22"/>
        </w:rPr>
        <w:t>Ca</w:t>
      </w:r>
      <w:r w:rsidRPr="00CA2717">
        <w:rPr>
          <w:rFonts w:ascii="Arial" w:eastAsia="Arial" w:hAnsi="Arial" w:cs="Arial"/>
          <w:sz w:val="22"/>
          <w:szCs w:val="22"/>
        </w:rPr>
        <w:t>. T. hypermnestrae</w:t>
      </w:r>
      <w:r w:rsidRPr="00CA2717">
        <w:rPr>
          <w:rFonts w:ascii="Arial" w:eastAsia="Arial" w:hAnsi="Arial" w:cs="Arial"/>
          <w:i/>
          <w:sz w:val="22"/>
          <w:szCs w:val="22"/>
        </w:rPr>
        <w:t>.</w:t>
      </w:r>
      <w:r w:rsidRPr="00CA2717">
        <w:rPr>
          <w:rFonts w:ascii="Arial" w:eastAsia="Arial" w:hAnsi="Arial" w:cs="Arial"/>
          <w:sz w:val="22"/>
          <w:szCs w:val="22"/>
        </w:rPr>
        <w:t xml:space="preserve"> Scale bar</w:t>
      </w:r>
      <w:r>
        <w:rPr>
          <w:rFonts w:ascii="Arial" w:eastAsia="Arial" w:hAnsi="Arial" w:cs="Arial"/>
          <w:sz w:val="22"/>
          <w:szCs w:val="22"/>
        </w:rPr>
        <w:t>s are</w:t>
      </w:r>
      <w:r w:rsidRPr="00CA2717">
        <w:rPr>
          <w:rFonts w:ascii="Arial" w:eastAsia="Arial" w:hAnsi="Arial" w:cs="Arial"/>
          <w:sz w:val="22"/>
          <w:szCs w:val="22"/>
        </w:rPr>
        <w:t xml:space="preserve"> 1 µm</w:t>
      </w:r>
      <w:r>
        <w:rPr>
          <w:rFonts w:ascii="Arial" w:eastAsia="Arial" w:hAnsi="Arial" w:cs="Arial"/>
          <w:sz w:val="22"/>
          <w:szCs w:val="22"/>
        </w:rPr>
        <w:t>.</w:t>
      </w:r>
    </w:p>
    <w:p w14:paraId="58A902DC" w14:textId="77777777" w:rsidR="00CD000E" w:rsidRPr="00CA2717" w:rsidRDefault="00CD000E" w:rsidP="00CD000E">
      <w:pPr>
        <w:spacing w:line="360" w:lineRule="auto"/>
        <w:jc w:val="both"/>
        <w:rPr>
          <w:rFonts w:ascii="Arial" w:eastAsia="Arial" w:hAnsi="Arial" w:cs="Arial"/>
          <w:sz w:val="22"/>
          <w:szCs w:val="22"/>
        </w:rPr>
      </w:pPr>
    </w:p>
    <w:p w14:paraId="66DF86F7" w14:textId="77777777" w:rsidR="00CD000E" w:rsidRDefault="00CD000E" w:rsidP="00CD000E">
      <w:pPr>
        <w:spacing w:line="360" w:lineRule="auto"/>
        <w:jc w:val="both"/>
        <w:rPr>
          <w:rFonts w:ascii="Arial" w:eastAsia="Arial" w:hAnsi="Arial" w:cs="Arial"/>
          <w:color w:val="000000"/>
          <w:sz w:val="22"/>
          <w:szCs w:val="22"/>
        </w:rPr>
      </w:pPr>
      <w:r w:rsidRPr="00CA2717">
        <w:rPr>
          <w:rFonts w:ascii="Arial" w:eastAsia="Arial" w:hAnsi="Arial" w:cs="Arial"/>
          <w:b/>
          <w:sz w:val="22"/>
          <w:szCs w:val="22"/>
        </w:rPr>
        <w:t xml:space="preserve">Supplementary Figure 5. </w:t>
      </w:r>
      <w:r w:rsidRPr="00CA2717">
        <w:rPr>
          <w:rFonts w:ascii="Arial" w:eastAsia="Arial" w:hAnsi="Arial" w:cs="Arial"/>
          <w:b/>
          <w:color w:val="000000"/>
          <w:sz w:val="22"/>
          <w:szCs w:val="22"/>
        </w:rPr>
        <w:t xml:space="preserve">Marker frequency analysis (MFA) of (a) </w:t>
      </w:r>
      <w:r w:rsidRPr="00CA2717">
        <w:rPr>
          <w:rFonts w:ascii="Arial" w:eastAsia="Arial" w:hAnsi="Arial" w:cs="Arial"/>
          <w:b/>
          <w:i/>
          <w:color w:val="000000"/>
          <w:sz w:val="22"/>
          <w:szCs w:val="22"/>
        </w:rPr>
        <w:t>A. filiformis</w:t>
      </w:r>
      <w:r w:rsidRPr="00CA2717">
        <w:rPr>
          <w:rFonts w:ascii="Arial" w:eastAsia="Arial" w:hAnsi="Arial" w:cs="Arial"/>
          <w:b/>
          <w:color w:val="000000"/>
          <w:sz w:val="22"/>
          <w:szCs w:val="22"/>
        </w:rPr>
        <w:t xml:space="preserve">, (b) </w:t>
      </w:r>
      <w:r w:rsidRPr="00CA2717">
        <w:rPr>
          <w:rFonts w:ascii="Arial" w:eastAsia="Arial" w:hAnsi="Arial" w:cs="Arial"/>
          <w:b/>
          <w:i/>
          <w:iCs/>
          <w:color w:val="000000"/>
          <w:sz w:val="22"/>
          <w:szCs w:val="22"/>
        </w:rPr>
        <w:t>S. muelleri</w:t>
      </w:r>
      <w:r w:rsidRPr="00CA2717">
        <w:rPr>
          <w:rFonts w:ascii="Arial" w:eastAsia="Arial" w:hAnsi="Arial" w:cs="Arial"/>
          <w:b/>
          <w:color w:val="000000"/>
          <w:sz w:val="22"/>
          <w:szCs w:val="22"/>
        </w:rPr>
        <w:t xml:space="preserve">, (c) </w:t>
      </w:r>
      <w:r w:rsidRPr="00CA2717">
        <w:rPr>
          <w:rFonts w:ascii="Arial" w:eastAsia="Arial" w:hAnsi="Arial" w:cs="Arial"/>
          <w:b/>
          <w:i/>
          <w:iCs/>
          <w:color w:val="000000"/>
          <w:sz w:val="22"/>
          <w:szCs w:val="22"/>
        </w:rPr>
        <w:t>C. steedae</w:t>
      </w:r>
      <w:r w:rsidRPr="00CA2717">
        <w:rPr>
          <w:rFonts w:ascii="Arial" w:eastAsia="Arial" w:hAnsi="Arial" w:cs="Arial"/>
          <w:b/>
          <w:color w:val="000000"/>
          <w:sz w:val="22"/>
          <w:szCs w:val="22"/>
        </w:rPr>
        <w:t xml:space="preserve"> and (d) </w:t>
      </w:r>
      <w:r w:rsidRPr="00CA2717">
        <w:rPr>
          <w:rFonts w:ascii="Arial" w:eastAsia="Arial" w:hAnsi="Arial" w:cs="Arial"/>
          <w:b/>
          <w:i/>
          <w:iCs/>
          <w:color w:val="000000"/>
          <w:sz w:val="22"/>
          <w:szCs w:val="22"/>
        </w:rPr>
        <w:t>E. coli</w:t>
      </w:r>
      <w:r w:rsidRPr="00CA2717">
        <w:rPr>
          <w:rFonts w:ascii="Arial" w:eastAsia="Arial" w:hAnsi="Arial" w:cs="Arial"/>
          <w:b/>
          <w:color w:val="000000"/>
          <w:sz w:val="22"/>
          <w:szCs w:val="22"/>
        </w:rPr>
        <w:t xml:space="preserve">. </w:t>
      </w:r>
      <w:r w:rsidRPr="00CA2717">
        <w:rPr>
          <w:rFonts w:ascii="Arial" w:eastAsia="Arial" w:hAnsi="Arial" w:cs="Arial"/>
          <w:bCs/>
          <w:color w:val="000000"/>
          <w:sz w:val="22"/>
          <w:szCs w:val="22"/>
        </w:rPr>
        <w:t xml:space="preserve">Cells were collected in exponential </w:t>
      </w:r>
      <w:r>
        <w:rPr>
          <w:rFonts w:ascii="Arial" w:eastAsia="Arial" w:hAnsi="Arial" w:cs="Arial"/>
          <w:bCs/>
          <w:color w:val="000000"/>
          <w:sz w:val="22"/>
          <w:szCs w:val="22"/>
        </w:rPr>
        <w:t xml:space="preserve">(exp) </w:t>
      </w:r>
      <w:r w:rsidRPr="00CA2717">
        <w:rPr>
          <w:rFonts w:ascii="Arial" w:eastAsia="Arial" w:hAnsi="Arial" w:cs="Arial"/>
          <w:bCs/>
          <w:color w:val="000000"/>
          <w:sz w:val="22"/>
          <w:szCs w:val="22"/>
        </w:rPr>
        <w:t>or stationary</w:t>
      </w:r>
      <w:r>
        <w:rPr>
          <w:rFonts w:ascii="Arial" w:eastAsia="Arial" w:hAnsi="Arial" w:cs="Arial"/>
          <w:bCs/>
          <w:color w:val="000000"/>
          <w:sz w:val="22"/>
          <w:szCs w:val="22"/>
        </w:rPr>
        <w:t xml:space="preserve"> (stat)</w:t>
      </w:r>
      <w:r w:rsidRPr="00CA2717">
        <w:rPr>
          <w:rFonts w:ascii="Arial" w:eastAsia="Arial" w:hAnsi="Arial" w:cs="Arial"/>
          <w:bCs/>
          <w:color w:val="000000"/>
          <w:sz w:val="22"/>
          <w:szCs w:val="22"/>
        </w:rPr>
        <w:t xml:space="preserve"> phase (left and right plots, respectively). The x axis represents the genomic coordinates of the reference genome, and the y axis the coverage expressed</w:t>
      </w:r>
      <w:r w:rsidRPr="00CA2717">
        <w:rPr>
          <w:rFonts w:ascii="Arial" w:eastAsia="Arial" w:hAnsi="Arial" w:cs="Arial"/>
          <w:color w:val="000000"/>
          <w:sz w:val="22"/>
          <w:szCs w:val="22"/>
        </w:rPr>
        <w:t xml:space="preserve"> in number of mapped reads. The coverage along the chromosome (black dots) is smoothed (red line), and horizontal lines represent the coverage at the </w:t>
      </w:r>
      <w:r w:rsidRPr="00CA2717">
        <w:rPr>
          <w:rFonts w:ascii="Arial" w:eastAsia="Arial" w:hAnsi="Arial" w:cs="Arial"/>
          <w:i/>
          <w:color w:val="000000"/>
          <w:sz w:val="22"/>
          <w:szCs w:val="22"/>
        </w:rPr>
        <w:t>ori</w:t>
      </w:r>
      <w:r w:rsidRPr="00CA2717">
        <w:rPr>
          <w:rFonts w:ascii="Arial" w:eastAsia="Arial" w:hAnsi="Arial" w:cs="Arial"/>
          <w:color w:val="000000"/>
          <w:sz w:val="22"/>
          <w:szCs w:val="22"/>
        </w:rPr>
        <w:t xml:space="preserve"> (highest coverage) and the coverage at the </w:t>
      </w:r>
      <w:r w:rsidRPr="00CA2717">
        <w:rPr>
          <w:rFonts w:ascii="Arial" w:eastAsia="Arial" w:hAnsi="Arial" w:cs="Arial"/>
          <w:i/>
          <w:color w:val="000000"/>
          <w:sz w:val="22"/>
          <w:szCs w:val="22"/>
        </w:rPr>
        <w:t>ter</w:t>
      </w:r>
      <w:r w:rsidRPr="00CA2717">
        <w:rPr>
          <w:rFonts w:ascii="Arial" w:eastAsia="Arial" w:hAnsi="Arial" w:cs="Arial"/>
          <w:color w:val="000000"/>
          <w:sz w:val="22"/>
          <w:szCs w:val="22"/>
        </w:rPr>
        <w:t xml:space="preserve"> (lowest coverage) used to calculate the </w:t>
      </w:r>
      <w:r w:rsidRPr="00CA2717">
        <w:rPr>
          <w:rFonts w:ascii="Arial" w:eastAsia="Arial" w:hAnsi="Arial" w:cs="Arial"/>
          <w:i/>
          <w:color w:val="000000"/>
          <w:sz w:val="22"/>
          <w:szCs w:val="22"/>
        </w:rPr>
        <w:t>ori</w:t>
      </w:r>
      <w:r w:rsidRPr="00CA2717">
        <w:rPr>
          <w:rFonts w:ascii="Arial" w:eastAsia="Arial" w:hAnsi="Arial" w:cs="Arial"/>
          <w:color w:val="000000"/>
          <w:sz w:val="22"/>
          <w:szCs w:val="22"/>
        </w:rPr>
        <w:t>-</w:t>
      </w:r>
      <w:r w:rsidRPr="00CA2717">
        <w:rPr>
          <w:rFonts w:ascii="Arial" w:eastAsia="Arial" w:hAnsi="Arial" w:cs="Arial"/>
          <w:i/>
          <w:color w:val="000000"/>
          <w:sz w:val="22"/>
          <w:szCs w:val="22"/>
        </w:rPr>
        <w:t>ter</w:t>
      </w:r>
      <w:r w:rsidRPr="00CA2717">
        <w:rPr>
          <w:rFonts w:ascii="Arial" w:eastAsia="Arial" w:hAnsi="Arial" w:cs="Arial"/>
          <w:iCs/>
          <w:color w:val="000000"/>
          <w:sz w:val="22"/>
          <w:szCs w:val="22"/>
        </w:rPr>
        <w:t xml:space="preserve"> ratio</w:t>
      </w:r>
      <w:r w:rsidRPr="00CA2717">
        <w:rPr>
          <w:rFonts w:ascii="Arial" w:eastAsia="Arial" w:hAnsi="Arial" w:cs="Arial"/>
          <w:color w:val="000000"/>
          <w:sz w:val="22"/>
          <w:szCs w:val="22"/>
        </w:rPr>
        <w:t xml:space="preserve">. For comparison, we performed MFA of </w:t>
      </w:r>
      <w:r w:rsidRPr="00CA2717">
        <w:rPr>
          <w:rFonts w:ascii="Arial" w:eastAsia="Arial" w:hAnsi="Arial" w:cs="Arial"/>
          <w:i/>
          <w:color w:val="000000"/>
          <w:sz w:val="22"/>
          <w:szCs w:val="22"/>
        </w:rPr>
        <w:t>Escherichia coli</w:t>
      </w:r>
      <w:r w:rsidRPr="00CA2717">
        <w:rPr>
          <w:rFonts w:ascii="Arial" w:eastAsia="Arial" w:hAnsi="Arial" w:cs="Arial"/>
          <w:color w:val="000000"/>
          <w:sz w:val="22"/>
          <w:szCs w:val="22"/>
        </w:rPr>
        <w:t xml:space="preserve"> in (g) exponential phase and (h) stationary phase based on Ivanova et al., 2015.</w:t>
      </w:r>
    </w:p>
    <w:p w14:paraId="284991CA" w14:textId="77777777" w:rsidR="00CD000E" w:rsidRPr="00941588" w:rsidRDefault="00CD000E" w:rsidP="00CD000E">
      <w:pPr>
        <w:spacing w:line="360" w:lineRule="auto"/>
        <w:jc w:val="both"/>
        <w:rPr>
          <w:rFonts w:ascii="Arial" w:eastAsia="Arial" w:hAnsi="Arial" w:cs="Arial"/>
          <w:color w:val="000000"/>
          <w:sz w:val="22"/>
          <w:szCs w:val="22"/>
        </w:rPr>
      </w:pPr>
    </w:p>
    <w:p w14:paraId="296AC6FB" w14:textId="77777777" w:rsidR="00CD000E" w:rsidRPr="00CA2717" w:rsidRDefault="00CD000E" w:rsidP="00CD000E">
      <w:pPr>
        <w:spacing w:line="360" w:lineRule="auto"/>
        <w:jc w:val="both"/>
        <w:rPr>
          <w:rFonts w:ascii="Arial" w:eastAsia="Arial" w:hAnsi="Arial" w:cs="Arial"/>
          <w:iCs/>
          <w:sz w:val="22"/>
          <w:szCs w:val="22"/>
        </w:rPr>
      </w:pPr>
      <w:r w:rsidRPr="00CA2717">
        <w:rPr>
          <w:rFonts w:ascii="Arial" w:eastAsia="Arial" w:hAnsi="Arial" w:cs="Arial"/>
          <w:b/>
          <w:sz w:val="22"/>
          <w:szCs w:val="22"/>
        </w:rPr>
        <w:t xml:space="preserve">Supplementary Figure 6. Contact map analysis of the primary and secondary diagonal in </w:t>
      </w:r>
      <w:r w:rsidRPr="00CA2717">
        <w:rPr>
          <w:rFonts w:ascii="Arial" w:eastAsia="Arial" w:hAnsi="Arial" w:cs="Arial"/>
          <w:b/>
          <w:i/>
          <w:iCs/>
          <w:sz w:val="22"/>
          <w:szCs w:val="22"/>
        </w:rPr>
        <w:t>A. filiformis</w:t>
      </w:r>
      <w:r w:rsidRPr="00CA2717">
        <w:rPr>
          <w:rFonts w:ascii="Arial" w:eastAsia="Arial" w:hAnsi="Arial" w:cs="Arial"/>
          <w:b/>
          <w:sz w:val="22"/>
          <w:szCs w:val="22"/>
        </w:rPr>
        <w:t xml:space="preserve"> and </w:t>
      </w:r>
      <w:r w:rsidRPr="00CA2717">
        <w:rPr>
          <w:rFonts w:ascii="Arial" w:eastAsia="Arial" w:hAnsi="Arial" w:cs="Arial"/>
          <w:b/>
          <w:i/>
          <w:iCs/>
          <w:sz w:val="22"/>
          <w:szCs w:val="22"/>
        </w:rPr>
        <w:t>C. steedae</w:t>
      </w:r>
      <w:r w:rsidRPr="00CA2717">
        <w:rPr>
          <w:rFonts w:ascii="Arial" w:eastAsia="Arial" w:hAnsi="Arial" w:cs="Arial"/>
          <w:b/>
          <w:sz w:val="22"/>
          <w:szCs w:val="22"/>
        </w:rPr>
        <w:t xml:space="preserve">. </w:t>
      </w:r>
      <w:r w:rsidRPr="00CA2717">
        <w:rPr>
          <w:rFonts w:ascii="Arial" w:eastAsia="Arial" w:hAnsi="Arial" w:cs="Arial"/>
          <w:bCs/>
          <w:sz w:val="22"/>
          <w:szCs w:val="22"/>
        </w:rPr>
        <w:t>(a</w:t>
      </w:r>
      <w:r>
        <w:rPr>
          <w:rFonts w:ascii="Arial" w:eastAsia="Arial" w:hAnsi="Arial" w:cs="Arial"/>
          <w:bCs/>
          <w:sz w:val="22"/>
          <w:szCs w:val="22"/>
        </w:rPr>
        <w:t>-c</w:t>
      </w:r>
      <w:r w:rsidRPr="00CA2717">
        <w:rPr>
          <w:rFonts w:ascii="Arial" w:eastAsia="Arial" w:hAnsi="Arial" w:cs="Arial"/>
          <w:bCs/>
          <w:sz w:val="22"/>
          <w:szCs w:val="22"/>
        </w:rPr>
        <w:t xml:space="preserve">) </w:t>
      </w:r>
      <w:r w:rsidRPr="00CA2717">
        <w:rPr>
          <w:rFonts w:ascii="Arial" w:eastAsia="Arial" w:hAnsi="Arial" w:cs="Arial"/>
          <w:i/>
          <w:color w:val="000000"/>
          <w:sz w:val="22"/>
          <w:szCs w:val="22"/>
        </w:rPr>
        <w:t>ori</w:t>
      </w:r>
      <w:r w:rsidRPr="00CA2717">
        <w:rPr>
          <w:rFonts w:ascii="Arial" w:eastAsia="Arial" w:hAnsi="Arial" w:cs="Arial"/>
          <w:color w:val="000000"/>
          <w:sz w:val="22"/>
          <w:szCs w:val="22"/>
        </w:rPr>
        <w:t>-centered c</w:t>
      </w:r>
      <w:r w:rsidRPr="00CA2717">
        <w:rPr>
          <w:rFonts w:ascii="Arial" w:eastAsia="Arial" w:hAnsi="Arial" w:cs="Arial"/>
          <w:sz w:val="22"/>
          <w:szCs w:val="22"/>
        </w:rPr>
        <w:t xml:space="preserve">ontact maps of </w:t>
      </w:r>
      <w:r w:rsidRPr="00CA2717">
        <w:rPr>
          <w:rFonts w:ascii="Arial" w:eastAsia="Arial" w:hAnsi="Arial" w:cs="Arial"/>
          <w:bCs/>
          <w:i/>
          <w:sz w:val="22"/>
          <w:szCs w:val="22"/>
        </w:rPr>
        <w:t>A. filiformis</w:t>
      </w:r>
      <w:r w:rsidRPr="00CA2717">
        <w:rPr>
          <w:rFonts w:ascii="Arial" w:eastAsia="Arial" w:hAnsi="Arial" w:cs="Arial"/>
          <w:bCs/>
          <w:sz w:val="22"/>
          <w:szCs w:val="22"/>
        </w:rPr>
        <w:t xml:space="preserve"> and </w:t>
      </w:r>
      <w:r>
        <w:rPr>
          <w:rFonts w:ascii="Arial" w:eastAsia="Arial" w:hAnsi="Arial" w:cs="Arial"/>
          <w:bCs/>
          <w:sz w:val="22"/>
          <w:szCs w:val="22"/>
        </w:rPr>
        <w:t xml:space="preserve">(d-f) </w:t>
      </w:r>
      <w:r w:rsidRPr="00CA2717">
        <w:rPr>
          <w:rFonts w:ascii="Arial" w:eastAsia="Arial" w:hAnsi="Arial" w:cs="Arial"/>
          <w:i/>
          <w:iCs/>
          <w:sz w:val="22"/>
          <w:szCs w:val="22"/>
        </w:rPr>
        <w:t>C. steedae</w:t>
      </w:r>
      <w:r w:rsidRPr="00CA2717">
        <w:rPr>
          <w:rFonts w:ascii="Arial" w:eastAsia="Arial" w:hAnsi="Arial" w:cs="Arial"/>
          <w:b/>
          <w:sz w:val="22"/>
          <w:szCs w:val="22"/>
        </w:rPr>
        <w:t xml:space="preserve"> </w:t>
      </w:r>
      <w:r w:rsidRPr="00CA2717">
        <w:rPr>
          <w:rFonts w:ascii="Arial" w:eastAsia="Arial" w:hAnsi="Arial" w:cs="Arial"/>
          <w:sz w:val="22"/>
          <w:szCs w:val="22"/>
        </w:rPr>
        <w:t>were generated after setting the threshold for significant interactions at 0.5X (top) or 0.25X (bottom)</w:t>
      </w:r>
      <w:r>
        <w:rPr>
          <w:rFonts w:ascii="Arial" w:eastAsia="Arial" w:hAnsi="Arial" w:cs="Arial"/>
          <w:sz w:val="22"/>
          <w:szCs w:val="22"/>
        </w:rPr>
        <w:t xml:space="preserve"> of </w:t>
      </w:r>
      <w:r w:rsidRPr="00CA2717">
        <w:rPr>
          <w:rFonts w:ascii="Arial" w:eastAsia="Arial" w:hAnsi="Arial" w:cs="Arial"/>
          <w:sz w:val="22"/>
          <w:szCs w:val="22"/>
        </w:rPr>
        <w:t>the standard deviation above the median to the normalized contact maps obtained in each condition. Contact frequencies above or below this threshold were assigned a value of 1 or 0, respectively, generating a binary contact map in which significant interactions are plotted in yellow and non-significant interactions in blue (left). Additionally, the signal in the binary map is connected by linking five elements considered significant using a diamond-shaped kernel of size 15 to fill empty points defined by the connected elements (right).</w:t>
      </w:r>
    </w:p>
    <w:p w14:paraId="00604170" w14:textId="77777777" w:rsidR="00CD000E" w:rsidRPr="00CA2717" w:rsidRDefault="00CD000E" w:rsidP="00CD000E">
      <w:pPr>
        <w:spacing w:line="360" w:lineRule="auto"/>
        <w:jc w:val="both"/>
        <w:rPr>
          <w:rFonts w:ascii="Arial" w:eastAsia="Arial" w:hAnsi="Arial" w:cs="Arial"/>
          <w:sz w:val="22"/>
          <w:szCs w:val="22"/>
        </w:rPr>
      </w:pPr>
    </w:p>
    <w:p w14:paraId="07BB0649" w14:textId="77777777" w:rsidR="00CD000E" w:rsidRDefault="00CD000E" w:rsidP="00CD000E">
      <w:pPr>
        <w:spacing w:line="360" w:lineRule="auto"/>
        <w:jc w:val="both"/>
        <w:rPr>
          <w:rFonts w:ascii="Arial" w:eastAsia="Arial" w:hAnsi="Arial" w:cs="Arial"/>
          <w:iCs/>
          <w:color w:val="000000"/>
          <w:sz w:val="22"/>
          <w:szCs w:val="22"/>
        </w:rPr>
      </w:pPr>
      <w:r w:rsidRPr="00CA2717">
        <w:rPr>
          <w:rFonts w:ascii="Arial" w:eastAsia="Arial" w:hAnsi="Arial" w:cs="Arial"/>
          <w:b/>
          <w:color w:val="000000"/>
          <w:sz w:val="22"/>
          <w:szCs w:val="22"/>
        </w:rPr>
        <w:t xml:space="preserve">Supplementary Figure 7. Normalized chromosome contact maps of </w:t>
      </w:r>
      <w:r w:rsidRPr="00CA2717">
        <w:rPr>
          <w:rFonts w:ascii="Arial" w:eastAsia="Arial" w:hAnsi="Arial" w:cs="Arial"/>
          <w:b/>
          <w:i/>
          <w:iCs/>
          <w:color w:val="000000"/>
          <w:sz w:val="22"/>
          <w:szCs w:val="22"/>
        </w:rPr>
        <w:t>A. filiformis</w:t>
      </w:r>
      <w:r w:rsidRPr="00CA2717">
        <w:rPr>
          <w:rFonts w:ascii="Arial" w:eastAsia="Arial" w:hAnsi="Arial" w:cs="Arial"/>
          <w:b/>
          <w:color w:val="000000"/>
          <w:sz w:val="22"/>
          <w:szCs w:val="22"/>
        </w:rPr>
        <w:t xml:space="preserve"> </w:t>
      </w:r>
      <w:r w:rsidRPr="00CA2717">
        <w:rPr>
          <w:rFonts w:ascii="Arial" w:eastAsia="Arial" w:hAnsi="Arial" w:cs="Arial"/>
          <w:b/>
          <w:iCs/>
          <w:color w:val="000000"/>
          <w:sz w:val="22"/>
          <w:szCs w:val="22"/>
        </w:rPr>
        <w:t>grown on solid medium with rifampicin or chloramphenicol</w:t>
      </w:r>
      <w:r>
        <w:rPr>
          <w:rFonts w:ascii="Arial" w:eastAsia="Arial" w:hAnsi="Arial" w:cs="Arial"/>
          <w:b/>
          <w:iCs/>
          <w:color w:val="000000"/>
          <w:sz w:val="22"/>
          <w:szCs w:val="22"/>
        </w:rPr>
        <w:t xml:space="preserve"> or without</w:t>
      </w:r>
      <w:r w:rsidRPr="00CA2717">
        <w:rPr>
          <w:rFonts w:ascii="Arial" w:eastAsia="Arial" w:hAnsi="Arial" w:cs="Arial"/>
          <w:b/>
          <w:i/>
          <w:color w:val="000000"/>
          <w:sz w:val="22"/>
          <w:szCs w:val="22"/>
        </w:rPr>
        <w:t>.</w:t>
      </w:r>
      <w:r w:rsidRPr="00CA2717">
        <w:rPr>
          <w:rFonts w:ascii="Arial" w:eastAsia="Arial" w:hAnsi="Arial" w:cs="Arial"/>
          <w:bCs/>
          <w:iCs/>
          <w:color w:val="000000"/>
          <w:sz w:val="22"/>
          <w:szCs w:val="22"/>
        </w:rPr>
        <w:t xml:space="preserve"> Contact map of </w:t>
      </w:r>
      <w:r w:rsidRPr="00CA2717">
        <w:rPr>
          <w:rFonts w:ascii="Arial" w:eastAsia="Arial" w:hAnsi="Arial" w:cs="Arial"/>
          <w:bCs/>
          <w:i/>
          <w:color w:val="000000"/>
          <w:sz w:val="22"/>
          <w:szCs w:val="22"/>
        </w:rPr>
        <w:t>A. filiformis</w:t>
      </w:r>
      <w:r w:rsidRPr="00CA2717">
        <w:rPr>
          <w:rFonts w:ascii="Arial" w:eastAsia="Arial" w:hAnsi="Arial" w:cs="Arial"/>
          <w:bCs/>
          <w:iCs/>
          <w:color w:val="000000"/>
          <w:sz w:val="22"/>
          <w:szCs w:val="22"/>
        </w:rPr>
        <w:t xml:space="preserve"> grown on solid medium and incubated with (a) 25 µg/ml rifampicin (RIF)</w:t>
      </w:r>
      <w:r>
        <w:rPr>
          <w:rFonts w:ascii="Arial" w:eastAsia="Arial" w:hAnsi="Arial" w:cs="Arial"/>
          <w:bCs/>
          <w:iCs/>
          <w:color w:val="000000"/>
          <w:sz w:val="22"/>
          <w:szCs w:val="22"/>
        </w:rPr>
        <w:t>,</w:t>
      </w:r>
      <w:r w:rsidRPr="00CA2717">
        <w:rPr>
          <w:rFonts w:ascii="Arial" w:eastAsia="Arial" w:hAnsi="Arial" w:cs="Arial"/>
          <w:bCs/>
          <w:iCs/>
          <w:color w:val="000000"/>
          <w:sz w:val="22"/>
          <w:szCs w:val="22"/>
        </w:rPr>
        <w:t xml:space="preserve"> (b) 25 µg/ml chloramphenicol (CHL) for 30 min</w:t>
      </w:r>
      <w:r>
        <w:rPr>
          <w:rFonts w:ascii="Arial" w:eastAsia="Arial" w:hAnsi="Arial" w:cs="Arial"/>
          <w:bCs/>
          <w:iCs/>
          <w:color w:val="000000"/>
          <w:sz w:val="22"/>
          <w:szCs w:val="22"/>
        </w:rPr>
        <w:t xml:space="preserve"> or without (c; identical to panel c of Fig.5)</w:t>
      </w:r>
      <w:r w:rsidRPr="00CA2717">
        <w:rPr>
          <w:rFonts w:ascii="Arial" w:eastAsia="Arial" w:hAnsi="Arial" w:cs="Arial"/>
          <w:bCs/>
          <w:iCs/>
          <w:color w:val="000000"/>
          <w:sz w:val="22"/>
          <w:szCs w:val="22"/>
        </w:rPr>
        <w:t xml:space="preserve">. </w:t>
      </w:r>
      <w:r w:rsidRPr="00CA2717">
        <w:rPr>
          <w:rFonts w:ascii="Arial" w:eastAsia="Arial" w:hAnsi="Arial" w:cs="Arial"/>
          <w:color w:val="000000"/>
          <w:sz w:val="22"/>
          <w:szCs w:val="22"/>
        </w:rPr>
        <w:t xml:space="preserve">Below each map, the Frontier Index (FI) displays frontiers with upstream (orange) or downstream (green) bias of interaction. </w:t>
      </w:r>
      <w:r w:rsidRPr="00CA2717">
        <w:rPr>
          <w:rFonts w:ascii="Arial" w:eastAsia="Arial" w:hAnsi="Arial" w:cs="Arial"/>
          <w:iCs/>
          <w:color w:val="000000"/>
          <w:sz w:val="22"/>
          <w:szCs w:val="22"/>
        </w:rPr>
        <w:t>See Table S2 for frontier descriptions</w:t>
      </w:r>
      <w:r>
        <w:rPr>
          <w:rFonts w:ascii="Arial" w:eastAsia="Arial" w:hAnsi="Arial" w:cs="Arial"/>
          <w:iCs/>
          <w:color w:val="000000"/>
          <w:sz w:val="22"/>
          <w:szCs w:val="22"/>
        </w:rPr>
        <w:t xml:space="preserve"> and Fig.5 for detailed description of panel c.</w:t>
      </w:r>
    </w:p>
    <w:p w14:paraId="2CECD286" w14:textId="77777777" w:rsidR="00CD000E" w:rsidRPr="00CA2717" w:rsidRDefault="00CD000E" w:rsidP="00CD000E">
      <w:pPr>
        <w:spacing w:line="360" w:lineRule="auto"/>
        <w:jc w:val="both"/>
        <w:rPr>
          <w:rFonts w:ascii="Arial" w:eastAsia="Arial" w:hAnsi="Arial" w:cs="Arial"/>
          <w:bCs/>
          <w:iCs/>
          <w:color w:val="000000"/>
          <w:sz w:val="22"/>
          <w:szCs w:val="22"/>
        </w:rPr>
      </w:pPr>
    </w:p>
    <w:p w14:paraId="145522C8" w14:textId="77777777" w:rsidR="00CD000E" w:rsidRPr="0070262A" w:rsidRDefault="00CD000E" w:rsidP="00CD000E">
      <w:pPr>
        <w:spacing w:line="360" w:lineRule="auto"/>
        <w:jc w:val="both"/>
        <w:rPr>
          <w:rFonts w:ascii="Arial" w:eastAsia="Arial" w:hAnsi="Arial" w:cs="Arial"/>
          <w:b/>
          <w:bCs/>
          <w:sz w:val="22"/>
          <w:szCs w:val="22"/>
        </w:rPr>
      </w:pPr>
      <w:r w:rsidRPr="0070262A">
        <w:rPr>
          <w:rFonts w:ascii="Arial" w:eastAsia="Arial" w:hAnsi="Arial" w:cs="Arial"/>
          <w:b/>
          <w:bCs/>
          <w:sz w:val="22"/>
          <w:szCs w:val="22"/>
        </w:rPr>
        <w:t>Supplementary Figure 8. Hi-C contact maps and interaction frequency profiles across genomic loci.</w:t>
      </w:r>
      <w:r>
        <w:rPr>
          <w:rFonts w:ascii="Arial" w:eastAsia="Arial" w:hAnsi="Arial" w:cs="Arial"/>
          <w:b/>
          <w:bCs/>
          <w:sz w:val="22"/>
          <w:szCs w:val="22"/>
        </w:rPr>
        <w:t xml:space="preserve"> </w:t>
      </w:r>
      <w:r w:rsidRPr="001E5261">
        <w:rPr>
          <w:rFonts w:ascii="Arial" w:eastAsia="Arial" w:hAnsi="Arial" w:cs="Arial"/>
          <w:sz w:val="22"/>
          <w:szCs w:val="22"/>
        </w:rPr>
        <w:t xml:space="preserve">(a-c) Magnification of </w:t>
      </w:r>
      <w:r w:rsidRPr="001E5261">
        <w:rPr>
          <w:rFonts w:ascii="Arial" w:eastAsia="Arial" w:hAnsi="Arial" w:cs="Arial"/>
          <w:i/>
          <w:iCs/>
          <w:sz w:val="22"/>
          <w:szCs w:val="22"/>
        </w:rPr>
        <w:t>A. filiformis</w:t>
      </w:r>
      <w:r w:rsidRPr="001E5261">
        <w:rPr>
          <w:rFonts w:ascii="Arial" w:eastAsia="Arial" w:hAnsi="Arial" w:cs="Arial"/>
          <w:sz w:val="22"/>
          <w:szCs w:val="22"/>
        </w:rPr>
        <w:t xml:space="preserve"> contact maps (log10 scale) for </w:t>
      </w:r>
      <w:r>
        <w:rPr>
          <w:rFonts w:ascii="Arial" w:eastAsia="Arial" w:hAnsi="Arial" w:cs="Arial"/>
          <w:sz w:val="22"/>
          <w:szCs w:val="22"/>
        </w:rPr>
        <w:t>l</w:t>
      </w:r>
      <w:r w:rsidRPr="001E5261">
        <w:rPr>
          <w:rFonts w:ascii="Arial" w:eastAsia="Arial" w:hAnsi="Arial" w:cs="Arial"/>
          <w:sz w:val="22"/>
          <w:szCs w:val="22"/>
        </w:rPr>
        <w:t xml:space="preserve">iquid </w:t>
      </w:r>
      <w:r>
        <w:rPr>
          <w:rFonts w:ascii="Arial" w:eastAsia="Arial" w:hAnsi="Arial" w:cs="Arial"/>
          <w:sz w:val="22"/>
          <w:szCs w:val="22"/>
        </w:rPr>
        <w:t>medium e</w:t>
      </w:r>
      <w:r w:rsidRPr="001E5261">
        <w:rPr>
          <w:rFonts w:ascii="Arial" w:eastAsia="Arial" w:hAnsi="Arial" w:cs="Arial"/>
          <w:sz w:val="22"/>
          <w:szCs w:val="22"/>
        </w:rPr>
        <w:t>xponential phase</w:t>
      </w:r>
      <w:r>
        <w:rPr>
          <w:rFonts w:ascii="Arial" w:eastAsia="Arial" w:hAnsi="Arial" w:cs="Arial"/>
          <w:sz w:val="22"/>
          <w:szCs w:val="22"/>
        </w:rPr>
        <w:t xml:space="preserve"> (exp)</w:t>
      </w:r>
      <w:r w:rsidRPr="001E5261">
        <w:rPr>
          <w:rFonts w:ascii="Arial" w:eastAsia="Arial" w:hAnsi="Arial" w:cs="Arial"/>
          <w:sz w:val="22"/>
          <w:szCs w:val="22"/>
        </w:rPr>
        <w:t xml:space="preserve">, </w:t>
      </w:r>
      <w:r>
        <w:rPr>
          <w:rFonts w:ascii="Arial" w:eastAsia="Arial" w:hAnsi="Arial" w:cs="Arial"/>
          <w:sz w:val="22"/>
          <w:szCs w:val="22"/>
        </w:rPr>
        <w:t>l</w:t>
      </w:r>
      <w:r w:rsidRPr="001E5261">
        <w:rPr>
          <w:rFonts w:ascii="Arial" w:eastAsia="Arial" w:hAnsi="Arial" w:cs="Arial"/>
          <w:sz w:val="22"/>
          <w:szCs w:val="22"/>
        </w:rPr>
        <w:t xml:space="preserve">iquid </w:t>
      </w:r>
      <w:r>
        <w:rPr>
          <w:rFonts w:ascii="Arial" w:eastAsia="Arial" w:hAnsi="Arial" w:cs="Arial"/>
          <w:sz w:val="22"/>
          <w:szCs w:val="22"/>
        </w:rPr>
        <w:t>medium s</w:t>
      </w:r>
      <w:r w:rsidRPr="001E5261">
        <w:rPr>
          <w:rFonts w:ascii="Arial" w:eastAsia="Arial" w:hAnsi="Arial" w:cs="Arial"/>
          <w:sz w:val="22"/>
          <w:szCs w:val="22"/>
        </w:rPr>
        <w:t>tationary phase</w:t>
      </w:r>
      <w:r>
        <w:rPr>
          <w:rFonts w:ascii="Arial" w:eastAsia="Arial" w:hAnsi="Arial" w:cs="Arial"/>
          <w:sz w:val="22"/>
          <w:szCs w:val="22"/>
        </w:rPr>
        <w:t xml:space="preserve"> (stat)</w:t>
      </w:r>
      <w:r w:rsidRPr="001E5261">
        <w:rPr>
          <w:rFonts w:ascii="Arial" w:eastAsia="Arial" w:hAnsi="Arial" w:cs="Arial"/>
          <w:sz w:val="22"/>
          <w:szCs w:val="22"/>
        </w:rPr>
        <w:t xml:space="preserve">, and </w:t>
      </w:r>
      <w:r>
        <w:rPr>
          <w:rFonts w:ascii="Arial" w:eastAsia="Arial" w:hAnsi="Arial" w:cs="Arial"/>
          <w:sz w:val="22"/>
          <w:szCs w:val="22"/>
        </w:rPr>
        <w:t xml:space="preserve">solid medium </w:t>
      </w:r>
      <w:r w:rsidRPr="001E5261">
        <w:rPr>
          <w:rFonts w:ascii="Arial" w:eastAsia="Arial" w:hAnsi="Arial" w:cs="Arial"/>
          <w:sz w:val="22"/>
          <w:szCs w:val="22"/>
        </w:rPr>
        <w:t>conditions centered at the origin of replication (</w:t>
      </w:r>
      <w:r w:rsidRPr="001E5261">
        <w:rPr>
          <w:rFonts w:ascii="Arial" w:eastAsia="Arial" w:hAnsi="Arial" w:cs="Arial"/>
          <w:i/>
          <w:iCs/>
          <w:sz w:val="22"/>
          <w:szCs w:val="22"/>
        </w:rPr>
        <w:t>ori</w:t>
      </w:r>
      <w:r>
        <w:rPr>
          <w:rFonts w:ascii="Arial" w:eastAsia="Arial" w:hAnsi="Arial" w:cs="Arial"/>
          <w:i/>
          <w:iCs/>
          <w:sz w:val="22"/>
          <w:szCs w:val="22"/>
        </w:rPr>
        <w:t xml:space="preserve">, </w:t>
      </w:r>
      <w:r w:rsidRPr="00FA3FDD">
        <w:rPr>
          <w:rFonts w:ascii="Arial" w:eastAsia="Arial" w:hAnsi="Arial" w:cs="Arial"/>
          <w:sz w:val="22"/>
          <w:szCs w:val="22"/>
        </w:rPr>
        <w:t>green).</w:t>
      </w:r>
      <w:r w:rsidRPr="001E5261">
        <w:rPr>
          <w:rFonts w:ascii="Arial" w:eastAsia="Arial" w:hAnsi="Arial" w:cs="Arial"/>
          <w:sz w:val="22"/>
          <w:szCs w:val="22"/>
        </w:rPr>
        <w:t xml:space="preserve"> </w:t>
      </w:r>
      <w:r>
        <w:rPr>
          <w:rFonts w:ascii="Arial" w:eastAsia="Arial" w:hAnsi="Arial" w:cs="Arial"/>
          <w:sz w:val="22"/>
          <w:szCs w:val="22"/>
        </w:rPr>
        <w:t xml:space="preserve">Viewpoints are black except for Viewpoint 2 which contains </w:t>
      </w:r>
      <w:r w:rsidRPr="00603FF8">
        <w:rPr>
          <w:rFonts w:ascii="Arial" w:eastAsia="Arial" w:hAnsi="Arial" w:cs="Arial"/>
          <w:i/>
          <w:iCs/>
          <w:sz w:val="22"/>
          <w:szCs w:val="22"/>
        </w:rPr>
        <w:t>parS1-6</w:t>
      </w:r>
      <w:r w:rsidRPr="001E5261">
        <w:rPr>
          <w:rFonts w:ascii="Arial" w:eastAsia="Arial" w:hAnsi="Arial" w:cs="Arial"/>
          <w:sz w:val="22"/>
          <w:szCs w:val="22"/>
        </w:rPr>
        <w:t>.</w:t>
      </w:r>
      <w:r>
        <w:rPr>
          <w:rFonts w:ascii="Arial" w:eastAsia="Arial" w:hAnsi="Arial" w:cs="Arial"/>
          <w:sz w:val="22"/>
          <w:szCs w:val="22"/>
        </w:rPr>
        <w:t xml:space="preserve"> (</w:t>
      </w:r>
      <w:r w:rsidRPr="001E5261">
        <w:rPr>
          <w:rFonts w:ascii="Arial" w:eastAsia="Arial" w:hAnsi="Arial" w:cs="Arial"/>
          <w:sz w:val="22"/>
          <w:szCs w:val="22"/>
        </w:rPr>
        <w:t>d-f</w:t>
      </w:r>
      <w:r>
        <w:rPr>
          <w:rFonts w:ascii="Arial" w:eastAsia="Arial" w:hAnsi="Arial" w:cs="Arial"/>
          <w:sz w:val="22"/>
          <w:szCs w:val="22"/>
        </w:rPr>
        <w:t>)</w:t>
      </w:r>
      <w:r w:rsidRPr="001E5261">
        <w:rPr>
          <w:rFonts w:ascii="Arial" w:eastAsia="Arial" w:hAnsi="Arial" w:cs="Arial"/>
          <w:sz w:val="22"/>
          <w:szCs w:val="22"/>
        </w:rPr>
        <w:t xml:space="preserve"> Frequency of contacts (log10) across genome coordinates for </w:t>
      </w:r>
      <w:r>
        <w:rPr>
          <w:rFonts w:ascii="Arial" w:eastAsia="Arial" w:hAnsi="Arial" w:cs="Arial"/>
          <w:sz w:val="22"/>
          <w:szCs w:val="22"/>
        </w:rPr>
        <w:t xml:space="preserve">Viewpoint 1 (bins 227-229; d), Viewpoint 2 (bins 251-254; e) and Viewpoint 3 (bins 257-258; </w:t>
      </w:r>
      <w:r>
        <w:rPr>
          <w:rFonts w:ascii="Arial" w:eastAsia="Arial" w:hAnsi="Arial" w:cs="Arial"/>
          <w:sz w:val="22"/>
          <w:szCs w:val="22"/>
        </w:rPr>
        <w:lastRenderedPageBreak/>
        <w:t>f) in</w:t>
      </w:r>
      <w:r w:rsidRPr="001E5261">
        <w:rPr>
          <w:rFonts w:ascii="Arial" w:eastAsia="Arial" w:hAnsi="Arial" w:cs="Arial"/>
          <w:sz w:val="22"/>
          <w:szCs w:val="22"/>
        </w:rPr>
        <w:t xml:space="preserve"> </w:t>
      </w:r>
      <w:r>
        <w:rPr>
          <w:rFonts w:ascii="Arial" w:eastAsia="Arial" w:hAnsi="Arial" w:cs="Arial"/>
          <w:sz w:val="22"/>
          <w:szCs w:val="22"/>
        </w:rPr>
        <w:t>l</w:t>
      </w:r>
      <w:r w:rsidRPr="001E5261">
        <w:rPr>
          <w:rFonts w:ascii="Arial" w:eastAsia="Arial" w:hAnsi="Arial" w:cs="Arial"/>
          <w:sz w:val="22"/>
          <w:szCs w:val="22"/>
        </w:rPr>
        <w:t xml:space="preserve">iquid </w:t>
      </w:r>
      <w:r>
        <w:rPr>
          <w:rFonts w:ascii="Arial" w:eastAsia="Arial" w:hAnsi="Arial" w:cs="Arial"/>
          <w:sz w:val="22"/>
          <w:szCs w:val="22"/>
        </w:rPr>
        <w:t>medium e</w:t>
      </w:r>
      <w:r w:rsidRPr="001E5261">
        <w:rPr>
          <w:rFonts w:ascii="Arial" w:eastAsia="Arial" w:hAnsi="Arial" w:cs="Arial"/>
          <w:sz w:val="22"/>
          <w:szCs w:val="22"/>
        </w:rPr>
        <w:t xml:space="preserve">xponential </w:t>
      </w:r>
      <w:r w:rsidRPr="00C61EFA">
        <w:rPr>
          <w:rFonts w:ascii="Arial" w:eastAsia="Arial" w:hAnsi="Arial" w:cs="Arial"/>
          <w:sz w:val="22"/>
          <w:szCs w:val="22"/>
        </w:rPr>
        <w:t xml:space="preserve">phase, </w:t>
      </w:r>
      <w:r>
        <w:rPr>
          <w:rFonts w:ascii="Arial" w:eastAsia="Arial" w:hAnsi="Arial" w:cs="Arial"/>
          <w:sz w:val="22"/>
          <w:szCs w:val="22"/>
        </w:rPr>
        <w:t>l</w:t>
      </w:r>
      <w:r w:rsidRPr="001E5261">
        <w:rPr>
          <w:rFonts w:ascii="Arial" w:eastAsia="Arial" w:hAnsi="Arial" w:cs="Arial"/>
          <w:sz w:val="22"/>
          <w:szCs w:val="22"/>
        </w:rPr>
        <w:t xml:space="preserve">iquid </w:t>
      </w:r>
      <w:r>
        <w:rPr>
          <w:rFonts w:ascii="Arial" w:eastAsia="Arial" w:hAnsi="Arial" w:cs="Arial"/>
          <w:sz w:val="22"/>
          <w:szCs w:val="22"/>
        </w:rPr>
        <w:t xml:space="preserve">medium stationary </w:t>
      </w:r>
      <w:r w:rsidRPr="00C61EFA">
        <w:rPr>
          <w:rFonts w:ascii="Arial" w:eastAsia="Arial" w:hAnsi="Arial" w:cs="Arial"/>
          <w:sz w:val="22"/>
          <w:szCs w:val="22"/>
        </w:rPr>
        <w:t xml:space="preserve">phase, </w:t>
      </w:r>
      <w:r>
        <w:rPr>
          <w:rFonts w:ascii="Arial" w:eastAsia="Arial" w:hAnsi="Arial" w:cs="Arial"/>
          <w:sz w:val="22"/>
          <w:szCs w:val="22"/>
        </w:rPr>
        <w:t>or on</w:t>
      </w:r>
      <w:r w:rsidRPr="00C61EFA">
        <w:rPr>
          <w:rFonts w:ascii="Arial" w:eastAsia="Arial" w:hAnsi="Arial" w:cs="Arial"/>
          <w:sz w:val="22"/>
          <w:szCs w:val="22"/>
        </w:rPr>
        <w:t xml:space="preserve"> </w:t>
      </w:r>
      <w:r>
        <w:rPr>
          <w:rFonts w:ascii="Arial" w:eastAsia="Arial" w:hAnsi="Arial" w:cs="Arial"/>
          <w:sz w:val="22"/>
          <w:szCs w:val="22"/>
        </w:rPr>
        <w:t>solid medium</w:t>
      </w:r>
      <w:r w:rsidRPr="001E5261">
        <w:rPr>
          <w:rFonts w:ascii="Arial" w:eastAsia="Arial" w:hAnsi="Arial" w:cs="Arial"/>
          <w:sz w:val="22"/>
          <w:szCs w:val="22"/>
        </w:rPr>
        <w:t xml:space="preserve">. </w:t>
      </w:r>
      <w:r>
        <w:rPr>
          <w:rFonts w:ascii="Arial" w:eastAsia="Arial" w:hAnsi="Arial" w:cs="Arial"/>
          <w:sz w:val="22"/>
          <w:szCs w:val="22"/>
        </w:rPr>
        <w:t>Anchors interacting with viewpoints are grey in d or light blue in e-f. A g</w:t>
      </w:r>
      <w:r w:rsidRPr="001E5261">
        <w:rPr>
          <w:rFonts w:ascii="Arial" w:eastAsia="Arial" w:hAnsi="Arial" w:cs="Arial"/>
          <w:sz w:val="22"/>
          <w:szCs w:val="22"/>
        </w:rPr>
        <w:t>reen</w:t>
      </w:r>
      <w:r>
        <w:rPr>
          <w:rFonts w:ascii="Arial" w:eastAsia="Arial" w:hAnsi="Arial" w:cs="Arial"/>
          <w:sz w:val="22"/>
          <w:szCs w:val="22"/>
        </w:rPr>
        <w:t xml:space="preserve"> arrowhead indicates the origin of DNA replication. </w:t>
      </w:r>
      <w:r w:rsidRPr="00C61EFA">
        <w:rPr>
          <w:rFonts w:ascii="Arial" w:eastAsia="Arial" w:hAnsi="Arial" w:cs="Arial"/>
          <w:i/>
          <w:iCs/>
          <w:sz w:val="22"/>
          <w:szCs w:val="22"/>
        </w:rPr>
        <w:t>parS</w:t>
      </w:r>
      <w:r>
        <w:rPr>
          <w:rFonts w:ascii="Arial" w:eastAsia="Arial" w:hAnsi="Arial" w:cs="Arial"/>
          <w:i/>
          <w:iCs/>
          <w:sz w:val="22"/>
          <w:szCs w:val="22"/>
        </w:rPr>
        <w:t xml:space="preserve">1-6 </w:t>
      </w:r>
      <w:r w:rsidRPr="00603FF8">
        <w:rPr>
          <w:rFonts w:ascii="Arial" w:eastAsia="Arial" w:hAnsi="Arial" w:cs="Arial"/>
          <w:sz w:val="22"/>
          <w:szCs w:val="22"/>
        </w:rPr>
        <w:t>are</w:t>
      </w:r>
      <w:r>
        <w:rPr>
          <w:rFonts w:ascii="Arial" w:eastAsia="Arial" w:hAnsi="Arial" w:cs="Arial"/>
          <w:i/>
          <w:iCs/>
          <w:sz w:val="22"/>
          <w:szCs w:val="22"/>
        </w:rPr>
        <w:t xml:space="preserve"> </w:t>
      </w:r>
      <w:r>
        <w:rPr>
          <w:rFonts w:ascii="Arial" w:eastAsia="Arial" w:hAnsi="Arial" w:cs="Arial"/>
          <w:sz w:val="22"/>
          <w:szCs w:val="22"/>
        </w:rPr>
        <w:t xml:space="preserve">red and </w:t>
      </w:r>
      <w:r w:rsidRPr="00C61EFA">
        <w:rPr>
          <w:rFonts w:ascii="Arial" w:eastAsia="Arial" w:hAnsi="Arial" w:cs="Arial"/>
          <w:i/>
          <w:iCs/>
          <w:sz w:val="22"/>
          <w:szCs w:val="22"/>
        </w:rPr>
        <w:t>parS</w:t>
      </w:r>
      <w:r>
        <w:rPr>
          <w:rFonts w:ascii="Arial" w:eastAsia="Arial" w:hAnsi="Arial" w:cs="Arial"/>
          <w:i/>
          <w:iCs/>
          <w:sz w:val="22"/>
          <w:szCs w:val="22"/>
        </w:rPr>
        <w:t xml:space="preserve">7 </w:t>
      </w:r>
      <w:r>
        <w:rPr>
          <w:rFonts w:ascii="Arial" w:eastAsia="Arial" w:hAnsi="Arial" w:cs="Arial"/>
          <w:sz w:val="22"/>
          <w:szCs w:val="22"/>
        </w:rPr>
        <w:t>are red</w:t>
      </w:r>
      <w:r w:rsidRPr="00603FF8">
        <w:rPr>
          <w:rFonts w:ascii="Arial" w:eastAsia="Arial" w:hAnsi="Arial" w:cs="Arial"/>
          <w:sz w:val="22"/>
          <w:szCs w:val="22"/>
        </w:rPr>
        <w:t xml:space="preserve">. </w:t>
      </w:r>
      <w:r>
        <w:rPr>
          <w:rFonts w:ascii="Arial" w:eastAsia="Arial" w:hAnsi="Arial" w:cs="Arial"/>
          <w:sz w:val="22"/>
          <w:szCs w:val="22"/>
        </w:rPr>
        <w:t>See Supplementary Data Set 4 for further details.</w:t>
      </w:r>
    </w:p>
    <w:p w14:paraId="21242185" w14:textId="77777777" w:rsidR="00CD000E" w:rsidRDefault="00CD000E" w:rsidP="00CD000E">
      <w:pPr>
        <w:spacing w:line="360" w:lineRule="auto"/>
        <w:jc w:val="both"/>
        <w:rPr>
          <w:rFonts w:ascii="Arial" w:eastAsia="Arial" w:hAnsi="Arial" w:cs="Arial"/>
          <w:b/>
          <w:sz w:val="22"/>
          <w:szCs w:val="22"/>
        </w:rPr>
      </w:pPr>
    </w:p>
    <w:p w14:paraId="0226B8C2" w14:textId="77777777" w:rsidR="00CD000E" w:rsidRPr="008A5472" w:rsidRDefault="00CD000E" w:rsidP="00CD000E">
      <w:pPr>
        <w:spacing w:line="360" w:lineRule="auto"/>
        <w:jc w:val="both"/>
      </w:pPr>
      <w:r w:rsidRPr="00B66326">
        <w:rPr>
          <w:rFonts w:ascii="Arial" w:eastAsia="Arial" w:hAnsi="Arial" w:cs="Arial"/>
          <w:b/>
          <w:sz w:val="22"/>
          <w:szCs w:val="22"/>
        </w:rPr>
        <w:t xml:space="preserve">Supplementary Figure 9. </w:t>
      </w:r>
      <w:r w:rsidRPr="00B66326">
        <w:rPr>
          <w:rFonts w:ascii="Arial" w:hAnsi="Arial" w:cs="Arial"/>
          <w:b/>
          <w:bCs/>
          <w:color w:val="000000"/>
          <w:sz w:val="22"/>
          <w:szCs w:val="22"/>
          <w:lang w:eastAsia="en-GB"/>
        </w:rPr>
        <w:t>Transcriptomic data of oral cavity symbionts</w:t>
      </w:r>
      <w:r w:rsidRPr="00B66326">
        <w:rPr>
          <w:rFonts w:ascii="Arial" w:hAnsi="Arial" w:cs="Arial"/>
          <w:color w:val="000000"/>
          <w:sz w:val="22"/>
          <w:szCs w:val="22"/>
          <w:lang w:eastAsia="en-GB"/>
        </w:rPr>
        <w:t xml:space="preserve">. (a) </w:t>
      </w:r>
      <w:r w:rsidRPr="00B66326">
        <w:rPr>
          <w:rFonts w:ascii="Arial" w:hAnsi="Arial" w:cs="Arial"/>
          <w:i/>
          <w:iCs/>
          <w:color w:val="000000"/>
          <w:sz w:val="22"/>
          <w:szCs w:val="22"/>
          <w:lang w:eastAsia="en-GB"/>
        </w:rPr>
        <w:t>A. filiformis</w:t>
      </w:r>
      <w:r w:rsidRPr="00B66326">
        <w:rPr>
          <w:rFonts w:ascii="Arial" w:hAnsi="Arial" w:cs="Arial"/>
          <w:color w:val="000000"/>
          <w:sz w:val="22"/>
          <w:szCs w:val="22"/>
          <w:lang w:eastAsia="en-GB"/>
        </w:rPr>
        <w:t xml:space="preserve"> or (b) </w:t>
      </w:r>
      <w:r w:rsidRPr="00B66326">
        <w:rPr>
          <w:rFonts w:ascii="Arial" w:hAnsi="Arial" w:cs="Arial"/>
          <w:i/>
          <w:iCs/>
          <w:color w:val="000000"/>
          <w:sz w:val="22"/>
          <w:szCs w:val="22"/>
          <w:lang w:eastAsia="en-GB"/>
        </w:rPr>
        <w:t>C. steedae</w:t>
      </w:r>
      <w:r w:rsidRPr="00B66326">
        <w:rPr>
          <w:rFonts w:ascii="Arial" w:hAnsi="Arial" w:cs="Arial"/>
          <w:color w:val="000000"/>
          <w:sz w:val="22"/>
          <w:szCs w:val="22"/>
          <w:lang w:eastAsia="en-GB"/>
        </w:rPr>
        <w:t xml:space="preserve"> transcriptomes were binned at 5 kb resolution and represented as boxplots. The boxplots represent the first quartile (Q1), median and third quartile (Q3). The upper whisker extends from the hinge to the largest value no further than 1.5 * the inter-quartile range (IQR, i.e., distance between the first and third quartiles)</w:t>
      </w:r>
      <w:r w:rsidRPr="00B66326">
        <w:rPr>
          <w:rFonts w:ascii="Arial" w:hAnsi="Arial" w:cs="Arial"/>
          <w:color w:val="000000"/>
          <w:sz w:val="27"/>
          <w:szCs w:val="27"/>
          <w:lang w:eastAsia="en-GB"/>
        </w:rPr>
        <w:t> </w:t>
      </w:r>
      <w:r w:rsidRPr="00B66326">
        <w:rPr>
          <w:rFonts w:ascii="Arial" w:hAnsi="Arial" w:cs="Arial"/>
          <w:color w:val="000000"/>
          <w:sz w:val="22"/>
          <w:szCs w:val="22"/>
          <w:lang w:eastAsia="en-GB"/>
        </w:rPr>
        <w:t>from the hinge. The lower whisker extends from the hinge to the smallest value at most</w:t>
      </w:r>
      <w:r w:rsidRPr="00B66326">
        <w:rPr>
          <w:rFonts w:ascii="Arial" w:hAnsi="Arial" w:cs="Arial"/>
          <w:color w:val="000000"/>
          <w:sz w:val="27"/>
          <w:szCs w:val="27"/>
          <w:lang w:eastAsia="en-GB"/>
        </w:rPr>
        <w:t> </w:t>
      </w:r>
      <w:r w:rsidRPr="00B66326">
        <w:rPr>
          <w:rFonts w:ascii="Arial" w:hAnsi="Arial" w:cs="Arial"/>
          <w:color w:val="000000"/>
          <w:sz w:val="22"/>
          <w:szCs w:val="22"/>
          <w:lang w:eastAsia="en-GB"/>
        </w:rPr>
        <w:t>1.5 * IQR of the hinge. Outliers were considered for the analyses, but they are not shown for simplicity. (b) Description of categories of expression level of each chromosomal bin</w:t>
      </w:r>
      <w:r>
        <w:rPr>
          <w:rFonts w:ascii="Arial" w:hAnsi="Arial" w:cs="Arial"/>
          <w:color w:val="000000"/>
          <w:sz w:val="22"/>
          <w:szCs w:val="22"/>
          <w:lang w:eastAsia="en-GB"/>
        </w:rPr>
        <w:t>, related to panel a</w:t>
      </w:r>
      <w:r w:rsidRPr="00B66326">
        <w:rPr>
          <w:rFonts w:ascii="Arial" w:hAnsi="Arial" w:cs="Arial"/>
          <w:color w:val="000000"/>
          <w:sz w:val="22"/>
          <w:szCs w:val="22"/>
          <w:lang w:eastAsia="en-GB"/>
        </w:rPr>
        <w:t xml:space="preserve">. </w:t>
      </w:r>
      <w:r w:rsidRPr="00B66326">
        <w:rPr>
          <w:rFonts w:ascii="Arial" w:eastAsia="Arial" w:hAnsi="Arial" w:cs="Arial"/>
          <w:b/>
          <w:sz w:val="22"/>
          <w:szCs w:val="22"/>
        </w:rPr>
        <w:t>(c)</w:t>
      </w:r>
      <w:r w:rsidRPr="00B66326">
        <w:rPr>
          <w:rFonts w:ascii="Arial" w:hAnsi="Arial" w:cs="Arial"/>
          <w:color w:val="000000"/>
          <w:sz w:val="22"/>
          <w:szCs w:val="22"/>
          <w:lang w:eastAsia="en-GB"/>
        </w:rPr>
        <w:t xml:space="preserve"> Boxplots comparing gene expression levels (log2(TPM)) of </w:t>
      </w:r>
      <w:r w:rsidRPr="00B66326">
        <w:rPr>
          <w:rFonts w:ascii="Arial" w:hAnsi="Arial" w:cs="Arial"/>
          <w:i/>
          <w:iCs/>
          <w:color w:val="000000"/>
          <w:sz w:val="22"/>
          <w:szCs w:val="22"/>
          <w:lang w:eastAsia="en-GB"/>
        </w:rPr>
        <w:t>A. filiformis</w:t>
      </w:r>
      <w:r w:rsidRPr="00B66326">
        <w:rPr>
          <w:rFonts w:ascii="Arial" w:hAnsi="Arial" w:cs="Arial"/>
          <w:color w:val="000000"/>
          <w:sz w:val="22"/>
          <w:szCs w:val="22"/>
          <w:lang w:eastAsia="en-GB"/>
        </w:rPr>
        <w:t xml:space="preserve"> genes located in loop anchors versus those not located in loop anchors</w:t>
      </w:r>
      <w:r w:rsidRPr="00B66326" w:rsidDel="00485D57">
        <w:rPr>
          <w:rFonts w:ascii="Arial" w:hAnsi="Arial" w:cs="Arial"/>
          <w:color w:val="000000"/>
          <w:sz w:val="22"/>
          <w:szCs w:val="22"/>
          <w:lang w:eastAsia="en-GB"/>
        </w:rPr>
        <w:t xml:space="preserve"> </w:t>
      </w:r>
      <w:r w:rsidRPr="00B66326">
        <w:rPr>
          <w:rFonts w:ascii="Arial" w:hAnsi="Arial" w:cs="Arial"/>
          <w:color w:val="000000"/>
          <w:sz w:val="22"/>
          <w:szCs w:val="22"/>
          <w:lang w:eastAsia="en-GB"/>
        </w:rPr>
        <w:t xml:space="preserve">in cells grown in liquid culture or on solid medium. Gene expression (TPM) of genes located in loop anchors was compared to genes not in loop anchors within each condition (planktonic exponential, planktonic stationary, and colony) using a two-sided Wilcoxon rank-sum test with Benjamini–Hochberg correction for multiple testing. </w:t>
      </w:r>
      <w:r w:rsidRPr="003E6F9A">
        <w:rPr>
          <w:rFonts w:ascii="Arial" w:hAnsi="Arial" w:cs="Arial"/>
          <w:color w:val="000000"/>
          <w:sz w:val="22"/>
          <w:szCs w:val="22"/>
          <w:lang w:eastAsia="en-GB"/>
        </w:rPr>
        <w:t xml:space="preserve">In the solid condition, genes within loop anchors </w:t>
      </w:r>
      <w:r>
        <w:rPr>
          <w:rFonts w:ascii="Arial" w:hAnsi="Arial" w:cs="Arial"/>
          <w:color w:val="000000"/>
          <w:sz w:val="22"/>
          <w:szCs w:val="22"/>
          <w:lang w:eastAsia="en-GB"/>
        </w:rPr>
        <w:t xml:space="preserve">were significantly undertranscribed </w:t>
      </w:r>
      <w:r w:rsidRPr="003E6F9A">
        <w:rPr>
          <w:rFonts w:ascii="Arial" w:hAnsi="Arial" w:cs="Arial"/>
          <w:color w:val="000000"/>
          <w:sz w:val="22"/>
          <w:szCs w:val="22"/>
          <w:lang w:eastAsia="en-GB"/>
        </w:rPr>
        <w:t>compared with genes outside loop anchors (median log</w:t>
      </w:r>
      <w:r w:rsidRPr="003E6F9A">
        <w:rPr>
          <w:rFonts w:ascii="Cambria Math" w:hAnsi="Cambria Math" w:cs="Cambria Math"/>
          <w:color w:val="000000"/>
          <w:sz w:val="22"/>
          <w:szCs w:val="22"/>
          <w:lang w:eastAsia="en-GB"/>
        </w:rPr>
        <w:t>₂</w:t>
      </w:r>
      <w:r w:rsidRPr="003E6F9A">
        <w:rPr>
          <w:rFonts w:ascii="Arial" w:hAnsi="Arial" w:cs="Arial"/>
          <w:color w:val="000000"/>
          <w:sz w:val="22"/>
          <w:szCs w:val="22"/>
          <w:lang w:eastAsia="en-GB"/>
        </w:rPr>
        <w:t xml:space="preserve">(TPM + 1) = 5.48 vs. 6.58; Wilcoxon rank-sum test, </w:t>
      </w:r>
      <w:r w:rsidRPr="00B66326">
        <w:rPr>
          <w:rFonts w:ascii="Arial" w:hAnsi="Arial" w:cs="Arial"/>
          <w:color w:val="000000"/>
          <w:sz w:val="22"/>
          <w:szCs w:val="22"/>
          <w:lang w:eastAsia="en-GB"/>
        </w:rPr>
        <w:t>W = 49081</w:t>
      </w:r>
      <w:r>
        <w:rPr>
          <w:rFonts w:ascii="Arial" w:hAnsi="Arial" w:cs="Arial"/>
          <w:color w:val="000000"/>
          <w:sz w:val="22"/>
          <w:szCs w:val="22"/>
          <w:lang w:eastAsia="en-GB"/>
        </w:rPr>
        <w:t xml:space="preserve">, </w:t>
      </w:r>
      <w:r w:rsidRPr="003E6F9A">
        <w:rPr>
          <w:rFonts w:ascii="Arial" w:hAnsi="Arial" w:cs="Arial"/>
          <w:color w:val="000000"/>
          <w:sz w:val="22"/>
          <w:szCs w:val="22"/>
          <w:lang w:eastAsia="en-GB"/>
        </w:rPr>
        <w:t>Benjamini–Hochberg-adjusted p = 0.017).</w:t>
      </w:r>
      <w:r>
        <w:rPr>
          <w:rFonts w:ascii="Arial" w:hAnsi="Arial" w:cs="Arial"/>
          <w:color w:val="000000"/>
          <w:sz w:val="22"/>
          <w:szCs w:val="22"/>
          <w:lang w:eastAsia="en-GB"/>
        </w:rPr>
        <w:t xml:space="preserve"> </w:t>
      </w:r>
    </w:p>
    <w:p w14:paraId="228AA69C" w14:textId="77777777" w:rsidR="00CD000E" w:rsidRDefault="00CD000E" w:rsidP="00CD000E">
      <w:pPr>
        <w:spacing w:line="360" w:lineRule="auto"/>
        <w:jc w:val="both"/>
        <w:rPr>
          <w:rFonts w:ascii="Arial" w:hAnsi="Arial" w:cs="Arial"/>
          <w:color w:val="000000"/>
          <w:sz w:val="22"/>
          <w:szCs w:val="22"/>
          <w:lang w:eastAsia="en-GB"/>
        </w:rPr>
      </w:pPr>
    </w:p>
    <w:p w14:paraId="3C266C61" w14:textId="77777777" w:rsidR="00CD000E" w:rsidRDefault="00CD000E" w:rsidP="00CD000E">
      <w:pPr>
        <w:spacing w:line="360" w:lineRule="auto"/>
        <w:jc w:val="both"/>
        <w:rPr>
          <w:rFonts w:ascii="Arial" w:hAnsi="Arial" w:cs="Arial"/>
          <w:color w:val="000000"/>
          <w:sz w:val="22"/>
          <w:szCs w:val="22"/>
          <w:lang w:eastAsia="en-GB"/>
        </w:rPr>
      </w:pPr>
      <w:r w:rsidRPr="004B70FE">
        <w:rPr>
          <w:rFonts w:ascii="Arial" w:hAnsi="Arial" w:cs="Arial"/>
          <w:b/>
          <w:bCs/>
          <w:color w:val="000000"/>
          <w:sz w:val="22"/>
          <w:szCs w:val="22"/>
          <w:lang w:eastAsia="en-GB"/>
        </w:rPr>
        <w:t>Supplementary Movie 1.</w:t>
      </w:r>
      <w:r>
        <w:rPr>
          <w:rFonts w:ascii="Arial" w:hAnsi="Arial" w:cs="Arial"/>
          <w:color w:val="000000"/>
          <w:sz w:val="22"/>
          <w:szCs w:val="22"/>
          <w:lang w:eastAsia="en-GB"/>
        </w:rPr>
        <w:t xml:space="preserve"> 3DSIM of an </w:t>
      </w:r>
      <w:r w:rsidRPr="004B70FE">
        <w:rPr>
          <w:rFonts w:ascii="Arial" w:hAnsi="Arial" w:cs="Arial"/>
          <w:i/>
          <w:iCs/>
          <w:color w:val="000000"/>
          <w:sz w:val="22"/>
          <w:szCs w:val="22"/>
          <w:lang w:eastAsia="en-GB"/>
        </w:rPr>
        <w:t>S. muelleri</w:t>
      </w:r>
      <w:r>
        <w:rPr>
          <w:rFonts w:ascii="Arial" w:hAnsi="Arial" w:cs="Arial"/>
          <w:color w:val="000000"/>
          <w:sz w:val="22"/>
          <w:szCs w:val="22"/>
          <w:lang w:eastAsia="en-GB"/>
        </w:rPr>
        <w:t xml:space="preserve"> filament subjected to DNA FISH with an </w:t>
      </w:r>
      <w:r w:rsidRPr="002F1AA3">
        <w:rPr>
          <w:rFonts w:ascii="Arial" w:hAnsi="Arial" w:cs="Arial"/>
          <w:i/>
          <w:iCs/>
          <w:color w:val="000000"/>
          <w:sz w:val="22"/>
          <w:szCs w:val="22"/>
          <w:lang w:eastAsia="en-GB"/>
        </w:rPr>
        <w:t>ori</w:t>
      </w:r>
      <w:r>
        <w:rPr>
          <w:rFonts w:ascii="Arial" w:hAnsi="Arial" w:cs="Arial"/>
          <w:color w:val="000000"/>
          <w:sz w:val="22"/>
          <w:szCs w:val="22"/>
          <w:lang w:eastAsia="en-GB"/>
        </w:rPr>
        <w:t xml:space="preserve">-specific probe (green) and stained with WGA (false colored in red). </w:t>
      </w:r>
      <w:r w:rsidRPr="007F651B">
        <w:rPr>
          <w:rFonts w:ascii="Arial" w:hAnsi="Arial" w:cs="Arial"/>
          <w:color w:val="000000"/>
          <w:sz w:val="22"/>
          <w:szCs w:val="22"/>
          <w:lang w:eastAsia="en-GB"/>
        </w:rPr>
        <w:t xml:space="preserve">Scale bar </w:t>
      </w:r>
      <w:r w:rsidRPr="00CC5342">
        <w:rPr>
          <w:rFonts w:ascii="Arial" w:hAnsi="Arial" w:cs="Arial"/>
          <w:color w:val="000000"/>
          <w:sz w:val="22"/>
          <w:szCs w:val="22"/>
          <w:lang w:eastAsia="en-GB"/>
        </w:rPr>
        <w:t>2</w:t>
      </w:r>
      <w:r w:rsidRPr="00CC5342">
        <w:rPr>
          <w:rFonts w:ascii="Arial" w:eastAsia="Arial" w:hAnsi="Arial" w:cs="Arial"/>
          <w:bCs/>
          <w:iCs/>
          <w:color w:val="000000"/>
          <w:sz w:val="22"/>
          <w:szCs w:val="22"/>
        </w:rPr>
        <w:t>µ</w:t>
      </w:r>
      <w:r w:rsidRPr="007F651B">
        <w:rPr>
          <w:rFonts w:ascii="Arial" w:hAnsi="Arial" w:cs="Arial"/>
          <w:color w:val="000000"/>
          <w:sz w:val="22"/>
          <w:szCs w:val="22"/>
          <w:lang w:eastAsia="en-GB"/>
        </w:rPr>
        <w:t>m</w:t>
      </w:r>
    </w:p>
    <w:p w14:paraId="291892D4" w14:textId="77777777" w:rsidR="00CD000E" w:rsidRDefault="00CD000E" w:rsidP="00CD000E">
      <w:pPr>
        <w:spacing w:line="360" w:lineRule="auto"/>
        <w:jc w:val="both"/>
        <w:rPr>
          <w:rFonts w:ascii="Arial" w:hAnsi="Arial" w:cs="Arial"/>
          <w:color w:val="000000"/>
          <w:sz w:val="22"/>
          <w:szCs w:val="22"/>
          <w:lang w:eastAsia="en-GB"/>
        </w:rPr>
      </w:pPr>
    </w:p>
    <w:p w14:paraId="2EC5990C" w14:textId="77777777" w:rsidR="00CD000E" w:rsidRPr="0091498B" w:rsidRDefault="00CD000E" w:rsidP="00CD000E">
      <w:pPr>
        <w:spacing w:line="360" w:lineRule="auto"/>
        <w:jc w:val="both"/>
        <w:rPr>
          <w:rFonts w:ascii="Arial" w:hAnsi="Arial" w:cs="Arial"/>
          <w:color w:val="000000"/>
          <w:sz w:val="22"/>
          <w:szCs w:val="22"/>
          <w:lang w:eastAsia="en-GB"/>
        </w:rPr>
      </w:pPr>
      <w:r w:rsidRPr="004B70FE">
        <w:rPr>
          <w:rFonts w:ascii="Arial" w:hAnsi="Arial" w:cs="Arial"/>
          <w:b/>
          <w:bCs/>
          <w:color w:val="000000"/>
          <w:sz w:val="22"/>
          <w:szCs w:val="22"/>
          <w:lang w:eastAsia="en-GB"/>
        </w:rPr>
        <w:t xml:space="preserve">Supplementary Movie </w:t>
      </w:r>
      <w:r>
        <w:rPr>
          <w:rFonts w:ascii="Arial" w:hAnsi="Arial" w:cs="Arial"/>
          <w:b/>
          <w:bCs/>
          <w:color w:val="000000"/>
          <w:sz w:val="22"/>
          <w:szCs w:val="22"/>
          <w:lang w:eastAsia="en-GB"/>
        </w:rPr>
        <w:t>2</w:t>
      </w:r>
      <w:r w:rsidRPr="004B70FE">
        <w:rPr>
          <w:rFonts w:ascii="Arial" w:hAnsi="Arial" w:cs="Arial"/>
          <w:b/>
          <w:bCs/>
          <w:color w:val="000000"/>
          <w:sz w:val="22"/>
          <w:szCs w:val="22"/>
          <w:lang w:eastAsia="en-GB"/>
        </w:rPr>
        <w:t>.</w:t>
      </w:r>
      <w:r>
        <w:rPr>
          <w:rFonts w:ascii="Arial" w:hAnsi="Arial" w:cs="Arial"/>
          <w:color w:val="000000"/>
          <w:sz w:val="22"/>
          <w:szCs w:val="22"/>
          <w:lang w:eastAsia="en-GB"/>
        </w:rPr>
        <w:t xml:space="preserve"> 3DSIM of a C</w:t>
      </w:r>
      <w:r w:rsidRPr="004B70FE">
        <w:rPr>
          <w:rFonts w:ascii="Arial" w:hAnsi="Arial" w:cs="Arial"/>
          <w:i/>
          <w:iCs/>
          <w:color w:val="000000"/>
          <w:sz w:val="22"/>
          <w:szCs w:val="22"/>
          <w:lang w:eastAsia="en-GB"/>
        </w:rPr>
        <w:t>.</w:t>
      </w:r>
      <w:r>
        <w:rPr>
          <w:rFonts w:ascii="Arial" w:hAnsi="Arial" w:cs="Arial"/>
          <w:i/>
          <w:iCs/>
          <w:color w:val="000000"/>
          <w:sz w:val="22"/>
          <w:szCs w:val="22"/>
          <w:lang w:eastAsia="en-GB"/>
        </w:rPr>
        <w:t xml:space="preserve"> steedae</w:t>
      </w:r>
      <w:r>
        <w:rPr>
          <w:rFonts w:ascii="Arial" w:hAnsi="Arial" w:cs="Arial"/>
          <w:color w:val="000000"/>
          <w:sz w:val="22"/>
          <w:szCs w:val="22"/>
          <w:lang w:eastAsia="en-GB"/>
        </w:rPr>
        <w:t xml:space="preserve"> filament subjected to DNA FISH with an </w:t>
      </w:r>
      <w:r w:rsidRPr="004B70FE">
        <w:rPr>
          <w:rFonts w:ascii="Arial" w:hAnsi="Arial" w:cs="Arial"/>
          <w:i/>
          <w:iCs/>
          <w:color w:val="000000"/>
          <w:sz w:val="22"/>
          <w:szCs w:val="22"/>
          <w:lang w:eastAsia="en-GB"/>
        </w:rPr>
        <w:t>ori</w:t>
      </w:r>
      <w:r>
        <w:rPr>
          <w:rFonts w:ascii="Arial" w:hAnsi="Arial" w:cs="Arial"/>
          <w:color w:val="000000"/>
          <w:sz w:val="22"/>
          <w:szCs w:val="22"/>
          <w:lang w:eastAsia="en-GB"/>
        </w:rPr>
        <w:t>-specific probe (green) and stained with WGA (false colored in red).</w:t>
      </w:r>
      <w:r w:rsidRPr="007F651B">
        <w:rPr>
          <w:rFonts w:ascii="Arial" w:hAnsi="Arial" w:cs="Arial"/>
          <w:color w:val="000000"/>
          <w:sz w:val="22"/>
          <w:szCs w:val="22"/>
          <w:lang w:eastAsia="en-GB"/>
        </w:rPr>
        <w:t xml:space="preserve"> Scale bar </w:t>
      </w:r>
      <w:r w:rsidRPr="00CC5342">
        <w:rPr>
          <w:rFonts w:ascii="Arial" w:hAnsi="Arial" w:cs="Arial"/>
          <w:color w:val="000000"/>
          <w:sz w:val="22"/>
          <w:szCs w:val="22"/>
          <w:lang w:eastAsia="en-GB"/>
        </w:rPr>
        <w:t>2</w:t>
      </w:r>
      <w:r w:rsidRPr="00CC5342">
        <w:rPr>
          <w:rFonts w:ascii="Arial" w:eastAsia="Arial" w:hAnsi="Arial" w:cs="Arial"/>
          <w:bCs/>
          <w:iCs/>
          <w:color w:val="000000"/>
          <w:sz w:val="22"/>
          <w:szCs w:val="22"/>
        </w:rPr>
        <w:t>µ</w:t>
      </w:r>
      <w:r w:rsidRPr="007F651B">
        <w:rPr>
          <w:rFonts w:ascii="Arial" w:hAnsi="Arial" w:cs="Arial"/>
          <w:color w:val="000000"/>
          <w:sz w:val="22"/>
          <w:szCs w:val="22"/>
          <w:lang w:eastAsia="en-GB"/>
        </w:rPr>
        <w:t>m</w:t>
      </w:r>
      <w:r>
        <w:rPr>
          <w:rFonts w:ascii="Arial" w:hAnsi="Arial" w:cs="Arial"/>
          <w:color w:val="000000"/>
          <w:sz w:val="22"/>
          <w:szCs w:val="22"/>
          <w:lang w:eastAsia="en-GB"/>
        </w:rPr>
        <w:t>.</w:t>
      </w:r>
    </w:p>
    <w:p w14:paraId="6D8D2684" w14:textId="77777777" w:rsidR="00E023F9" w:rsidRDefault="00E023F9"/>
    <w:sectPr w:rsidR="00E023F9" w:rsidSect="00CD000E">
      <w:pgSz w:w="11906" w:h="16838"/>
      <w:pgMar w:top="1440" w:right="1440" w:bottom="1440" w:left="1440" w:header="0" w:footer="0" w:gutter="0"/>
      <w:lnNumType w:countBy="1" w:restart="continuous"/>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0E"/>
    <w:rsid w:val="000C4033"/>
    <w:rsid w:val="00147F8B"/>
    <w:rsid w:val="00173ED8"/>
    <w:rsid w:val="002F50B1"/>
    <w:rsid w:val="004B42CB"/>
    <w:rsid w:val="005F2B46"/>
    <w:rsid w:val="006E1731"/>
    <w:rsid w:val="00866D74"/>
    <w:rsid w:val="00882A73"/>
    <w:rsid w:val="00906905"/>
    <w:rsid w:val="0095305D"/>
    <w:rsid w:val="00B10170"/>
    <w:rsid w:val="00B260B7"/>
    <w:rsid w:val="00B85331"/>
    <w:rsid w:val="00C94D66"/>
    <w:rsid w:val="00CD000E"/>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006B"/>
  <w15:chartTrackingRefBased/>
  <w15:docId w15:val="{30A2EC87-1D4E-4ED3-909E-589F4982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0E"/>
    <w:pPr>
      <w:suppressAutoHyphens/>
      <w:spacing w:after="0" w:line="240" w:lineRule="auto"/>
    </w:pPr>
    <w:rPr>
      <w:rFonts w:ascii="Times New Roman" w:eastAsia="Times New Roman" w:hAnsi="Times New Roman" w:cs="Times New Roman"/>
      <w:kern w:val="0"/>
      <w:lang w:val="en-US" w:eastAsia="fr-FR"/>
      <w14:ligatures w14:val="none"/>
    </w:rPr>
  </w:style>
  <w:style w:type="paragraph" w:styleId="Heading1">
    <w:name w:val="heading 1"/>
    <w:basedOn w:val="Normal"/>
    <w:next w:val="Normal"/>
    <w:link w:val="Heading1Char"/>
    <w:uiPriority w:val="9"/>
    <w:qFormat/>
    <w:rsid w:val="00CD000E"/>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CD000E"/>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CD000E"/>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CD000E"/>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CD000E"/>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CD000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CD000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CD000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CD000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0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0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0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0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0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0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0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0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00E"/>
    <w:rPr>
      <w:rFonts w:eastAsiaTheme="majorEastAsia" w:cstheme="majorBidi"/>
      <w:color w:val="272727" w:themeColor="text1" w:themeTint="D8"/>
    </w:rPr>
  </w:style>
  <w:style w:type="paragraph" w:styleId="Title">
    <w:name w:val="Title"/>
    <w:basedOn w:val="Normal"/>
    <w:next w:val="Normal"/>
    <w:link w:val="TitleChar"/>
    <w:uiPriority w:val="10"/>
    <w:qFormat/>
    <w:rsid w:val="00CD000E"/>
    <w:pPr>
      <w:suppressAutoHyphens w:val="0"/>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CD00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00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CD00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00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CD000E"/>
    <w:rPr>
      <w:i/>
      <w:iCs/>
      <w:color w:val="404040" w:themeColor="text1" w:themeTint="BF"/>
    </w:rPr>
  </w:style>
  <w:style w:type="paragraph" w:styleId="ListParagraph">
    <w:name w:val="List Paragraph"/>
    <w:basedOn w:val="Normal"/>
    <w:uiPriority w:val="34"/>
    <w:qFormat/>
    <w:rsid w:val="00CD000E"/>
    <w:pPr>
      <w:suppressAutoHyphens w:val="0"/>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CD000E"/>
    <w:rPr>
      <w:i/>
      <w:iCs/>
      <w:color w:val="0F4761" w:themeColor="accent1" w:themeShade="BF"/>
    </w:rPr>
  </w:style>
  <w:style w:type="paragraph" w:styleId="IntenseQuote">
    <w:name w:val="Intense Quote"/>
    <w:basedOn w:val="Normal"/>
    <w:next w:val="Normal"/>
    <w:link w:val="IntenseQuoteChar"/>
    <w:uiPriority w:val="30"/>
    <w:qFormat/>
    <w:rsid w:val="00CD000E"/>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CD000E"/>
    <w:rPr>
      <w:i/>
      <w:iCs/>
      <w:color w:val="0F4761" w:themeColor="accent1" w:themeShade="BF"/>
    </w:rPr>
  </w:style>
  <w:style w:type="character" w:styleId="IntenseReference">
    <w:name w:val="Intense Reference"/>
    <w:basedOn w:val="DefaultParagraphFont"/>
    <w:uiPriority w:val="32"/>
    <w:qFormat/>
    <w:rsid w:val="00CD000E"/>
    <w:rPr>
      <w:b/>
      <w:bCs/>
      <w:smallCaps/>
      <w:color w:val="0F4761" w:themeColor="accent1" w:themeShade="BF"/>
      <w:spacing w:val="5"/>
    </w:rPr>
  </w:style>
  <w:style w:type="character" w:styleId="LineNumber">
    <w:name w:val="line number"/>
    <w:basedOn w:val="DefaultParagraphFont"/>
    <w:uiPriority w:val="99"/>
    <w:semiHidden/>
    <w:unhideWhenUsed/>
    <w:rsid w:val="00CD0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2026-07-30T10:12:00Z</dcterms:created>
  <dcterms:modified xsi:type="dcterms:W3CDTF">2026-07-30T10:12:00Z</dcterms:modified>
</cp:coreProperties>
</file>