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97E9" w14:textId="0B35BBBE" w:rsidR="007B2E0A" w:rsidRPr="00041D45" w:rsidRDefault="00A74F51" w:rsidP="007B2E0A">
      <w:pPr>
        <w:rPr>
          <w:rFonts w:cs="Times New Roman"/>
          <w:b/>
          <w:bCs/>
          <w:szCs w:val="24"/>
          <w:shd w:val="clear" w:color="auto" w:fill="FFFFFF"/>
        </w:rPr>
      </w:pPr>
      <w:r>
        <w:rPr>
          <w:rFonts w:cs="Times New Roman"/>
          <w:b/>
          <w:bCs/>
          <w:szCs w:val="24"/>
          <w:shd w:val="clear" w:color="auto" w:fill="FFFFFF"/>
        </w:rPr>
        <w:t xml:space="preserve">Supplementary </w:t>
      </w:r>
      <w:r w:rsidR="007B2E0A" w:rsidRPr="00041D45">
        <w:rPr>
          <w:rFonts w:eastAsia="Cambria" w:cs="Times New Roman"/>
          <w:b/>
          <w:szCs w:val="24"/>
          <w:lang w:val="en-US"/>
        </w:rPr>
        <w:t>Methods</w:t>
      </w:r>
    </w:p>
    <w:p w14:paraId="51ECAB9F" w14:textId="69581FD8" w:rsidR="007B2E0A" w:rsidRPr="00041D45" w:rsidRDefault="003954FA" w:rsidP="007B2E0A">
      <w:pPr>
        <w:rPr>
          <w:rFonts w:cs="Times New Roman"/>
          <w:b/>
          <w:bCs/>
          <w:szCs w:val="24"/>
          <w:shd w:val="clear" w:color="auto" w:fill="FFFFFF"/>
        </w:rPr>
      </w:pPr>
      <w:r>
        <w:rPr>
          <w:rFonts w:cs="Times New Roman"/>
          <w:b/>
          <w:bCs/>
          <w:szCs w:val="24"/>
          <w:shd w:val="clear" w:color="auto" w:fill="FFFFFF"/>
        </w:rPr>
        <w:t>1</w:t>
      </w:r>
      <w:r w:rsidR="007B2E0A" w:rsidRPr="00041D45">
        <w:rPr>
          <w:rFonts w:cs="Times New Roman"/>
          <w:b/>
          <w:bCs/>
          <w:szCs w:val="24"/>
          <w:shd w:val="clear" w:color="auto" w:fill="FFFFFF"/>
        </w:rPr>
        <w:t>.1</w:t>
      </w:r>
      <w:r w:rsidR="007B2E0A" w:rsidRPr="00041D45">
        <w:rPr>
          <w:rFonts w:cs="Times New Roman"/>
          <w:b/>
          <w:bCs/>
          <w:szCs w:val="24"/>
          <w:shd w:val="clear" w:color="auto" w:fill="FFFFFF"/>
        </w:rPr>
        <w:tab/>
        <w:t>Subjects and study design</w:t>
      </w:r>
    </w:p>
    <w:p w14:paraId="7F80D4C4" w14:textId="48710E36" w:rsidR="007B2E0A" w:rsidRPr="00041D45" w:rsidRDefault="007B2E0A" w:rsidP="007B2E0A">
      <w:pPr>
        <w:jc w:val="both"/>
        <w:rPr>
          <w:rFonts w:cs="Times New Roman"/>
          <w:szCs w:val="24"/>
        </w:rPr>
      </w:pPr>
      <w:r w:rsidRPr="00041D45">
        <w:rPr>
          <w:rFonts w:cs="Times New Roman"/>
          <w:szCs w:val="24"/>
        </w:rPr>
        <w:t>This study was conducted at the</w:t>
      </w:r>
      <w:r w:rsidRPr="00041D45">
        <w:rPr>
          <w:rFonts w:cs="Times New Roman"/>
          <w:szCs w:val="24"/>
          <w:shd w:val="clear" w:color="auto" w:fill="FFFFFF"/>
        </w:rPr>
        <w:t xml:space="preserve"> </w:t>
      </w:r>
      <w:r w:rsidRPr="00041D45">
        <w:rPr>
          <w:rFonts w:cs="Times New Roman"/>
          <w:szCs w:val="24"/>
        </w:rPr>
        <w:t xml:space="preserve">Department of Burns and Plastic Surgery, University </w:t>
      </w:r>
      <w:r>
        <w:rPr>
          <w:rFonts w:cs="Times New Roman"/>
          <w:szCs w:val="24"/>
        </w:rPr>
        <w:t>H</w:t>
      </w:r>
      <w:r w:rsidRPr="00041D45">
        <w:rPr>
          <w:rFonts w:cs="Times New Roman"/>
          <w:szCs w:val="24"/>
        </w:rPr>
        <w:t xml:space="preserve">ospital Brno, Czech </w:t>
      </w:r>
      <w:r>
        <w:rPr>
          <w:rFonts w:cs="Times New Roman"/>
          <w:szCs w:val="24"/>
        </w:rPr>
        <w:t>R</w:t>
      </w:r>
      <w:r w:rsidRPr="00041D45">
        <w:rPr>
          <w:rFonts w:cs="Times New Roman"/>
          <w:szCs w:val="24"/>
        </w:rPr>
        <w:t>epublic. Ethical approval (No. 05-061020/EK, October 6, 2020) has been granted for this project in accordance with the principles of the Declaration of Helsinki. All participants were informed about the study process and risks arising from the study and</w:t>
      </w:r>
      <w:r w:rsidR="004C04F8">
        <w:rPr>
          <w:rFonts w:cs="Times New Roman"/>
          <w:szCs w:val="24"/>
        </w:rPr>
        <w:t xml:space="preserve"> signed an</w:t>
      </w:r>
      <w:r w:rsidRPr="00041D45">
        <w:rPr>
          <w:rFonts w:cs="Times New Roman"/>
          <w:szCs w:val="24"/>
        </w:rPr>
        <w:t xml:space="preserve"> informed consent. </w:t>
      </w:r>
      <w:r w:rsidRPr="003954FA">
        <w:rPr>
          <w:rFonts w:cs="Times New Roman"/>
          <w:szCs w:val="24"/>
        </w:rPr>
        <w:t>Fifty</w:t>
      </w:r>
      <w:r w:rsidRPr="00041D45">
        <w:rPr>
          <w:rFonts w:cs="Times New Roman"/>
          <w:szCs w:val="24"/>
        </w:rPr>
        <w:t xml:space="preserve"> adult burn patients, who used LAN as stress ulcers prophylaxis, were enrolled </w:t>
      </w:r>
      <w:r>
        <w:rPr>
          <w:rFonts w:cs="Times New Roman"/>
          <w:szCs w:val="24"/>
        </w:rPr>
        <w:t>in</w:t>
      </w:r>
      <w:r w:rsidRPr="00041D45">
        <w:rPr>
          <w:rFonts w:cs="Times New Roman"/>
          <w:szCs w:val="24"/>
        </w:rPr>
        <w:t xml:space="preserve"> this study. </w:t>
      </w:r>
    </w:p>
    <w:p w14:paraId="0C6F5386" w14:textId="1E110F73" w:rsidR="007B2E0A" w:rsidRPr="00041D45" w:rsidRDefault="007B2E0A" w:rsidP="007B2E0A">
      <w:pPr>
        <w:jc w:val="both"/>
        <w:rPr>
          <w:rFonts w:cs="Times New Roman"/>
          <w:szCs w:val="24"/>
        </w:rPr>
      </w:pPr>
      <w:r w:rsidRPr="00041D45">
        <w:rPr>
          <w:rFonts w:cs="Times New Roman"/>
          <w:szCs w:val="24"/>
        </w:rPr>
        <w:t xml:space="preserve">Inclusion criteria were: </w:t>
      </w:r>
      <w:proofErr w:type="spellStart"/>
      <w:r w:rsidRPr="00041D45">
        <w:rPr>
          <w:rFonts w:cs="Times New Roman"/>
          <w:szCs w:val="24"/>
        </w:rPr>
        <w:t>i</w:t>
      </w:r>
      <w:proofErr w:type="spellEnd"/>
      <w:r w:rsidRPr="00041D45">
        <w:rPr>
          <w:rFonts w:cs="Times New Roman"/>
          <w:szCs w:val="24"/>
        </w:rPr>
        <w:t>) age ≥18 years, ii) individuals of European ancestry, iii) sign</w:t>
      </w:r>
      <w:r w:rsidR="004C04F8">
        <w:rPr>
          <w:rFonts w:cs="Times New Roman"/>
          <w:szCs w:val="24"/>
        </w:rPr>
        <w:t>ing</w:t>
      </w:r>
      <w:r w:rsidRPr="00041D45">
        <w:rPr>
          <w:rFonts w:cs="Times New Roman"/>
          <w:szCs w:val="24"/>
        </w:rPr>
        <w:t xml:space="preserve"> informed consent; exclusion criteria were: </w:t>
      </w:r>
      <w:proofErr w:type="spellStart"/>
      <w:r w:rsidRPr="00041D45">
        <w:rPr>
          <w:rFonts w:cs="Times New Roman"/>
          <w:szCs w:val="24"/>
        </w:rPr>
        <w:t>i</w:t>
      </w:r>
      <w:proofErr w:type="spellEnd"/>
      <w:r w:rsidRPr="00041D45">
        <w:rPr>
          <w:rFonts w:cs="Times New Roman"/>
          <w:szCs w:val="24"/>
        </w:rPr>
        <w:t xml:space="preserve">) patients with second-degree (IIa–IIb) </w:t>
      </w:r>
      <w:r w:rsidR="00C52D91">
        <w:rPr>
          <w:rFonts w:cs="Times New Roman"/>
          <w:szCs w:val="24"/>
        </w:rPr>
        <w:t xml:space="preserve">or worse </w:t>
      </w:r>
      <w:r w:rsidRPr="00041D45">
        <w:rPr>
          <w:rFonts w:cs="Times New Roman"/>
          <w:szCs w:val="24"/>
        </w:rPr>
        <w:t>burns involving more than 20% of the total body surface area (TBSA), ii) patients with hepatic dysfunction classified as Child-Pugh B or C, iii) patients with medications that affect the metabolic activity of the CYP2C19 enzyme</w:t>
      </w:r>
      <w:r w:rsidR="004C04F8">
        <w:rPr>
          <w:rFonts w:cs="Times New Roman"/>
          <w:szCs w:val="24"/>
        </w:rPr>
        <w:t xml:space="preserve"> (</w:t>
      </w:r>
      <w:r w:rsidR="004C04F8" w:rsidRPr="00041D45">
        <w:rPr>
          <w:rFonts w:cs="Times New Roman"/>
          <w:szCs w:val="24"/>
        </w:rPr>
        <w:t xml:space="preserve">chloramphenicol, cimetidine, citalopram, fluoxetine, fluvoxamine, indomethacin, isoniazid, ketoconazole, modafinil, ticlopidine, topiramate, voriconazole, carbamazepine, efavirenz, enzalutamide, rifampicin, ritonavir; atazanavir, cilostazol, citalopram, dacomitinib, dasatinib, erlotinib, clopidogrel, methotrexate, nelfinavir, neratinib, pazopanib, </w:t>
      </w:r>
      <w:proofErr w:type="spellStart"/>
      <w:r w:rsidR="004C04F8" w:rsidRPr="00041D45">
        <w:rPr>
          <w:rFonts w:cs="Times New Roman"/>
          <w:szCs w:val="24"/>
        </w:rPr>
        <w:t>rilpavirine</w:t>
      </w:r>
      <w:proofErr w:type="spellEnd"/>
      <w:r w:rsidR="004C04F8" w:rsidRPr="00041D45">
        <w:rPr>
          <w:rFonts w:cs="Times New Roman"/>
          <w:szCs w:val="24"/>
        </w:rPr>
        <w:t>, tacrolimus</w:t>
      </w:r>
      <w:r w:rsidR="004C04F8">
        <w:rPr>
          <w:rFonts w:cs="Times New Roman"/>
          <w:szCs w:val="24"/>
        </w:rPr>
        <w:t>)</w:t>
      </w:r>
      <w:r w:rsidRPr="00041D45">
        <w:rPr>
          <w:rFonts w:cs="Times New Roman"/>
          <w:szCs w:val="24"/>
        </w:rPr>
        <w:t xml:space="preserve"> and medications with known serious drug-drug interactions with PPIs</w:t>
      </w:r>
      <w:r w:rsidR="00C52D91">
        <w:rPr>
          <w:rFonts w:cs="Times New Roman"/>
          <w:szCs w:val="24"/>
        </w:rPr>
        <w:t>.</w:t>
      </w:r>
    </w:p>
    <w:p w14:paraId="25E3F9F2" w14:textId="7FA80A68" w:rsidR="007B2E0A" w:rsidRPr="00041D45" w:rsidRDefault="007B2E0A" w:rsidP="007B2E0A">
      <w:pPr>
        <w:jc w:val="both"/>
        <w:rPr>
          <w:rFonts w:cs="Times New Roman"/>
          <w:szCs w:val="24"/>
          <w:lang w:val="cs-CZ"/>
        </w:rPr>
      </w:pPr>
      <w:r w:rsidRPr="00041D45">
        <w:rPr>
          <w:rFonts w:cs="Times New Roman"/>
          <w:szCs w:val="24"/>
        </w:rPr>
        <w:t xml:space="preserve">Clinical data </w:t>
      </w:r>
      <w:r w:rsidR="00A74F51">
        <w:rPr>
          <w:rFonts w:cs="Times New Roman"/>
          <w:szCs w:val="24"/>
        </w:rPr>
        <w:t xml:space="preserve">and data </w:t>
      </w:r>
      <w:r w:rsidR="004C04F8">
        <w:rPr>
          <w:rFonts w:cs="Times New Roman"/>
          <w:szCs w:val="24"/>
        </w:rPr>
        <w:t>on</w:t>
      </w:r>
      <w:r w:rsidR="00A74F51">
        <w:rPr>
          <w:rFonts w:cs="Times New Roman"/>
          <w:szCs w:val="24"/>
        </w:rPr>
        <w:t xml:space="preserve"> exposure factors </w:t>
      </w:r>
      <w:r w:rsidRPr="00041D45">
        <w:rPr>
          <w:rFonts w:cs="Times New Roman"/>
          <w:szCs w:val="24"/>
        </w:rPr>
        <w:t>were obtained from patients</w:t>
      </w:r>
      <w:r w:rsidR="004C04F8">
        <w:rPr>
          <w:rFonts w:cs="Times New Roman"/>
          <w:szCs w:val="24"/>
        </w:rPr>
        <w:t>’</w:t>
      </w:r>
      <w:r w:rsidRPr="00041D45">
        <w:rPr>
          <w:rFonts w:cs="Times New Roman"/>
          <w:szCs w:val="24"/>
        </w:rPr>
        <w:t xml:space="preserve"> electronic medical records</w:t>
      </w:r>
      <w:r w:rsidR="004C04F8">
        <w:rPr>
          <w:rFonts w:cs="Times New Roman"/>
          <w:szCs w:val="24"/>
        </w:rPr>
        <w:t>. Namely, these data included</w:t>
      </w:r>
      <w:r w:rsidRPr="00041D45">
        <w:rPr>
          <w:rFonts w:cs="Times New Roman"/>
          <w:szCs w:val="24"/>
        </w:rPr>
        <w:t xml:space="preserve"> age, sex, nationality, </w:t>
      </w:r>
      <w:r>
        <w:rPr>
          <w:rFonts w:cs="Times New Roman"/>
          <w:szCs w:val="24"/>
        </w:rPr>
        <w:t>body mass index (</w:t>
      </w:r>
      <w:r w:rsidRPr="00041D45">
        <w:rPr>
          <w:rFonts w:cs="Times New Roman"/>
          <w:szCs w:val="24"/>
        </w:rPr>
        <w:t>BMI</w:t>
      </w:r>
      <w:r>
        <w:rPr>
          <w:rFonts w:cs="Times New Roman"/>
          <w:szCs w:val="24"/>
        </w:rPr>
        <w:t>)</w:t>
      </w:r>
      <w:r w:rsidRPr="00041D45">
        <w:rPr>
          <w:rFonts w:cs="Times New Roman"/>
          <w:szCs w:val="24"/>
        </w:rPr>
        <w:t xml:space="preserve">, weight, height, smoking, </w:t>
      </w:r>
      <w:r w:rsidR="00A74F51">
        <w:rPr>
          <w:rFonts w:cs="Times New Roman"/>
          <w:szCs w:val="24"/>
        </w:rPr>
        <w:t>substance abuse (</w:t>
      </w:r>
      <w:r w:rsidRPr="00041D45">
        <w:rPr>
          <w:rFonts w:cs="Times New Roman"/>
          <w:szCs w:val="24"/>
        </w:rPr>
        <w:t xml:space="preserve">alcohol </w:t>
      </w:r>
      <w:r w:rsidR="00A74F51">
        <w:rPr>
          <w:rFonts w:cs="Times New Roman"/>
          <w:szCs w:val="24"/>
        </w:rPr>
        <w:t>and/or drugs)</w:t>
      </w:r>
      <w:r w:rsidRPr="00041D45">
        <w:rPr>
          <w:rFonts w:cs="Times New Roman"/>
          <w:szCs w:val="24"/>
        </w:rPr>
        <w:t xml:space="preserve">, health status, total body surface area (TBSA in %), the presence of deep necrosis, the presence of inhalation injury, and the abbreviated burn severity index (ABSI). </w:t>
      </w:r>
      <w:r w:rsidRPr="00041D45">
        <w:rPr>
          <w:rFonts w:cs="Times New Roman"/>
          <w:szCs w:val="24"/>
          <w:lang w:val="en"/>
        </w:rPr>
        <w:t>Each patient was assigned a unique identifier, and analysis was performed on such deidentified samples.</w:t>
      </w:r>
      <w:r w:rsidRPr="00041D45">
        <w:rPr>
          <w:rFonts w:cs="Times New Roman"/>
          <w:szCs w:val="24"/>
        </w:rPr>
        <w:t xml:space="preserve"> </w:t>
      </w:r>
    </w:p>
    <w:p w14:paraId="35F89095" w14:textId="77777777" w:rsidR="007B2E0A" w:rsidRPr="00041D45" w:rsidRDefault="007B2E0A" w:rsidP="007B2E0A">
      <w:pPr>
        <w:jc w:val="both"/>
        <w:rPr>
          <w:rFonts w:cs="Times New Roman"/>
          <w:szCs w:val="24"/>
        </w:rPr>
      </w:pPr>
    </w:p>
    <w:p w14:paraId="1BCF6B8A" w14:textId="1745533C" w:rsidR="007B2E0A" w:rsidRPr="00041D45" w:rsidRDefault="003954FA" w:rsidP="007B2E0A">
      <w:pPr>
        <w:jc w:val="both"/>
        <w:rPr>
          <w:rFonts w:cs="Times New Roman"/>
          <w:b/>
          <w:bCs/>
          <w:szCs w:val="24"/>
        </w:rPr>
      </w:pPr>
      <w:r>
        <w:rPr>
          <w:rFonts w:cs="Times New Roman"/>
          <w:b/>
          <w:bCs/>
          <w:szCs w:val="24"/>
        </w:rPr>
        <w:t>1</w:t>
      </w:r>
      <w:r w:rsidR="007B2E0A" w:rsidRPr="00041D45">
        <w:rPr>
          <w:rFonts w:cs="Times New Roman"/>
          <w:b/>
          <w:bCs/>
          <w:szCs w:val="24"/>
        </w:rPr>
        <w:t>.2</w:t>
      </w:r>
      <w:r w:rsidR="007B2E0A" w:rsidRPr="00041D45">
        <w:rPr>
          <w:rFonts w:cs="Times New Roman"/>
          <w:b/>
          <w:bCs/>
          <w:szCs w:val="24"/>
        </w:rPr>
        <w:tab/>
        <w:t>Sample collection</w:t>
      </w:r>
    </w:p>
    <w:p w14:paraId="7F5D4494" w14:textId="5491A6FA" w:rsidR="007B2E0A" w:rsidRPr="00041D45" w:rsidRDefault="007B2E0A" w:rsidP="007B2E0A">
      <w:pPr>
        <w:jc w:val="both"/>
        <w:rPr>
          <w:rFonts w:cs="Times New Roman"/>
          <w:szCs w:val="24"/>
        </w:rPr>
      </w:pPr>
      <w:r w:rsidRPr="00041D45">
        <w:rPr>
          <w:rFonts w:cs="Times New Roman"/>
          <w:szCs w:val="24"/>
        </w:rPr>
        <w:t>In the morning hours, patients took 30 mg of LAN (</w:t>
      </w:r>
      <w:proofErr w:type="spellStart"/>
      <w:r w:rsidRPr="00041D45">
        <w:rPr>
          <w:rFonts w:cs="Times New Roman"/>
          <w:szCs w:val="24"/>
        </w:rPr>
        <w:t>Lanzul</w:t>
      </w:r>
      <w:proofErr w:type="spellEnd"/>
      <w:r w:rsidRPr="00C16C37">
        <w:rPr>
          <w:rFonts w:cs="Times New Roman"/>
          <w:szCs w:val="24"/>
          <w:vertAlign w:val="superscript"/>
        </w:rPr>
        <w:t>®</w:t>
      </w:r>
      <w:r w:rsidRPr="00041D45">
        <w:rPr>
          <w:rFonts w:cs="Times New Roman"/>
          <w:szCs w:val="24"/>
        </w:rPr>
        <w:t xml:space="preserve">) on an empty stomach 30 minutes to 60 minutes before the first meal. The whole venous blood specimens were collected </w:t>
      </w:r>
      <w:r w:rsidR="004C04F8">
        <w:rPr>
          <w:rFonts w:cs="Times New Roman"/>
          <w:szCs w:val="24"/>
        </w:rPr>
        <w:t>in</w:t>
      </w:r>
      <w:r w:rsidRPr="00041D45">
        <w:rPr>
          <w:rFonts w:cs="Times New Roman"/>
          <w:szCs w:val="24"/>
        </w:rPr>
        <w:t>to 9 ml K3EDTA (S-</w:t>
      </w:r>
      <w:proofErr w:type="spellStart"/>
      <w:r w:rsidRPr="00041D45">
        <w:rPr>
          <w:rFonts w:cs="Times New Roman"/>
          <w:szCs w:val="24"/>
        </w:rPr>
        <w:t>Monovette</w:t>
      </w:r>
      <w:proofErr w:type="spellEnd"/>
      <w:r w:rsidRPr="00041D45">
        <w:rPr>
          <w:rFonts w:cs="Times New Roman"/>
          <w:szCs w:val="24"/>
        </w:rPr>
        <w:t>) 3 hours</w:t>
      </w:r>
      <w:r w:rsidR="004C04F8">
        <w:rPr>
          <w:rFonts w:cs="Times New Roman"/>
          <w:szCs w:val="24"/>
        </w:rPr>
        <w:t xml:space="preserve"> later</w:t>
      </w:r>
      <w:r w:rsidRPr="00041D45">
        <w:rPr>
          <w:rFonts w:cs="Times New Roman"/>
          <w:szCs w:val="24"/>
        </w:rPr>
        <w:t xml:space="preserve">. To prevent the sample from being exposed to light, the collection tube was covered with aluminium foil. During the collection process, care was taken to avoid contamination of the sample by disinfectant. The time of collection was recorded. Immediately after blood collection, the sample was transported at 4 °C to </w:t>
      </w:r>
      <w:r w:rsidR="004C04F8">
        <w:rPr>
          <w:rFonts w:cs="Times New Roman"/>
          <w:szCs w:val="24"/>
        </w:rPr>
        <w:t xml:space="preserve">the </w:t>
      </w:r>
      <w:r w:rsidRPr="00041D45">
        <w:rPr>
          <w:rFonts w:cs="Times New Roman"/>
          <w:szCs w:val="24"/>
        </w:rPr>
        <w:t xml:space="preserve">laboratory and processed within half an hour. After centrifugation (2000 x </w:t>
      </w:r>
      <w:r w:rsidRPr="00041D45">
        <w:rPr>
          <w:rFonts w:cs="Times New Roman"/>
          <w:i/>
          <w:iCs/>
          <w:szCs w:val="24"/>
        </w:rPr>
        <w:t>g</w:t>
      </w:r>
      <w:r w:rsidRPr="00041D45">
        <w:rPr>
          <w:rFonts w:cs="Times New Roman"/>
          <w:szCs w:val="24"/>
        </w:rPr>
        <w:t xml:space="preserve">, 10 min, 4°C), plasma was separated and stored at -80°C </w:t>
      </w:r>
      <w:r w:rsidR="004C04F8">
        <w:rPr>
          <w:rFonts w:cs="Times New Roman"/>
          <w:szCs w:val="24"/>
        </w:rPr>
        <w:t>un</w:t>
      </w:r>
      <w:r w:rsidRPr="00041D45">
        <w:rPr>
          <w:rFonts w:cs="Times New Roman"/>
          <w:szCs w:val="24"/>
        </w:rPr>
        <w:t>til determination</w:t>
      </w:r>
      <w:r w:rsidR="004C04F8" w:rsidRPr="004C04F8">
        <w:rPr>
          <w:rFonts w:cs="Times New Roman"/>
          <w:szCs w:val="24"/>
        </w:rPr>
        <w:t xml:space="preserve"> </w:t>
      </w:r>
      <w:r w:rsidR="004C04F8">
        <w:rPr>
          <w:rFonts w:cs="Times New Roman"/>
          <w:szCs w:val="24"/>
        </w:rPr>
        <w:t xml:space="preserve">of the </w:t>
      </w:r>
      <w:r w:rsidR="004C04F8" w:rsidRPr="00041D45">
        <w:rPr>
          <w:rFonts w:cs="Times New Roman"/>
          <w:szCs w:val="24"/>
        </w:rPr>
        <w:t>analytes</w:t>
      </w:r>
      <w:r w:rsidRPr="00041D45">
        <w:rPr>
          <w:rFonts w:cs="Times New Roman"/>
          <w:szCs w:val="24"/>
        </w:rPr>
        <w:t xml:space="preserve">. The rest of </w:t>
      </w:r>
      <w:r w:rsidR="004C04F8">
        <w:rPr>
          <w:rFonts w:cs="Times New Roman"/>
          <w:szCs w:val="24"/>
        </w:rPr>
        <w:t xml:space="preserve">the </w:t>
      </w:r>
      <w:r w:rsidRPr="00041D45">
        <w:rPr>
          <w:rFonts w:cs="Times New Roman"/>
          <w:szCs w:val="24"/>
        </w:rPr>
        <w:t>blood was diluted with distilled water to 30 ml and stored at -20°C till DNA isolation. Any deviations from the protocol were recorded.</w:t>
      </w:r>
    </w:p>
    <w:p w14:paraId="381CCB7E" w14:textId="77777777" w:rsidR="007B2E0A" w:rsidRPr="00041D45" w:rsidRDefault="007B2E0A" w:rsidP="007B2E0A">
      <w:pPr>
        <w:jc w:val="both"/>
        <w:rPr>
          <w:rFonts w:cs="Times New Roman"/>
          <w:szCs w:val="24"/>
        </w:rPr>
      </w:pPr>
    </w:p>
    <w:p w14:paraId="43B75FA3" w14:textId="590CB944" w:rsidR="007B2E0A" w:rsidRPr="00041D45" w:rsidRDefault="003954FA" w:rsidP="007B2E0A">
      <w:pPr>
        <w:jc w:val="both"/>
        <w:rPr>
          <w:rFonts w:cs="Times New Roman"/>
          <w:b/>
          <w:bCs/>
          <w:szCs w:val="24"/>
          <w:shd w:val="clear" w:color="auto" w:fill="FFFFFF"/>
        </w:rPr>
      </w:pPr>
      <w:r>
        <w:rPr>
          <w:rFonts w:cs="Times New Roman"/>
          <w:b/>
          <w:bCs/>
          <w:szCs w:val="24"/>
        </w:rPr>
        <w:t>1</w:t>
      </w:r>
      <w:r w:rsidR="007B2E0A" w:rsidRPr="00041D45">
        <w:rPr>
          <w:rFonts w:cs="Times New Roman"/>
          <w:b/>
          <w:bCs/>
          <w:szCs w:val="24"/>
        </w:rPr>
        <w:t>.3</w:t>
      </w:r>
      <w:r w:rsidR="007B2E0A" w:rsidRPr="00041D45">
        <w:rPr>
          <w:rFonts w:cs="Times New Roman"/>
          <w:b/>
          <w:bCs/>
          <w:szCs w:val="24"/>
        </w:rPr>
        <w:tab/>
        <w:t xml:space="preserve">DNA </w:t>
      </w:r>
      <w:r w:rsidR="00A74F51">
        <w:rPr>
          <w:rFonts w:cs="Times New Roman"/>
          <w:b/>
          <w:bCs/>
          <w:szCs w:val="24"/>
        </w:rPr>
        <w:t>isolation</w:t>
      </w:r>
      <w:r w:rsidR="00A74F51" w:rsidRPr="00041D45">
        <w:rPr>
          <w:rFonts w:cs="Times New Roman"/>
          <w:b/>
          <w:bCs/>
          <w:szCs w:val="24"/>
        </w:rPr>
        <w:t xml:space="preserve"> </w:t>
      </w:r>
      <w:r w:rsidR="007B2E0A" w:rsidRPr="00041D45">
        <w:rPr>
          <w:rFonts w:cs="Times New Roman"/>
          <w:b/>
          <w:bCs/>
          <w:szCs w:val="24"/>
        </w:rPr>
        <w:t xml:space="preserve">and </w:t>
      </w:r>
      <w:r w:rsidR="007B2E0A" w:rsidRPr="00041D45">
        <w:rPr>
          <w:rFonts w:cs="Times New Roman"/>
          <w:b/>
          <w:bCs/>
          <w:i/>
          <w:iCs/>
          <w:szCs w:val="24"/>
        </w:rPr>
        <w:t xml:space="preserve">CYP2C19 </w:t>
      </w:r>
      <w:r w:rsidR="007B2E0A" w:rsidRPr="00041D45">
        <w:rPr>
          <w:rFonts w:cs="Times New Roman"/>
          <w:b/>
          <w:bCs/>
          <w:szCs w:val="24"/>
        </w:rPr>
        <w:t xml:space="preserve">genotyping </w:t>
      </w:r>
    </w:p>
    <w:p w14:paraId="6CDCD943" w14:textId="28B289B1" w:rsidR="007B2E0A" w:rsidRPr="00041D45" w:rsidRDefault="007B2E0A" w:rsidP="007B2E0A">
      <w:pPr>
        <w:jc w:val="both"/>
        <w:rPr>
          <w:rFonts w:cs="Times New Roman"/>
          <w:szCs w:val="24"/>
        </w:rPr>
      </w:pPr>
      <w:r w:rsidRPr="00041D45">
        <w:rPr>
          <w:rFonts w:cs="Times New Roman"/>
          <w:szCs w:val="24"/>
        </w:rPr>
        <w:t xml:space="preserve">The DNA was </w:t>
      </w:r>
      <w:r w:rsidR="00A74F51">
        <w:rPr>
          <w:rFonts w:cs="Times New Roman"/>
          <w:szCs w:val="24"/>
        </w:rPr>
        <w:t>isolated</w:t>
      </w:r>
      <w:r w:rsidR="00A74F51" w:rsidRPr="00041D45">
        <w:rPr>
          <w:rFonts w:cs="Times New Roman"/>
          <w:szCs w:val="24"/>
        </w:rPr>
        <w:t xml:space="preserve"> </w:t>
      </w:r>
      <w:r w:rsidRPr="00041D45">
        <w:rPr>
          <w:rFonts w:cs="Times New Roman"/>
          <w:szCs w:val="24"/>
        </w:rPr>
        <w:t xml:space="preserve">by </w:t>
      </w:r>
      <w:r w:rsidR="004C04F8">
        <w:rPr>
          <w:rFonts w:cs="Times New Roman"/>
          <w:szCs w:val="24"/>
        </w:rPr>
        <w:t xml:space="preserve">the </w:t>
      </w:r>
      <w:r w:rsidRPr="00041D45">
        <w:rPr>
          <w:rFonts w:cs="Times New Roman"/>
          <w:szCs w:val="24"/>
        </w:rPr>
        <w:t xml:space="preserve">chloroform extraction method. DNA was eluted </w:t>
      </w:r>
      <w:r w:rsidR="004C04F8">
        <w:rPr>
          <w:rFonts w:cs="Times New Roman"/>
          <w:szCs w:val="24"/>
        </w:rPr>
        <w:t>into the</w:t>
      </w:r>
      <w:r w:rsidR="004C04F8" w:rsidRPr="00041D45">
        <w:rPr>
          <w:rFonts w:cs="Times New Roman"/>
          <w:szCs w:val="24"/>
        </w:rPr>
        <w:t xml:space="preserve"> </w:t>
      </w:r>
      <w:r w:rsidRPr="00041D45">
        <w:rPr>
          <w:rFonts w:cs="Times New Roman"/>
          <w:szCs w:val="24"/>
        </w:rPr>
        <w:t xml:space="preserve">TE buffer. Concentration was measured by </w:t>
      </w:r>
      <w:proofErr w:type="spellStart"/>
      <w:r w:rsidRPr="00041D45">
        <w:rPr>
          <w:rFonts w:cs="Times New Roman"/>
          <w:szCs w:val="24"/>
        </w:rPr>
        <w:t>Multidetection</w:t>
      </w:r>
      <w:proofErr w:type="spellEnd"/>
      <w:r w:rsidRPr="00041D45">
        <w:rPr>
          <w:rFonts w:cs="Times New Roman"/>
          <w:szCs w:val="24"/>
        </w:rPr>
        <w:t xml:space="preserve"> Reader Synergy HTX (</w:t>
      </w:r>
      <w:proofErr w:type="spellStart"/>
      <w:r w:rsidRPr="00041D45">
        <w:rPr>
          <w:rFonts w:cs="Times New Roman"/>
          <w:szCs w:val="24"/>
        </w:rPr>
        <w:t>BioTek</w:t>
      </w:r>
      <w:proofErr w:type="spellEnd"/>
      <w:r w:rsidRPr="00041D45">
        <w:rPr>
          <w:rFonts w:cs="Times New Roman"/>
          <w:szCs w:val="24"/>
        </w:rPr>
        <w:t>)</w:t>
      </w:r>
      <w:r w:rsidR="004C04F8">
        <w:rPr>
          <w:rFonts w:cs="Times New Roman"/>
          <w:szCs w:val="24"/>
        </w:rPr>
        <w:t>,</w:t>
      </w:r>
      <w:r w:rsidRPr="00041D45">
        <w:rPr>
          <w:rFonts w:cs="Times New Roman"/>
          <w:szCs w:val="24"/>
        </w:rPr>
        <w:t xml:space="preserve"> and DNA was diluted by </w:t>
      </w:r>
      <w:r w:rsidR="004C04F8" w:rsidRPr="00041D45">
        <w:rPr>
          <w:rFonts w:cs="Times New Roman"/>
          <w:szCs w:val="24"/>
        </w:rPr>
        <w:t>PCR</w:t>
      </w:r>
      <w:r w:rsidR="004C04F8">
        <w:rPr>
          <w:rFonts w:cs="Times New Roman"/>
          <w:szCs w:val="24"/>
        </w:rPr>
        <w:t>-</w:t>
      </w:r>
      <w:r w:rsidRPr="00041D45">
        <w:rPr>
          <w:rFonts w:cs="Times New Roman"/>
          <w:szCs w:val="24"/>
        </w:rPr>
        <w:t>quality water to 50 ng/µl</w:t>
      </w:r>
      <w:r w:rsidR="004C04F8">
        <w:rPr>
          <w:rFonts w:cs="Times New Roman"/>
          <w:szCs w:val="24"/>
        </w:rPr>
        <w:t>,</w:t>
      </w:r>
      <w:r w:rsidRPr="00041D45">
        <w:rPr>
          <w:rFonts w:cs="Times New Roman"/>
          <w:szCs w:val="24"/>
        </w:rPr>
        <w:t xml:space="preserve"> preparing </w:t>
      </w:r>
      <w:r w:rsidR="004C04F8">
        <w:rPr>
          <w:rFonts w:cs="Times New Roman"/>
          <w:szCs w:val="24"/>
        </w:rPr>
        <w:t>it for</w:t>
      </w:r>
      <w:r w:rsidRPr="00041D45">
        <w:rPr>
          <w:rFonts w:cs="Times New Roman"/>
          <w:szCs w:val="24"/>
        </w:rPr>
        <w:t xml:space="preserve"> the </w:t>
      </w:r>
      <w:r w:rsidR="004C04F8">
        <w:rPr>
          <w:rFonts w:cs="Times New Roman"/>
          <w:szCs w:val="24"/>
        </w:rPr>
        <w:t xml:space="preserve">subsequent </w:t>
      </w:r>
      <w:r w:rsidRPr="00041D45">
        <w:rPr>
          <w:rFonts w:cs="Times New Roman"/>
          <w:szCs w:val="24"/>
        </w:rPr>
        <w:t xml:space="preserve">analysis. </w:t>
      </w:r>
      <w:r w:rsidR="00A74F51">
        <w:rPr>
          <w:rFonts w:cs="Times New Roman"/>
          <w:szCs w:val="24"/>
        </w:rPr>
        <w:t>A</w:t>
      </w:r>
      <w:r w:rsidRPr="00041D45">
        <w:rPr>
          <w:rFonts w:cs="Times New Roman"/>
          <w:szCs w:val="24"/>
        </w:rPr>
        <w:t xml:space="preserve"> </w:t>
      </w:r>
      <w:r w:rsidRPr="00041D45">
        <w:rPr>
          <w:rFonts w:cs="Times New Roman"/>
          <w:szCs w:val="24"/>
        </w:rPr>
        <w:lastRenderedPageBreak/>
        <w:t>qPCR genotyping analysis</w:t>
      </w:r>
      <w:r w:rsidR="00A74F51">
        <w:rPr>
          <w:rFonts w:cs="Times New Roman"/>
          <w:szCs w:val="24"/>
        </w:rPr>
        <w:t xml:space="preserve"> for </w:t>
      </w:r>
      <w:r w:rsidR="004C04F8">
        <w:rPr>
          <w:rFonts w:cs="Times New Roman"/>
          <w:szCs w:val="24"/>
        </w:rPr>
        <w:t xml:space="preserve">the </w:t>
      </w:r>
      <w:r w:rsidR="00A74F51">
        <w:rPr>
          <w:rFonts w:cs="Times New Roman"/>
          <w:szCs w:val="24"/>
        </w:rPr>
        <w:t xml:space="preserve">determination of </w:t>
      </w:r>
      <w:r w:rsidR="00A74F51" w:rsidRPr="00041D45">
        <w:rPr>
          <w:rFonts w:cs="Times New Roman"/>
          <w:i/>
          <w:iCs/>
          <w:szCs w:val="24"/>
        </w:rPr>
        <w:t>CYP2C19</w:t>
      </w:r>
      <w:r w:rsidR="00A74F51" w:rsidRPr="00041D45">
        <w:rPr>
          <w:rFonts w:cs="Times New Roman"/>
          <w:szCs w:val="24"/>
        </w:rPr>
        <w:t>*2</w:t>
      </w:r>
      <w:r w:rsidR="00A74F51">
        <w:rPr>
          <w:rFonts w:cs="Times New Roman"/>
          <w:szCs w:val="24"/>
        </w:rPr>
        <w:t xml:space="preserve"> and</w:t>
      </w:r>
      <w:r w:rsidRPr="00041D45">
        <w:rPr>
          <w:rFonts w:cs="Times New Roman"/>
          <w:szCs w:val="24"/>
        </w:rPr>
        <w:t xml:space="preserve"> </w:t>
      </w:r>
      <w:r w:rsidR="00A74F51" w:rsidRPr="00041D45">
        <w:rPr>
          <w:rFonts w:cs="Times New Roman"/>
          <w:i/>
          <w:iCs/>
          <w:szCs w:val="24"/>
        </w:rPr>
        <w:t>CYP2C19</w:t>
      </w:r>
      <w:r w:rsidR="00A74F51" w:rsidRPr="00041D45">
        <w:rPr>
          <w:rFonts w:cs="Times New Roman"/>
          <w:szCs w:val="24"/>
        </w:rPr>
        <w:t>*17</w:t>
      </w:r>
      <w:r w:rsidR="00A74F51">
        <w:rPr>
          <w:rFonts w:cs="Times New Roman"/>
          <w:szCs w:val="24"/>
        </w:rPr>
        <w:t xml:space="preserve"> single</w:t>
      </w:r>
      <w:r w:rsidR="004C04F8">
        <w:rPr>
          <w:rFonts w:cs="Times New Roman"/>
          <w:szCs w:val="24"/>
        </w:rPr>
        <w:t>-nucleotid</w:t>
      </w:r>
      <w:r w:rsidR="00A74F51">
        <w:rPr>
          <w:rFonts w:cs="Times New Roman"/>
          <w:szCs w:val="24"/>
        </w:rPr>
        <w:t xml:space="preserve">e variants was performed </w:t>
      </w:r>
      <w:r w:rsidRPr="00041D45">
        <w:rPr>
          <w:rFonts w:cs="Times New Roman"/>
          <w:szCs w:val="24"/>
        </w:rPr>
        <w:t xml:space="preserve">on </w:t>
      </w:r>
      <w:r w:rsidR="00A74F51">
        <w:rPr>
          <w:rFonts w:cs="Times New Roman"/>
          <w:szCs w:val="24"/>
        </w:rPr>
        <w:t xml:space="preserve">the </w:t>
      </w:r>
      <w:proofErr w:type="spellStart"/>
      <w:r w:rsidRPr="00041D45">
        <w:rPr>
          <w:rFonts w:cs="Times New Roman"/>
          <w:szCs w:val="24"/>
        </w:rPr>
        <w:t>LightCycler</w:t>
      </w:r>
      <w:proofErr w:type="spellEnd"/>
      <w:r w:rsidRPr="00041D45">
        <w:rPr>
          <w:rFonts w:cs="Times New Roman"/>
          <w:szCs w:val="24"/>
          <w:vertAlign w:val="superscript"/>
        </w:rPr>
        <w:t>®</w:t>
      </w:r>
      <w:r w:rsidRPr="00041D45">
        <w:rPr>
          <w:rFonts w:cs="Times New Roman"/>
          <w:szCs w:val="24"/>
        </w:rPr>
        <w:t xml:space="preserve"> 480 Instrument (Roche Diagnostics, Indianapolis, USA). The reaction mixture for </w:t>
      </w:r>
      <w:r w:rsidR="004C04F8">
        <w:rPr>
          <w:rFonts w:cs="Times New Roman"/>
          <w:szCs w:val="24"/>
        </w:rPr>
        <w:t xml:space="preserve">the </w:t>
      </w:r>
      <w:r w:rsidRPr="00041D45">
        <w:rPr>
          <w:rFonts w:cs="Times New Roman"/>
          <w:szCs w:val="24"/>
        </w:rPr>
        <w:t>10 µl reaction was</w:t>
      </w:r>
      <w:r w:rsidR="004C04F8">
        <w:rPr>
          <w:rFonts w:cs="Times New Roman"/>
          <w:szCs w:val="24"/>
        </w:rPr>
        <w:t xml:space="preserve"> as described previously</w:t>
      </w:r>
      <w:r w:rsidR="00553626">
        <w:rPr>
          <w:rFonts w:cs="Times New Roman"/>
          <w:szCs w:val="24"/>
        </w:rPr>
        <w:t xml:space="preserve"> </w:t>
      </w:r>
      <w:r w:rsidR="00553626">
        <w:rPr>
          <w:rFonts w:cs="Times New Roman"/>
          <w:szCs w:val="24"/>
        </w:rPr>
        <w:fldChar w:fldCharType="begin"/>
      </w:r>
      <w:r w:rsidR="00473B57">
        <w:rPr>
          <w:rFonts w:cs="Times New Roman"/>
          <w:szCs w:val="24"/>
        </w:rPr>
        <w:instrText xml:space="preserve"> ADDIN ZOTERO_ITEM CSL_CITATION {"citationID":"aEFN2kRT","properties":{"unsorted":false,"formattedCitation":"[1]","plainCitation":"[1]","noteIndex":0},"citationItems":[{"id":5294,"uris":["http://zotero.org/users/6397876/items/IH42XV45"],"itemData":{"id":5294,"type":"article-journal","container-title":"Gastroenterologie a hepatologie","DOI":"10.14735/amgh2018320","ISSN":"18047874, 1804803X","issue":"4","journalAbbreviation":"Gastroent Hepatol","page":"320-328","source":"DOI.org (Crossref)","title":"Personalized therapy in patients with gastroesophageal reflux disease – methodology of CYP2C19 gene profile‘s determination","volume":"72","author":[{"family":"Bořilová Linhartová","given":"Petra"},{"family":"Bartošová","given":"Ladislava"},{"family":"Křenek","given":"Adam"},{"family":"Bartoš","given":"Ladislav"},{"family":"Dolina","given":"Jiří"},{"family":"Marek","given":"Filip"},{"family":"Kala","given":"Zdeněk"},{"family":"Izakovičová Hollá","given":"Lýdie"}],"issued":{"date-parts":[["2018",8,30]]}}}],"schema":"https://github.com/citation-style-language/schema/raw/master/csl-citation.json"} </w:instrText>
      </w:r>
      <w:r w:rsidR="00553626">
        <w:rPr>
          <w:rFonts w:cs="Times New Roman"/>
          <w:szCs w:val="24"/>
        </w:rPr>
        <w:fldChar w:fldCharType="separate"/>
      </w:r>
      <w:r w:rsidR="00473B57" w:rsidRPr="00473B57">
        <w:rPr>
          <w:rFonts w:cs="Times New Roman"/>
        </w:rPr>
        <w:t>[1]</w:t>
      </w:r>
      <w:r w:rsidR="00553626">
        <w:rPr>
          <w:rFonts w:cs="Times New Roman"/>
          <w:szCs w:val="24"/>
        </w:rPr>
        <w:fldChar w:fldCharType="end"/>
      </w:r>
      <w:r w:rsidR="004C04F8">
        <w:rPr>
          <w:rFonts w:cs="Times New Roman"/>
          <w:szCs w:val="24"/>
        </w:rPr>
        <w:t>, namely:</w:t>
      </w:r>
      <w:r w:rsidRPr="00041D45">
        <w:rPr>
          <w:rFonts w:cs="Times New Roman"/>
          <w:szCs w:val="24"/>
        </w:rPr>
        <w:t xml:space="preserve"> </w:t>
      </w:r>
      <w:r w:rsidR="004C04F8">
        <w:rPr>
          <w:rFonts w:cs="Times New Roman"/>
          <w:szCs w:val="24"/>
        </w:rPr>
        <w:t>f</w:t>
      </w:r>
      <w:r w:rsidRPr="00041D45">
        <w:rPr>
          <w:rFonts w:cs="Times New Roman"/>
          <w:szCs w:val="24"/>
        </w:rPr>
        <w:t xml:space="preserve">or </w:t>
      </w:r>
      <w:r w:rsidRPr="00041D45">
        <w:rPr>
          <w:rFonts w:cs="Times New Roman"/>
          <w:i/>
          <w:iCs/>
          <w:szCs w:val="24"/>
        </w:rPr>
        <w:t>CYP2C19</w:t>
      </w:r>
      <w:r w:rsidRPr="00041D45">
        <w:rPr>
          <w:rFonts w:cs="Times New Roman"/>
          <w:szCs w:val="24"/>
        </w:rPr>
        <w:t>*17</w:t>
      </w:r>
      <w:r w:rsidR="004C04F8">
        <w:rPr>
          <w:rFonts w:cs="Times New Roman"/>
          <w:szCs w:val="24"/>
        </w:rPr>
        <w:t>,</w:t>
      </w:r>
      <w:r w:rsidRPr="00041D45">
        <w:rPr>
          <w:rFonts w:cs="Times New Roman"/>
          <w:szCs w:val="24"/>
        </w:rPr>
        <w:t xml:space="preserve"> 0.7 ul TaqMan™ Drug Metabolism Genotyping Assays (C____469857_10; </w:t>
      </w:r>
      <w:proofErr w:type="spellStart"/>
      <w:r w:rsidRPr="00041D45">
        <w:rPr>
          <w:rFonts w:cs="Times New Roman"/>
          <w:szCs w:val="24"/>
        </w:rPr>
        <w:t>ThermoFisher</w:t>
      </w:r>
      <w:proofErr w:type="spellEnd"/>
      <w:r w:rsidRPr="00041D45">
        <w:rPr>
          <w:rFonts w:cs="Times New Roman"/>
          <w:szCs w:val="24"/>
        </w:rPr>
        <w:t xml:space="preserve"> Scientific, Applied Biosystems™, Carlsbad, USA), 5 ul Luna</w:t>
      </w:r>
      <w:r w:rsidRPr="00041D45">
        <w:rPr>
          <w:rFonts w:cs="Times New Roman"/>
          <w:szCs w:val="24"/>
          <w:vertAlign w:val="superscript"/>
        </w:rPr>
        <w:t>®</w:t>
      </w:r>
      <w:r w:rsidRPr="00041D45">
        <w:rPr>
          <w:rFonts w:cs="Times New Roman"/>
          <w:szCs w:val="24"/>
        </w:rPr>
        <w:t xml:space="preserve"> Universal Probe qPCR Master Mix (New England </w:t>
      </w:r>
      <w:proofErr w:type="spellStart"/>
      <w:r w:rsidRPr="00041D45">
        <w:rPr>
          <w:rFonts w:cs="Times New Roman"/>
          <w:szCs w:val="24"/>
        </w:rPr>
        <w:t>BioLabs</w:t>
      </w:r>
      <w:proofErr w:type="spellEnd"/>
      <w:r w:rsidRPr="00486675">
        <w:rPr>
          <w:rFonts w:cs="Times New Roman"/>
          <w:szCs w:val="24"/>
          <w:vertAlign w:val="superscript"/>
        </w:rPr>
        <w:t>®</w:t>
      </w:r>
      <w:r w:rsidRPr="00041D45">
        <w:rPr>
          <w:rFonts w:cs="Times New Roman"/>
          <w:szCs w:val="24"/>
        </w:rPr>
        <w:t xml:space="preserve"> Inc.), and 3.3 µl PCR grade water. For </w:t>
      </w:r>
      <w:r w:rsidRPr="00041D45">
        <w:rPr>
          <w:rFonts w:cs="Times New Roman"/>
          <w:i/>
          <w:iCs/>
          <w:szCs w:val="24"/>
        </w:rPr>
        <w:t>CYP2C19</w:t>
      </w:r>
      <w:r w:rsidRPr="00041D45">
        <w:rPr>
          <w:rFonts w:cs="Times New Roman"/>
          <w:szCs w:val="24"/>
        </w:rPr>
        <w:t xml:space="preserve">*2: 0.25 µl TaqMan™ Drug Metabolism Genotyping Assays (C__25986767_70; </w:t>
      </w:r>
      <w:proofErr w:type="spellStart"/>
      <w:r w:rsidRPr="00041D45">
        <w:rPr>
          <w:rFonts w:cs="Times New Roman"/>
          <w:szCs w:val="24"/>
        </w:rPr>
        <w:t>ThermoFisher</w:t>
      </w:r>
      <w:proofErr w:type="spellEnd"/>
      <w:r w:rsidRPr="00041D45">
        <w:rPr>
          <w:rFonts w:cs="Times New Roman"/>
          <w:szCs w:val="24"/>
        </w:rPr>
        <w:t xml:space="preserve"> Scientific, Applied Biosystems™, Carlsbad, USA), 5 µl FastStart Essential DNA Probes Master (Roche Diagnostics, Indianapolis, USA), and 3.75 µl PCR grade water. Reaction conditions for </w:t>
      </w:r>
      <w:r w:rsidRPr="00041D45">
        <w:rPr>
          <w:rFonts w:cs="Times New Roman"/>
          <w:i/>
          <w:iCs/>
          <w:szCs w:val="24"/>
        </w:rPr>
        <w:t>CYP2C19</w:t>
      </w:r>
      <w:r w:rsidRPr="00041D45">
        <w:rPr>
          <w:rFonts w:cs="Times New Roman"/>
          <w:szCs w:val="24"/>
        </w:rPr>
        <w:t xml:space="preserve">*17 were as follows: preincubation </w:t>
      </w:r>
      <w:r w:rsidR="004C04F8">
        <w:rPr>
          <w:rFonts w:cs="Times New Roman"/>
          <w:szCs w:val="24"/>
        </w:rPr>
        <w:t xml:space="preserve">at </w:t>
      </w:r>
      <w:r w:rsidRPr="00041D45">
        <w:rPr>
          <w:rFonts w:cs="Times New Roman"/>
          <w:szCs w:val="24"/>
        </w:rPr>
        <w:t xml:space="preserve">95°C, 60 s, 1 cycle; amplification </w:t>
      </w:r>
      <w:r w:rsidR="004C04F8">
        <w:rPr>
          <w:rFonts w:cs="Times New Roman"/>
          <w:szCs w:val="24"/>
        </w:rPr>
        <w:t xml:space="preserve">at </w:t>
      </w:r>
      <w:r w:rsidRPr="00041D45">
        <w:rPr>
          <w:rFonts w:cs="Times New Roman"/>
          <w:szCs w:val="24"/>
        </w:rPr>
        <w:t xml:space="preserve">95°C, 15 s, and 64°C, 35 s, both steps for 45 cycles. Reaction conditions for </w:t>
      </w:r>
      <w:r w:rsidRPr="00041D45">
        <w:rPr>
          <w:rFonts w:cs="Times New Roman"/>
          <w:i/>
          <w:iCs/>
          <w:szCs w:val="24"/>
        </w:rPr>
        <w:t>CYP2C19</w:t>
      </w:r>
      <w:r w:rsidRPr="00041D45">
        <w:rPr>
          <w:rFonts w:cs="Times New Roman"/>
          <w:szCs w:val="24"/>
        </w:rPr>
        <w:t xml:space="preserve">*2 were different: preincubation </w:t>
      </w:r>
      <w:r w:rsidR="004C04F8">
        <w:rPr>
          <w:rFonts w:cs="Times New Roman"/>
          <w:szCs w:val="24"/>
        </w:rPr>
        <w:t xml:space="preserve">at </w:t>
      </w:r>
      <w:r w:rsidRPr="00041D45">
        <w:rPr>
          <w:rFonts w:cs="Times New Roman"/>
          <w:szCs w:val="24"/>
        </w:rPr>
        <w:t xml:space="preserve">95°C, 600 s, 1 cycle; amplification </w:t>
      </w:r>
      <w:r w:rsidR="004C04F8">
        <w:rPr>
          <w:rFonts w:cs="Times New Roman"/>
          <w:szCs w:val="24"/>
        </w:rPr>
        <w:t xml:space="preserve">at </w:t>
      </w:r>
      <w:r w:rsidRPr="00041D45">
        <w:rPr>
          <w:rFonts w:cs="Times New Roman"/>
          <w:szCs w:val="24"/>
        </w:rPr>
        <w:t xml:space="preserve">95°C, 15 s, and 62°C, 30 s, both steps for 40 cycles; and cooling </w:t>
      </w:r>
      <w:r w:rsidR="00C52D91">
        <w:rPr>
          <w:rFonts w:cs="Times New Roman"/>
          <w:szCs w:val="24"/>
        </w:rPr>
        <w:t xml:space="preserve">to </w:t>
      </w:r>
      <w:r w:rsidRPr="00041D45">
        <w:rPr>
          <w:rFonts w:cs="Times New Roman"/>
          <w:szCs w:val="24"/>
        </w:rPr>
        <w:t xml:space="preserve">37°C, 30 s, 1 cycle. The data were evaluated using </w:t>
      </w:r>
      <w:proofErr w:type="spellStart"/>
      <w:r w:rsidRPr="00041D45">
        <w:rPr>
          <w:rFonts w:cs="Times New Roman"/>
          <w:szCs w:val="24"/>
        </w:rPr>
        <w:t>LightCycler</w:t>
      </w:r>
      <w:proofErr w:type="spellEnd"/>
      <w:r w:rsidRPr="00041D45">
        <w:rPr>
          <w:rFonts w:cs="Times New Roman"/>
          <w:szCs w:val="24"/>
          <w:vertAlign w:val="superscript"/>
        </w:rPr>
        <w:t>®</w:t>
      </w:r>
      <w:r w:rsidRPr="00041D45">
        <w:rPr>
          <w:rFonts w:cs="Times New Roman"/>
          <w:szCs w:val="24"/>
        </w:rPr>
        <w:t xml:space="preserve"> 480 SW 1.5.1.</w:t>
      </w:r>
    </w:p>
    <w:p w14:paraId="6F87D281" w14:textId="21711E8E" w:rsidR="007B2E0A" w:rsidRPr="00041D45" w:rsidRDefault="003954FA" w:rsidP="007B2E0A">
      <w:pPr>
        <w:jc w:val="both"/>
        <w:rPr>
          <w:rFonts w:cs="Times New Roman"/>
          <w:b/>
          <w:bCs/>
          <w:szCs w:val="24"/>
        </w:rPr>
      </w:pPr>
      <w:r>
        <w:rPr>
          <w:rFonts w:cs="Times New Roman"/>
          <w:b/>
          <w:bCs/>
          <w:szCs w:val="24"/>
        </w:rPr>
        <w:t>1</w:t>
      </w:r>
      <w:r w:rsidR="007B2E0A" w:rsidRPr="00041D45">
        <w:rPr>
          <w:rFonts w:cs="Times New Roman"/>
          <w:b/>
          <w:bCs/>
          <w:szCs w:val="24"/>
        </w:rPr>
        <w:t>.4</w:t>
      </w:r>
      <w:r w:rsidR="007B2E0A" w:rsidRPr="00041D45">
        <w:rPr>
          <w:rFonts w:cs="Times New Roman"/>
          <w:b/>
          <w:bCs/>
          <w:szCs w:val="24"/>
        </w:rPr>
        <w:tab/>
        <w:t>HPLC analysis of lansoprazole and 5-hydroxylansoprazole</w:t>
      </w:r>
    </w:p>
    <w:p w14:paraId="48A37FBF" w14:textId="5B432E28" w:rsidR="007B2E0A" w:rsidRPr="00041D45" w:rsidRDefault="007B2E0A" w:rsidP="007B2E0A">
      <w:pPr>
        <w:jc w:val="both"/>
        <w:rPr>
          <w:rFonts w:cs="Times New Roman"/>
          <w:szCs w:val="24"/>
        </w:rPr>
      </w:pPr>
      <w:r w:rsidRPr="00041D45">
        <w:rPr>
          <w:rFonts w:cs="Times New Roman"/>
          <w:szCs w:val="24"/>
        </w:rPr>
        <w:t>Measurement</w:t>
      </w:r>
      <w:r w:rsidR="004C04F8">
        <w:rPr>
          <w:rFonts w:cs="Times New Roman"/>
          <w:szCs w:val="24"/>
        </w:rPr>
        <w:t>s</w:t>
      </w:r>
      <w:r w:rsidRPr="00041D45">
        <w:rPr>
          <w:rFonts w:cs="Times New Roman"/>
          <w:szCs w:val="24"/>
        </w:rPr>
        <w:t xml:space="preserve"> of the plasma concentrations of LAN and its metabolites OHL and LS were performed using HPLC UV and HPLC MS according to a previously optimized protocol </w:t>
      </w:r>
      <w:r w:rsidR="00A71419">
        <w:rPr>
          <w:rFonts w:cs="Times New Roman"/>
          <w:szCs w:val="24"/>
        </w:rPr>
        <w:fldChar w:fldCharType="begin"/>
      </w:r>
      <w:r w:rsidR="00553626">
        <w:rPr>
          <w:rFonts w:cs="Times New Roman"/>
          <w:szCs w:val="24"/>
        </w:rPr>
        <w:instrText xml:space="preserve"> ADDIN ZOTERO_ITEM CSL_CITATION {"citationID":"QHWaakTS","properties":{"unsorted":false,"formattedCitation":"[2]","plainCitation":"[2]","noteIndex":0},"citationItems":[{"id":5290,"uris":["http://zotero.org/users/6397876/items/4YKWCDXT"],"itemData":{"id":5290,"type":"article-journal","container-title":"Chemical Papers","DOI":"10.1007/s11696-019-00682-4","ISSN":"2585-7290, 1336-9075","issue":"12","journalAbbreviation":"Chem. Pap.","language":"en","page":"2955-2963","source":"DOI.org (Crossref)","title":"Determination of lansoprazole, 5-hydroxylansoprazole, and lansoprazole sulfone in human plasma for CYP2C19 and CYP3A4 phenotyping","volume":"73","author":[{"family":"Kostolanská","given":"Katarína"},{"family":"Peš","given":"Ondřej"},{"family":"Zendulka","given":"Ondřej"},{"family":"Máchal","given":"Jan"},{"family":"Juřica","given":"Jan"}],"issued":{"date-parts":[["2019",12]]}}}],"schema":"https://github.com/citation-style-language/schema/raw/master/csl-citation.json"} </w:instrText>
      </w:r>
      <w:r w:rsidR="00A71419">
        <w:rPr>
          <w:rFonts w:cs="Times New Roman"/>
          <w:szCs w:val="24"/>
        </w:rPr>
        <w:fldChar w:fldCharType="separate"/>
      </w:r>
      <w:r w:rsidR="00553626" w:rsidRPr="00553626">
        <w:rPr>
          <w:rFonts w:cs="Times New Roman"/>
        </w:rPr>
        <w:t>[2]</w:t>
      </w:r>
      <w:r w:rsidR="00A71419">
        <w:rPr>
          <w:rFonts w:cs="Times New Roman"/>
          <w:szCs w:val="24"/>
        </w:rPr>
        <w:fldChar w:fldCharType="end"/>
      </w:r>
      <w:r w:rsidRPr="00041D45">
        <w:rPr>
          <w:rFonts w:cs="Times New Roman"/>
          <w:szCs w:val="24"/>
        </w:rPr>
        <w:t>.</w:t>
      </w:r>
    </w:p>
    <w:p w14:paraId="395047C6" w14:textId="2878C309" w:rsidR="003954FA" w:rsidRDefault="003954FA" w:rsidP="1460A36F"/>
    <w:p w14:paraId="04214606" w14:textId="19A07578" w:rsidR="003954FA" w:rsidRPr="003954FA" w:rsidRDefault="003954FA">
      <w:pPr>
        <w:rPr>
          <w:b/>
          <w:bCs/>
        </w:rPr>
      </w:pPr>
      <w:r w:rsidRPr="003954FA">
        <w:rPr>
          <w:b/>
          <w:bCs/>
        </w:rPr>
        <w:t>References</w:t>
      </w:r>
    </w:p>
    <w:p w14:paraId="459FEA75" w14:textId="77777777" w:rsidR="00473B57" w:rsidRPr="00473B57" w:rsidRDefault="003954FA" w:rsidP="00473B57">
      <w:pPr>
        <w:pStyle w:val="Bibliografie"/>
      </w:pPr>
      <w:r>
        <w:fldChar w:fldCharType="begin"/>
      </w:r>
      <w:r>
        <w:instrText xml:space="preserve"> ADDIN ZOTERO_BIBL {"uncited":[],"omitted":[],"custom":[]} CSL_BIBLIOGRAPHY </w:instrText>
      </w:r>
      <w:r>
        <w:fldChar w:fldCharType="separate"/>
      </w:r>
      <w:r w:rsidR="00473B57" w:rsidRPr="00473B57">
        <w:t>[1]</w:t>
      </w:r>
      <w:r w:rsidR="00473B57" w:rsidRPr="00473B57">
        <w:tab/>
        <w:t>Bořilová Linhartová P, Bartošová L, Křenek A, Bartoš L, Dolina J, Marek F, et al. Personalized therapy in patients with gastroesophageal reflux disease – methodology of CYP2C19 gene profile‘s determination. Gastroent Hepatol 2018;72:320–8. https://doi.org/10.14735/amgh2018320.</w:t>
      </w:r>
    </w:p>
    <w:p w14:paraId="22F26671" w14:textId="77777777" w:rsidR="00473B57" w:rsidRPr="00473B57" w:rsidRDefault="00473B57" w:rsidP="00473B57">
      <w:pPr>
        <w:pStyle w:val="Bibliografie"/>
      </w:pPr>
      <w:r w:rsidRPr="00473B57">
        <w:t>[2]</w:t>
      </w:r>
      <w:r w:rsidRPr="00473B57">
        <w:tab/>
        <w:t>Kostolanská K, Peš O, Zendulka O, Máchal J, Juřica J. Determination of lansoprazole, 5-hydroxylansoprazole, and lansoprazole sulfone in human plasma for CYP2C19 and CYP3A4 phenotyping. Chem Pap 2019;73:2955–63. https://doi.org/10.1007/s11696-019-00682-4.</w:t>
      </w:r>
    </w:p>
    <w:p w14:paraId="68126017" w14:textId="5F95E2E8" w:rsidR="003954FA" w:rsidRDefault="003954FA">
      <w:r>
        <w:fldChar w:fldCharType="end"/>
      </w:r>
    </w:p>
    <w:sectPr w:rsidR="00395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M0MLQ0MjM1tDQ0MDRU0lEKTi0uzszPAykwrAUAua4FHCwAAAA="/>
  </w:docVars>
  <w:rsids>
    <w:rsidRoot w:val="00470243"/>
    <w:rsid w:val="003954FA"/>
    <w:rsid w:val="00470243"/>
    <w:rsid w:val="00473B57"/>
    <w:rsid w:val="004C04F8"/>
    <w:rsid w:val="00553626"/>
    <w:rsid w:val="005725A8"/>
    <w:rsid w:val="007B2E0A"/>
    <w:rsid w:val="00842DC3"/>
    <w:rsid w:val="008F4B0A"/>
    <w:rsid w:val="00A71419"/>
    <w:rsid w:val="00A74F51"/>
    <w:rsid w:val="00B1057F"/>
    <w:rsid w:val="00C16C37"/>
    <w:rsid w:val="00C52D91"/>
    <w:rsid w:val="00C66B8D"/>
    <w:rsid w:val="00CC1D05"/>
    <w:rsid w:val="00CF37A9"/>
    <w:rsid w:val="00D63BFC"/>
    <w:rsid w:val="00DB6DEF"/>
    <w:rsid w:val="00E63B8E"/>
    <w:rsid w:val="1460A36F"/>
    <w:rsid w:val="288FB7AB"/>
    <w:rsid w:val="76847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266F"/>
  <w15:chartTrackingRefBased/>
  <w15:docId w15:val="{7CBE92FC-BFDF-4D07-8BC5-7663E186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2E0A"/>
    <w:pPr>
      <w:spacing w:line="259" w:lineRule="auto"/>
    </w:pPr>
    <w:rPr>
      <w:rFonts w:ascii="Times New Roman" w:hAnsi="Times New Roman"/>
      <w:kern w:val="0"/>
      <w:szCs w:val="22"/>
      <w:lang w:val="en-GB"/>
      <w14:ligatures w14:val="none"/>
    </w:rPr>
  </w:style>
  <w:style w:type="paragraph" w:styleId="Nadpis1">
    <w:name w:val="heading 1"/>
    <w:basedOn w:val="Normln"/>
    <w:next w:val="Normln"/>
    <w:link w:val="Nadpis1Char"/>
    <w:uiPriority w:val="9"/>
    <w:qFormat/>
    <w:rsid w:val="004702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semiHidden/>
    <w:unhideWhenUsed/>
    <w:qFormat/>
    <w:rsid w:val="004702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4702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4702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cs-CZ"/>
      <w14:ligatures w14:val="standardContextual"/>
    </w:rPr>
  </w:style>
  <w:style w:type="paragraph" w:styleId="Nadpis5">
    <w:name w:val="heading 5"/>
    <w:basedOn w:val="Normln"/>
    <w:next w:val="Normln"/>
    <w:link w:val="Nadpis5Char"/>
    <w:uiPriority w:val="9"/>
    <w:semiHidden/>
    <w:unhideWhenUsed/>
    <w:qFormat/>
    <w:rsid w:val="0047024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cs-CZ"/>
      <w14:ligatures w14:val="standardContextual"/>
    </w:rPr>
  </w:style>
  <w:style w:type="paragraph" w:styleId="Nadpis6">
    <w:name w:val="heading 6"/>
    <w:basedOn w:val="Normln"/>
    <w:next w:val="Normln"/>
    <w:link w:val="Nadpis6Char"/>
    <w:uiPriority w:val="9"/>
    <w:semiHidden/>
    <w:unhideWhenUsed/>
    <w:qFormat/>
    <w:rsid w:val="00470243"/>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cs-CZ"/>
      <w14:ligatures w14:val="standardContextual"/>
    </w:rPr>
  </w:style>
  <w:style w:type="paragraph" w:styleId="Nadpis7">
    <w:name w:val="heading 7"/>
    <w:basedOn w:val="Normln"/>
    <w:next w:val="Normln"/>
    <w:link w:val="Nadpis7Char"/>
    <w:uiPriority w:val="9"/>
    <w:semiHidden/>
    <w:unhideWhenUsed/>
    <w:qFormat/>
    <w:rsid w:val="00470243"/>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cs-CZ"/>
      <w14:ligatures w14:val="standardContextual"/>
    </w:rPr>
  </w:style>
  <w:style w:type="paragraph" w:styleId="Nadpis8">
    <w:name w:val="heading 8"/>
    <w:basedOn w:val="Normln"/>
    <w:next w:val="Normln"/>
    <w:link w:val="Nadpis8Char"/>
    <w:uiPriority w:val="9"/>
    <w:semiHidden/>
    <w:unhideWhenUsed/>
    <w:qFormat/>
    <w:rsid w:val="00470243"/>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cs-CZ"/>
      <w14:ligatures w14:val="standardContextual"/>
    </w:rPr>
  </w:style>
  <w:style w:type="paragraph" w:styleId="Nadpis9">
    <w:name w:val="heading 9"/>
    <w:basedOn w:val="Normln"/>
    <w:next w:val="Normln"/>
    <w:link w:val="Nadpis9Char"/>
    <w:uiPriority w:val="9"/>
    <w:semiHidden/>
    <w:unhideWhenUsed/>
    <w:qFormat/>
    <w:rsid w:val="00470243"/>
    <w:pPr>
      <w:keepNext/>
      <w:keepLines/>
      <w:spacing w:after="0" w:line="278" w:lineRule="auto"/>
      <w:outlineLvl w:val="8"/>
    </w:pPr>
    <w:rPr>
      <w:rFonts w:asciiTheme="minorHAnsi" w:eastAsiaTheme="majorEastAsia" w:hAnsiTheme="minorHAnsi" w:cstheme="majorBidi"/>
      <w:color w:val="272727" w:themeColor="text1" w:themeTint="D8"/>
      <w:kern w:val="2"/>
      <w:szCs w:val="24"/>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02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02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02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02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02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02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02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02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0243"/>
    <w:rPr>
      <w:rFonts w:eastAsiaTheme="majorEastAsia" w:cstheme="majorBidi"/>
      <w:color w:val="272727" w:themeColor="text1" w:themeTint="D8"/>
    </w:rPr>
  </w:style>
  <w:style w:type="paragraph" w:styleId="Nzev">
    <w:name w:val="Title"/>
    <w:basedOn w:val="Normln"/>
    <w:next w:val="Normln"/>
    <w:link w:val="NzevChar"/>
    <w:uiPriority w:val="10"/>
    <w:qFormat/>
    <w:rsid w:val="00470243"/>
    <w:pPr>
      <w:spacing w:after="80" w:line="240" w:lineRule="auto"/>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4702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024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4702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0243"/>
    <w:pPr>
      <w:spacing w:before="160" w:line="278" w:lineRule="auto"/>
      <w:jc w:val="center"/>
    </w:pPr>
    <w:rPr>
      <w:rFonts w:asciiTheme="minorHAnsi" w:hAnsiTheme="minorHAnsi"/>
      <w:i/>
      <w:iCs/>
      <w:color w:val="404040" w:themeColor="text1" w:themeTint="BF"/>
      <w:kern w:val="2"/>
      <w:szCs w:val="24"/>
      <w:lang w:val="cs-CZ"/>
      <w14:ligatures w14:val="standardContextual"/>
    </w:rPr>
  </w:style>
  <w:style w:type="character" w:customStyle="1" w:styleId="CittChar">
    <w:name w:val="Citát Char"/>
    <w:basedOn w:val="Standardnpsmoodstavce"/>
    <w:link w:val="Citt"/>
    <w:uiPriority w:val="29"/>
    <w:rsid w:val="00470243"/>
    <w:rPr>
      <w:i/>
      <w:iCs/>
      <w:color w:val="404040" w:themeColor="text1" w:themeTint="BF"/>
    </w:rPr>
  </w:style>
  <w:style w:type="paragraph" w:styleId="Odstavecseseznamem">
    <w:name w:val="List Paragraph"/>
    <w:basedOn w:val="Normln"/>
    <w:uiPriority w:val="34"/>
    <w:qFormat/>
    <w:rsid w:val="00470243"/>
    <w:pPr>
      <w:spacing w:line="278" w:lineRule="auto"/>
      <w:ind w:left="720"/>
      <w:contextualSpacing/>
    </w:pPr>
    <w:rPr>
      <w:rFonts w:asciiTheme="minorHAnsi" w:hAnsiTheme="minorHAnsi"/>
      <w:kern w:val="2"/>
      <w:szCs w:val="24"/>
      <w:lang w:val="cs-CZ"/>
      <w14:ligatures w14:val="standardContextual"/>
    </w:rPr>
  </w:style>
  <w:style w:type="character" w:styleId="Zdraznnintenzivn">
    <w:name w:val="Intense Emphasis"/>
    <w:basedOn w:val="Standardnpsmoodstavce"/>
    <w:uiPriority w:val="21"/>
    <w:qFormat/>
    <w:rsid w:val="00470243"/>
    <w:rPr>
      <w:i/>
      <w:iCs/>
      <w:color w:val="0F4761" w:themeColor="accent1" w:themeShade="BF"/>
    </w:rPr>
  </w:style>
  <w:style w:type="paragraph" w:styleId="Vrazncitt">
    <w:name w:val="Intense Quote"/>
    <w:basedOn w:val="Normln"/>
    <w:next w:val="Normln"/>
    <w:link w:val="VrazncittChar"/>
    <w:uiPriority w:val="30"/>
    <w:qFormat/>
    <w:rsid w:val="004702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val="cs-CZ"/>
      <w14:ligatures w14:val="standardContextual"/>
    </w:rPr>
  </w:style>
  <w:style w:type="character" w:customStyle="1" w:styleId="VrazncittChar">
    <w:name w:val="Výrazný citát Char"/>
    <w:basedOn w:val="Standardnpsmoodstavce"/>
    <w:link w:val="Vrazncitt"/>
    <w:uiPriority w:val="30"/>
    <w:rsid w:val="00470243"/>
    <w:rPr>
      <w:i/>
      <w:iCs/>
      <w:color w:val="0F4761" w:themeColor="accent1" w:themeShade="BF"/>
    </w:rPr>
  </w:style>
  <w:style w:type="character" w:styleId="Odkazintenzivn">
    <w:name w:val="Intense Reference"/>
    <w:basedOn w:val="Standardnpsmoodstavce"/>
    <w:uiPriority w:val="32"/>
    <w:qFormat/>
    <w:rsid w:val="00470243"/>
    <w:rPr>
      <w:b/>
      <w:bCs/>
      <w:smallCaps/>
      <w:color w:val="0F4761" w:themeColor="accent1" w:themeShade="BF"/>
      <w:spacing w:val="5"/>
    </w:rPr>
  </w:style>
  <w:style w:type="character" w:styleId="Odkaznakoment">
    <w:name w:val="annotation reference"/>
    <w:basedOn w:val="Standardnpsmoodstavce"/>
    <w:uiPriority w:val="99"/>
    <w:semiHidden/>
    <w:unhideWhenUsed/>
    <w:rsid w:val="007B2E0A"/>
    <w:rPr>
      <w:sz w:val="16"/>
      <w:szCs w:val="16"/>
    </w:rPr>
  </w:style>
  <w:style w:type="paragraph" w:styleId="Textkomente">
    <w:name w:val="annotation text"/>
    <w:basedOn w:val="Normln"/>
    <w:link w:val="TextkomenteChar"/>
    <w:uiPriority w:val="99"/>
    <w:unhideWhenUsed/>
    <w:rsid w:val="007B2E0A"/>
    <w:pPr>
      <w:spacing w:line="240" w:lineRule="auto"/>
    </w:pPr>
    <w:rPr>
      <w:sz w:val="20"/>
      <w:szCs w:val="20"/>
    </w:rPr>
  </w:style>
  <w:style w:type="character" w:customStyle="1" w:styleId="TextkomenteChar">
    <w:name w:val="Text komentáře Char"/>
    <w:basedOn w:val="Standardnpsmoodstavce"/>
    <w:link w:val="Textkomente"/>
    <w:uiPriority w:val="99"/>
    <w:rsid w:val="007B2E0A"/>
    <w:rPr>
      <w:rFonts w:ascii="Times New Roman" w:hAnsi="Times New Roman"/>
      <w:kern w:val="0"/>
      <w:sz w:val="20"/>
      <w:szCs w:val="20"/>
      <w:lang w:val="en-GB"/>
      <w14:ligatures w14:val="none"/>
    </w:rPr>
  </w:style>
  <w:style w:type="character" w:styleId="Hypertextovodkaz">
    <w:name w:val="Hyperlink"/>
    <w:basedOn w:val="Standardnpsmoodstavce"/>
    <w:uiPriority w:val="99"/>
    <w:unhideWhenUsed/>
    <w:rsid w:val="007B2E0A"/>
    <w:rPr>
      <w:color w:val="467886" w:themeColor="hyperlink"/>
      <w:u w:val="single"/>
    </w:rPr>
  </w:style>
  <w:style w:type="paragraph" w:styleId="Bibliografie">
    <w:name w:val="Bibliography"/>
    <w:basedOn w:val="Normln"/>
    <w:next w:val="Normln"/>
    <w:uiPriority w:val="37"/>
    <w:unhideWhenUsed/>
    <w:rsid w:val="003954FA"/>
    <w:pPr>
      <w:tabs>
        <w:tab w:val="left" w:pos="384"/>
      </w:tabs>
      <w:spacing w:after="0" w:line="240" w:lineRule="auto"/>
      <w:ind w:left="384" w:hanging="384"/>
    </w:pPr>
  </w:style>
  <w:style w:type="paragraph" w:styleId="Revize">
    <w:name w:val="Revision"/>
    <w:hidden/>
    <w:uiPriority w:val="99"/>
    <w:semiHidden/>
    <w:rsid w:val="00A74F51"/>
    <w:pPr>
      <w:spacing w:after="0" w:line="240" w:lineRule="auto"/>
    </w:pPr>
    <w:rPr>
      <w:rFonts w:ascii="Times New Roman" w:hAnsi="Times New Roman"/>
      <w:kern w:val="0"/>
      <w:szCs w:val="22"/>
      <w:lang w:val="en-GB"/>
      <w14:ligatures w14:val="none"/>
    </w:rPr>
  </w:style>
  <w:style w:type="paragraph" w:styleId="Pedmtkomente">
    <w:name w:val="annotation subject"/>
    <w:basedOn w:val="Textkomente"/>
    <w:next w:val="Textkomente"/>
    <w:link w:val="PedmtkomenteChar"/>
    <w:uiPriority w:val="99"/>
    <w:semiHidden/>
    <w:unhideWhenUsed/>
    <w:rsid w:val="00A74F51"/>
    <w:rPr>
      <w:b/>
      <w:bCs/>
    </w:rPr>
  </w:style>
  <w:style w:type="character" w:customStyle="1" w:styleId="PedmtkomenteChar">
    <w:name w:val="Předmět komentáře Char"/>
    <w:basedOn w:val="TextkomenteChar"/>
    <w:link w:val="Pedmtkomente"/>
    <w:uiPriority w:val="99"/>
    <w:semiHidden/>
    <w:rsid w:val="00A74F51"/>
    <w:rPr>
      <w:rFonts w:ascii="Times New Roman" w:hAnsi="Times New Roman"/>
      <w:b/>
      <w:bCs/>
      <w:kern w:val="0"/>
      <w:sz w:val="20"/>
      <w:szCs w:val="20"/>
      <w:lang w:val="en-GB"/>
      <w14:ligatures w14:val="none"/>
    </w:rPr>
  </w:style>
  <w:style w:type="paragraph" w:styleId="Textbubliny">
    <w:name w:val="Balloon Text"/>
    <w:basedOn w:val="Normln"/>
    <w:link w:val="TextbublinyChar"/>
    <w:uiPriority w:val="99"/>
    <w:semiHidden/>
    <w:unhideWhenUsed/>
    <w:rsid w:val="00C52D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2D91"/>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1050</Words>
  <Characters>6198</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Mlčůchová</dc:creator>
  <cp:keywords/>
  <dc:description/>
  <cp:lastModifiedBy>Natálie Mlčůchová</cp:lastModifiedBy>
  <cp:revision>9</cp:revision>
  <dcterms:created xsi:type="dcterms:W3CDTF">2026-06-25T23:30:00Z</dcterms:created>
  <dcterms:modified xsi:type="dcterms:W3CDTF">2026-07-13T09:26:00Z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id="J3uZm8GO"/&gt;&lt;style id="http://www.zotero.org/styles/burns" hasBibliography="1" bibliographyStyleHasBeenSet="1"/&gt;&lt;prefs&gt;&lt;pref name="fieldType" value="Field"/&gt;&lt;/prefs&gt;&lt;/data&gt;</vt:lpwstr>
  </property>
</Properties>
</file>