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B97FE">
      <w:r>
        <w:rPr>
          <w:b/>
          <w:sz w:val="24"/>
        </w:rPr>
        <w:t>MRI Substudy Baseline Characteristics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3"/>
        <w:gridCol w:w="2493"/>
        <w:gridCol w:w="2493"/>
        <w:gridCol w:w="2493"/>
      </w:tblGrid>
      <w:tr w14:paraId="48F83565">
        <w:trPr>
          <w:jc w:val="center"/>
        </w:trPr>
        <w:tc>
          <w:tcPr>
            <w:tcW w:w="2493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53DF6E56">
            <w:pPr>
              <w:spacing w:before="0" w:after="0"/>
            </w:pPr>
            <w:r>
              <w:rPr>
                <w:rFonts w:ascii="Arial" w:hAnsi="Arial"/>
                <w:sz w:val="18"/>
              </w:rPr>
              <w:t>Variable</w:t>
            </w:r>
          </w:p>
        </w:tc>
        <w:tc>
          <w:tcPr>
            <w:tcW w:w="2493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75E3BCEE">
            <w:pPr>
              <w:spacing w:before="0" w:after="0"/>
            </w:pPr>
            <w:r>
              <w:rPr>
                <w:rFonts w:ascii="Arial" w:hAnsi="Arial"/>
                <w:sz w:val="18"/>
              </w:rPr>
              <w:t>iTBS (n=12)</w:t>
            </w:r>
          </w:p>
        </w:tc>
        <w:tc>
          <w:tcPr>
            <w:tcW w:w="2493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18734D3F">
            <w:pPr>
              <w:spacing w:before="0" w:after="0"/>
            </w:pPr>
            <w:r>
              <w:rPr>
                <w:rFonts w:ascii="Arial" w:hAnsi="Arial"/>
                <w:sz w:val="18"/>
              </w:rPr>
              <w:t>Sham (n=13)</w:t>
            </w:r>
          </w:p>
        </w:tc>
        <w:tc>
          <w:tcPr>
            <w:tcW w:w="2493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440401E0">
            <w:pPr>
              <w:spacing w:before="0" w:after="0"/>
            </w:pPr>
            <w:r>
              <w:rPr>
                <w:rFonts w:ascii="Arial" w:hAnsi="Arial"/>
                <w:sz w:val="18"/>
              </w:rPr>
              <w:t>P value</w:t>
            </w:r>
          </w:p>
        </w:tc>
      </w:tr>
      <w:tr w14:paraId="6C85AD08">
        <w:trPr>
          <w:jc w:val="center"/>
        </w:trPr>
        <w:tc>
          <w:tcPr>
            <w:tcW w:w="2493" w:type="dxa"/>
            <w:vAlign w:val="center"/>
          </w:tcPr>
          <w:p w14:paraId="0068F8CB">
            <w:pPr>
              <w:spacing w:before="0" w:after="0"/>
            </w:pPr>
            <w:r>
              <w:rPr>
                <w:rFonts w:ascii="Arial" w:hAnsi="Arial"/>
                <w:sz w:val="18"/>
              </w:rPr>
              <w:t>Age, years</w:t>
            </w:r>
          </w:p>
        </w:tc>
        <w:tc>
          <w:tcPr>
            <w:tcW w:w="2493" w:type="dxa"/>
            <w:vAlign w:val="center"/>
          </w:tcPr>
          <w:p w14:paraId="4CC3F8B9">
            <w:pPr>
              <w:spacing w:before="0" w:after="0"/>
            </w:pPr>
            <w:r>
              <w:rPr>
                <w:rFonts w:ascii="Arial" w:hAnsi="Arial"/>
                <w:sz w:val="18"/>
              </w:rPr>
              <w:t>57.50 ± 11.70</w:t>
            </w:r>
          </w:p>
        </w:tc>
        <w:tc>
          <w:tcPr>
            <w:tcW w:w="2493" w:type="dxa"/>
            <w:vAlign w:val="center"/>
          </w:tcPr>
          <w:p w14:paraId="29DAEC3E">
            <w:pPr>
              <w:spacing w:before="0" w:after="0"/>
            </w:pPr>
            <w:r>
              <w:rPr>
                <w:rFonts w:ascii="Arial" w:hAnsi="Arial"/>
                <w:sz w:val="18"/>
              </w:rPr>
              <w:t>57.23 ± 11.59</w:t>
            </w:r>
          </w:p>
        </w:tc>
        <w:tc>
          <w:tcPr>
            <w:tcW w:w="2493" w:type="dxa"/>
            <w:vAlign w:val="center"/>
          </w:tcPr>
          <w:p w14:paraId="139AEF4E">
            <w:pPr>
              <w:spacing w:before="0" w:after="0"/>
            </w:pPr>
            <w:r>
              <w:rPr>
                <w:rFonts w:ascii="Arial" w:hAnsi="Arial"/>
                <w:sz w:val="18"/>
              </w:rPr>
              <w:t>0.954</w:t>
            </w:r>
          </w:p>
        </w:tc>
      </w:tr>
      <w:tr w14:paraId="70407829">
        <w:trPr>
          <w:jc w:val="center"/>
        </w:trPr>
        <w:tc>
          <w:tcPr>
            <w:tcW w:w="2493" w:type="dxa"/>
            <w:vAlign w:val="center"/>
          </w:tcPr>
          <w:p w14:paraId="1BC1FAEE">
            <w:pPr>
              <w:spacing w:before="0" w:after="0"/>
            </w:pPr>
            <w:r>
              <w:rPr>
                <w:rFonts w:ascii="Arial" w:hAnsi="Arial"/>
                <w:sz w:val="18"/>
              </w:rPr>
              <w:t>Disease duration, months</w:t>
            </w:r>
          </w:p>
        </w:tc>
        <w:tc>
          <w:tcPr>
            <w:tcW w:w="2493" w:type="dxa"/>
            <w:vAlign w:val="center"/>
          </w:tcPr>
          <w:p w14:paraId="1B57AE31">
            <w:pPr>
              <w:spacing w:before="0" w:after="0"/>
            </w:pPr>
            <w:r>
              <w:rPr>
                <w:rFonts w:ascii="Arial" w:hAnsi="Arial"/>
                <w:sz w:val="18"/>
              </w:rPr>
              <w:t>1.58 ± 0.79</w:t>
            </w:r>
          </w:p>
        </w:tc>
        <w:tc>
          <w:tcPr>
            <w:tcW w:w="2493" w:type="dxa"/>
            <w:vAlign w:val="center"/>
          </w:tcPr>
          <w:p w14:paraId="6D1AF2CB">
            <w:pPr>
              <w:spacing w:before="0" w:after="0"/>
            </w:pPr>
            <w:r>
              <w:rPr>
                <w:rFonts w:ascii="Arial" w:hAnsi="Arial"/>
                <w:sz w:val="18"/>
              </w:rPr>
              <w:t>2.23 ± 2.09</w:t>
            </w:r>
          </w:p>
        </w:tc>
        <w:tc>
          <w:tcPr>
            <w:tcW w:w="2493" w:type="dxa"/>
            <w:vAlign w:val="center"/>
          </w:tcPr>
          <w:p w14:paraId="04484C12">
            <w:pPr>
              <w:spacing w:before="0" w:after="0"/>
            </w:pPr>
            <w:r>
              <w:rPr>
                <w:rFonts w:ascii="Arial" w:hAnsi="Arial"/>
                <w:sz w:val="18"/>
              </w:rPr>
              <w:t>0.314</w:t>
            </w:r>
          </w:p>
        </w:tc>
      </w:tr>
      <w:tr w14:paraId="1A9E311B">
        <w:trPr>
          <w:jc w:val="center"/>
        </w:trPr>
        <w:tc>
          <w:tcPr>
            <w:tcW w:w="2493" w:type="dxa"/>
            <w:vAlign w:val="center"/>
          </w:tcPr>
          <w:p w14:paraId="5FA88D49">
            <w:pPr>
              <w:spacing w:before="0" w:after="0"/>
            </w:pPr>
            <w:r>
              <w:rPr>
                <w:rFonts w:ascii="Arial" w:hAnsi="Arial"/>
                <w:sz w:val="18"/>
              </w:rPr>
              <w:t>MMSE</w:t>
            </w:r>
          </w:p>
        </w:tc>
        <w:tc>
          <w:tcPr>
            <w:tcW w:w="2493" w:type="dxa"/>
            <w:vAlign w:val="center"/>
          </w:tcPr>
          <w:p w14:paraId="04D0D8FF">
            <w:pPr>
              <w:spacing w:before="0" w:after="0"/>
            </w:pPr>
            <w:r>
              <w:rPr>
                <w:rFonts w:ascii="Arial" w:hAnsi="Arial"/>
                <w:sz w:val="18"/>
              </w:rPr>
              <w:t>25.00 ± 2.37</w:t>
            </w:r>
          </w:p>
        </w:tc>
        <w:tc>
          <w:tcPr>
            <w:tcW w:w="2493" w:type="dxa"/>
            <w:vAlign w:val="center"/>
          </w:tcPr>
          <w:p w14:paraId="7D48CEA0">
            <w:pPr>
              <w:spacing w:before="0" w:after="0"/>
            </w:pPr>
            <w:r>
              <w:rPr>
                <w:rFonts w:ascii="Arial" w:hAnsi="Arial"/>
                <w:sz w:val="18"/>
              </w:rPr>
              <w:t>26.00 ± 3.34</w:t>
            </w:r>
          </w:p>
        </w:tc>
        <w:tc>
          <w:tcPr>
            <w:tcW w:w="2493" w:type="dxa"/>
            <w:vAlign w:val="center"/>
          </w:tcPr>
          <w:p w14:paraId="1A3EE9C0">
            <w:pPr>
              <w:spacing w:before="0" w:after="0"/>
            </w:pPr>
            <w:r>
              <w:rPr>
                <w:rFonts w:ascii="Arial" w:hAnsi="Arial"/>
                <w:sz w:val="18"/>
              </w:rPr>
              <w:t>0.395</w:t>
            </w:r>
          </w:p>
        </w:tc>
      </w:tr>
      <w:tr w14:paraId="2999660A">
        <w:trPr>
          <w:jc w:val="center"/>
        </w:trPr>
        <w:tc>
          <w:tcPr>
            <w:tcW w:w="2493" w:type="dxa"/>
            <w:vAlign w:val="center"/>
          </w:tcPr>
          <w:p w14:paraId="376B9C74">
            <w:pPr>
              <w:spacing w:before="0" w:after="0"/>
            </w:pPr>
            <w:r>
              <w:rPr>
                <w:rFonts w:ascii="Arial" w:hAnsi="Arial"/>
                <w:sz w:val="18"/>
              </w:rPr>
              <w:t>NIHSS</w:t>
            </w:r>
          </w:p>
        </w:tc>
        <w:tc>
          <w:tcPr>
            <w:tcW w:w="2493" w:type="dxa"/>
            <w:vAlign w:val="center"/>
          </w:tcPr>
          <w:p w14:paraId="500CD38A">
            <w:pPr>
              <w:spacing w:before="0" w:after="0"/>
            </w:pPr>
            <w:r>
              <w:rPr>
                <w:rFonts w:ascii="Arial" w:hAnsi="Arial"/>
                <w:sz w:val="18"/>
              </w:rPr>
              <w:t>12.50 ± 0.90</w:t>
            </w:r>
          </w:p>
        </w:tc>
        <w:tc>
          <w:tcPr>
            <w:tcW w:w="2493" w:type="dxa"/>
            <w:vAlign w:val="center"/>
          </w:tcPr>
          <w:p w14:paraId="5952CF5F">
            <w:pPr>
              <w:spacing w:before="0" w:after="0"/>
            </w:pPr>
            <w:r>
              <w:rPr>
                <w:rFonts w:ascii="Arial" w:hAnsi="Arial"/>
                <w:sz w:val="18"/>
              </w:rPr>
              <w:t>12.69 ± 0.75</w:t>
            </w:r>
          </w:p>
        </w:tc>
        <w:tc>
          <w:tcPr>
            <w:tcW w:w="2493" w:type="dxa"/>
            <w:vAlign w:val="center"/>
          </w:tcPr>
          <w:p w14:paraId="680AAF98">
            <w:pPr>
              <w:spacing w:before="0" w:after="0"/>
            </w:pPr>
            <w:r>
              <w:rPr>
                <w:rFonts w:ascii="Arial" w:hAnsi="Arial"/>
                <w:sz w:val="18"/>
              </w:rPr>
              <w:t>0.571</w:t>
            </w:r>
          </w:p>
        </w:tc>
      </w:tr>
      <w:tr w14:paraId="38221A15">
        <w:trPr>
          <w:jc w:val="center"/>
        </w:trPr>
        <w:tc>
          <w:tcPr>
            <w:tcW w:w="2493" w:type="dxa"/>
            <w:vAlign w:val="center"/>
          </w:tcPr>
          <w:p w14:paraId="2055F1C3">
            <w:pPr>
              <w:spacing w:before="0" w:after="0"/>
            </w:pPr>
            <w:r>
              <w:rPr>
                <w:rFonts w:ascii="Arial" w:hAnsi="Arial"/>
                <w:sz w:val="18"/>
              </w:rPr>
              <w:t>SSA baseline</w:t>
            </w:r>
          </w:p>
        </w:tc>
        <w:tc>
          <w:tcPr>
            <w:tcW w:w="2493" w:type="dxa"/>
            <w:vAlign w:val="center"/>
          </w:tcPr>
          <w:p w14:paraId="4FA46C73">
            <w:pPr>
              <w:spacing w:before="0" w:after="0"/>
            </w:pPr>
            <w:r>
              <w:rPr>
                <w:rFonts w:ascii="Arial" w:hAnsi="Arial"/>
                <w:sz w:val="18"/>
              </w:rPr>
              <w:t>43.08 ± 2.68</w:t>
            </w:r>
          </w:p>
        </w:tc>
        <w:tc>
          <w:tcPr>
            <w:tcW w:w="2493" w:type="dxa"/>
            <w:vAlign w:val="center"/>
          </w:tcPr>
          <w:p w14:paraId="09C771DE">
            <w:pPr>
              <w:spacing w:before="0" w:after="0"/>
            </w:pPr>
            <w:r>
              <w:rPr>
                <w:rFonts w:ascii="Arial" w:hAnsi="Arial"/>
                <w:sz w:val="18"/>
              </w:rPr>
              <w:t>43.62 ± 1.76</w:t>
            </w:r>
          </w:p>
        </w:tc>
        <w:tc>
          <w:tcPr>
            <w:tcW w:w="2493" w:type="dxa"/>
            <w:vAlign w:val="center"/>
          </w:tcPr>
          <w:p w14:paraId="369BCF63">
            <w:pPr>
              <w:spacing w:before="0" w:after="0"/>
            </w:pPr>
            <w:r>
              <w:rPr>
                <w:rFonts w:ascii="Arial" w:hAnsi="Arial"/>
                <w:sz w:val="18"/>
              </w:rPr>
              <w:t>0.567</w:t>
            </w:r>
          </w:p>
        </w:tc>
      </w:tr>
      <w:tr w14:paraId="6AFC3CD5">
        <w:trPr>
          <w:jc w:val="center"/>
        </w:trPr>
        <w:tc>
          <w:tcPr>
            <w:tcW w:w="2493" w:type="dxa"/>
            <w:vAlign w:val="center"/>
          </w:tcPr>
          <w:p w14:paraId="46A283F8">
            <w:pPr>
              <w:spacing w:before="0" w:after="0"/>
            </w:pPr>
            <w:r>
              <w:rPr>
                <w:rFonts w:ascii="Arial" w:hAnsi="Arial"/>
                <w:sz w:val="18"/>
              </w:rPr>
              <w:t>PAS baseline</w:t>
            </w:r>
          </w:p>
        </w:tc>
        <w:tc>
          <w:tcPr>
            <w:tcW w:w="2493" w:type="dxa"/>
            <w:vAlign w:val="center"/>
          </w:tcPr>
          <w:p w14:paraId="44DC5F0B">
            <w:pPr>
              <w:spacing w:before="0" w:after="0"/>
            </w:pPr>
            <w:r>
              <w:rPr>
                <w:rFonts w:ascii="Arial" w:hAnsi="Arial"/>
                <w:sz w:val="18"/>
              </w:rPr>
              <w:t>6.92 ± 0.51</w:t>
            </w:r>
          </w:p>
        </w:tc>
        <w:tc>
          <w:tcPr>
            <w:tcW w:w="2493" w:type="dxa"/>
            <w:vAlign w:val="center"/>
          </w:tcPr>
          <w:p w14:paraId="031B8396">
            <w:pPr>
              <w:spacing w:before="0" w:after="0"/>
            </w:pPr>
            <w:r>
              <w:rPr>
                <w:rFonts w:ascii="Arial" w:hAnsi="Arial"/>
                <w:sz w:val="18"/>
              </w:rPr>
              <w:t>7.00 ± 0.00</w:t>
            </w:r>
          </w:p>
        </w:tc>
        <w:tc>
          <w:tcPr>
            <w:tcW w:w="2493" w:type="dxa"/>
            <w:vAlign w:val="center"/>
          </w:tcPr>
          <w:p w14:paraId="627012AC">
            <w:pPr>
              <w:spacing w:before="0" w:after="0"/>
            </w:pPr>
            <w:r>
              <w:rPr>
                <w:rFonts w:ascii="Arial" w:hAnsi="Arial"/>
                <w:sz w:val="18"/>
              </w:rPr>
              <w:t>0.586</w:t>
            </w:r>
          </w:p>
        </w:tc>
      </w:tr>
      <w:tr w14:paraId="1B27B556">
        <w:trPr>
          <w:jc w:val="center"/>
        </w:trPr>
        <w:tc>
          <w:tcPr>
            <w:tcW w:w="2493" w:type="dxa"/>
            <w:vAlign w:val="center"/>
          </w:tcPr>
          <w:p w14:paraId="78B7CB9E">
            <w:pPr>
              <w:spacing w:before="0" w:after="0"/>
            </w:pPr>
            <w:r>
              <w:rPr>
                <w:rFonts w:ascii="Arial" w:hAnsi="Arial"/>
                <w:sz w:val="18"/>
              </w:rPr>
              <w:t>Sex: Female</w:t>
            </w:r>
          </w:p>
        </w:tc>
        <w:tc>
          <w:tcPr>
            <w:tcW w:w="2493" w:type="dxa"/>
            <w:vAlign w:val="center"/>
          </w:tcPr>
          <w:p w14:paraId="32C4945B">
            <w:pPr>
              <w:spacing w:before="0" w:after="0"/>
            </w:pPr>
            <w:r>
              <w:rPr>
                <w:rFonts w:ascii="Arial" w:hAnsi="Arial"/>
                <w:sz w:val="18"/>
              </w:rPr>
              <w:t>3 (25.0%)</w:t>
            </w:r>
          </w:p>
        </w:tc>
        <w:tc>
          <w:tcPr>
            <w:tcW w:w="2493" w:type="dxa"/>
            <w:vAlign w:val="center"/>
          </w:tcPr>
          <w:p w14:paraId="66A6458D">
            <w:pPr>
              <w:spacing w:before="0" w:after="0"/>
            </w:pPr>
            <w:r>
              <w:rPr>
                <w:rFonts w:ascii="Arial" w:hAnsi="Arial"/>
                <w:sz w:val="18"/>
              </w:rPr>
              <w:t>3 (23.1%)</w:t>
            </w:r>
          </w:p>
        </w:tc>
        <w:tc>
          <w:tcPr>
            <w:tcW w:w="2493" w:type="dxa"/>
            <w:vAlign w:val="center"/>
          </w:tcPr>
          <w:p w14:paraId="74A93E44">
            <w:pPr>
              <w:spacing w:before="0" w:after="0"/>
            </w:pPr>
            <w:r>
              <w:rPr>
                <w:rFonts w:ascii="Arial" w:hAnsi="Arial"/>
                <w:sz w:val="18"/>
              </w:rPr>
              <w:t>1.000</w:t>
            </w:r>
          </w:p>
        </w:tc>
      </w:tr>
      <w:tr w14:paraId="1BFF4864">
        <w:trPr>
          <w:jc w:val="center"/>
        </w:trPr>
        <w:tc>
          <w:tcPr>
            <w:tcW w:w="2493" w:type="dxa"/>
            <w:vAlign w:val="center"/>
          </w:tcPr>
          <w:p w14:paraId="7D638EF6">
            <w:pPr>
              <w:spacing w:before="0" w:after="0"/>
            </w:pPr>
            <w:r>
              <w:rPr>
                <w:rFonts w:ascii="Arial" w:hAnsi="Arial"/>
                <w:sz w:val="18"/>
              </w:rPr>
              <w:t>Sex: Male</w:t>
            </w:r>
          </w:p>
        </w:tc>
        <w:tc>
          <w:tcPr>
            <w:tcW w:w="2493" w:type="dxa"/>
            <w:vAlign w:val="center"/>
          </w:tcPr>
          <w:p w14:paraId="2601A70A">
            <w:pPr>
              <w:spacing w:before="0" w:after="0"/>
            </w:pPr>
            <w:r>
              <w:rPr>
                <w:rFonts w:ascii="Arial" w:hAnsi="Arial"/>
                <w:sz w:val="18"/>
              </w:rPr>
              <w:t>9 (75.0%)</w:t>
            </w:r>
          </w:p>
        </w:tc>
        <w:tc>
          <w:tcPr>
            <w:tcW w:w="2493" w:type="dxa"/>
            <w:vAlign w:val="center"/>
          </w:tcPr>
          <w:p w14:paraId="47565047">
            <w:pPr>
              <w:spacing w:before="0" w:after="0"/>
            </w:pPr>
            <w:r>
              <w:rPr>
                <w:rFonts w:ascii="Arial" w:hAnsi="Arial"/>
                <w:sz w:val="18"/>
              </w:rPr>
              <w:t>10 (76.9%)</w:t>
            </w:r>
          </w:p>
        </w:tc>
        <w:tc>
          <w:tcPr>
            <w:tcW w:w="2493" w:type="dxa"/>
            <w:vAlign w:val="center"/>
          </w:tcPr>
          <w:p w14:paraId="39C8ADCF">
            <w:pPr>
              <w:spacing w:before="0" w:after="0"/>
            </w:pPr>
          </w:p>
        </w:tc>
      </w:tr>
      <w:tr w14:paraId="665696CC">
        <w:trPr>
          <w:jc w:val="center"/>
        </w:trPr>
        <w:tc>
          <w:tcPr>
            <w:tcW w:w="2493" w:type="dxa"/>
            <w:vAlign w:val="center"/>
          </w:tcPr>
          <w:p w14:paraId="52020613">
            <w:pPr>
              <w:spacing w:before="0" w:after="0"/>
            </w:pPr>
            <w:r>
              <w:rPr>
                <w:rFonts w:ascii="Arial" w:hAnsi="Arial"/>
                <w:sz w:val="18"/>
              </w:rPr>
              <w:t>Stroke type: Hemorrhage</w:t>
            </w:r>
          </w:p>
        </w:tc>
        <w:tc>
          <w:tcPr>
            <w:tcW w:w="2493" w:type="dxa"/>
            <w:vAlign w:val="center"/>
          </w:tcPr>
          <w:p w14:paraId="14DE0F6A">
            <w:pPr>
              <w:spacing w:before="0" w:after="0"/>
            </w:pPr>
            <w:r>
              <w:rPr>
                <w:rFonts w:ascii="Arial" w:hAnsi="Arial"/>
                <w:sz w:val="18"/>
              </w:rPr>
              <w:t>4 (33.3%)</w:t>
            </w:r>
          </w:p>
        </w:tc>
        <w:tc>
          <w:tcPr>
            <w:tcW w:w="2493" w:type="dxa"/>
            <w:vAlign w:val="center"/>
          </w:tcPr>
          <w:p w14:paraId="6BDFE79B">
            <w:pPr>
              <w:spacing w:before="0" w:after="0"/>
            </w:pPr>
            <w:r>
              <w:rPr>
                <w:rFonts w:ascii="Arial" w:hAnsi="Arial"/>
                <w:sz w:val="18"/>
              </w:rPr>
              <w:t>5 (38.5%)</w:t>
            </w:r>
          </w:p>
        </w:tc>
        <w:tc>
          <w:tcPr>
            <w:tcW w:w="2493" w:type="dxa"/>
            <w:vAlign w:val="center"/>
          </w:tcPr>
          <w:p w14:paraId="7D0041F0">
            <w:pPr>
              <w:spacing w:before="0" w:after="0"/>
            </w:pPr>
            <w:r>
              <w:rPr>
                <w:rFonts w:ascii="Arial" w:hAnsi="Arial"/>
                <w:sz w:val="18"/>
              </w:rPr>
              <w:t>1.000</w:t>
            </w:r>
          </w:p>
        </w:tc>
      </w:tr>
      <w:tr w14:paraId="705D3AC9">
        <w:trPr>
          <w:jc w:val="center"/>
        </w:trPr>
        <w:tc>
          <w:tcPr>
            <w:tcW w:w="2493" w:type="dxa"/>
            <w:vAlign w:val="center"/>
          </w:tcPr>
          <w:p w14:paraId="74645D4D">
            <w:pPr>
              <w:spacing w:before="0" w:after="0"/>
            </w:pPr>
            <w:r>
              <w:rPr>
                <w:rFonts w:ascii="Arial" w:hAnsi="Arial"/>
                <w:sz w:val="18"/>
              </w:rPr>
              <w:t>Stroke type: Infarction</w:t>
            </w:r>
          </w:p>
        </w:tc>
        <w:tc>
          <w:tcPr>
            <w:tcW w:w="2493" w:type="dxa"/>
            <w:vAlign w:val="center"/>
          </w:tcPr>
          <w:p w14:paraId="437DE9B1">
            <w:pPr>
              <w:spacing w:before="0" w:after="0"/>
            </w:pPr>
            <w:r>
              <w:rPr>
                <w:rFonts w:ascii="Arial" w:hAnsi="Arial"/>
                <w:sz w:val="18"/>
              </w:rPr>
              <w:t>8 (66.7%)</w:t>
            </w:r>
          </w:p>
        </w:tc>
        <w:tc>
          <w:tcPr>
            <w:tcW w:w="2493" w:type="dxa"/>
            <w:vAlign w:val="center"/>
          </w:tcPr>
          <w:p w14:paraId="4C95FA90">
            <w:pPr>
              <w:spacing w:before="0" w:after="0"/>
            </w:pPr>
            <w:r>
              <w:rPr>
                <w:rFonts w:ascii="Arial" w:hAnsi="Arial"/>
                <w:sz w:val="18"/>
              </w:rPr>
              <w:t>8 (61.5%)</w:t>
            </w:r>
          </w:p>
        </w:tc>
        <w:tc>
          <w:tcPr>
            <w:tcW w:w="2493" w:type="dxa"/>
            <w:vAlign w:val="center"/>
          </w:tcPr>
          <w:p w14:paraId="2A9FE77C">
            <w:pPr>
              <w:spacing w:before="0" w:after="0"/>
            </w:pPr>
          </w:p>
        </w:tc>
      </w:tr>
      <w:tr w14:paraId="3680BC53">
        <w:trPr>
          <w:jc w:val="center"/>
        </w:trPr>
        <w:tc>
          <w:tcPr>
            <w:tcW w:w="2493" w:type="dxa"/>
            <w:vAlign w:val="center"/>
          </w:tcPr>
          <w:p w14:paraId="56BD2C71">
            <w:pPr>
              <w:spacing w:before="0" w:after="0"/>
            </w:pPr>
            <w:r>
              <w:rPr>
                <w:rFonts w:ascii="Arial" w:hAnsi="Arial"/>
                <w:sz w:val="18"/>
              </w:rPr>
              <w:t>Motor presentation: Left hemiparesis</w:t>
            </w:r>
          </w:p>
        </w:tc>
        <w:tc>
          <w:tcPr>
            <w:tcW w:w="2493" w:type="dxa"/>
            <w:vAlign w:val="center"/>
          </w:tcPr>
          <w:p w14:paraId="4C2E3A95">
            <w:pPr>
              <w:spacing w:before="0" w:after="0"/>
            </w:pPr>
            <w:r>
              <w:rPr>
                <w:rFonts w:ascii="Arial" w:hAnsi="Arial"/>
                <w:sz w:val="18"/>
              </w:rPr>
              <w:t>5 (41.7%)</w:t>
            </w:r>
          </w:p>
        </w:tc>
        <w:tc>
          <w:tcPr>
            <w:tcW w:w="2493" w:type="dxa"/>
            <w:vAlign w:val="center"/>
          </w:tcPr>
          <w:p w14:paraId="31BE29C6">
            <w:pPr>
              <w:spacing w:before="0" w:after="0"/>
            </w:pPr>
            <w:r>
              <w:rPr>
                <w:rFonts w:ascii="Arial" w:hAnsi="Arial"/>
                <w:sz w:val="18"/>
              </w:rPr>
              <w:t>6 (46.2%)</w:t>
            </w:r>
          </w:p>
        </w:tc>
        <w:tc>
          <w:tcPr>
            <w:tcW w:w="2493" w:type="dxa"/>
            <w:vAlign w:val="center"/>
          </w:tcPr>
          <w:p w14:paraId="6831DD74">
            <w:pPr>
              <w:spacing w:before="0" w:after="0"/>
            </w:pPr>
            <w:r>
              <w:rPr>
                <w:rFonts w:ascii="Arial" w:hAnsi="Arial"/>
                <w:sz w:val="18"/>
              </w:rPr>
              <w:t>1.000</w:t>
            </w:r>
          </w:p>
        </w:tc>
      </w:tr>
      <w:tr w14:paraId="687CB760">
        <w:trPr>
          <w:jc w:val="center"/>
        </w:trPr>
        <w:tc>
          <w:tcPr>
            <w:tcW w:w="2493" w:type="dxa"/>
            <w:vAlign w:val="center"/>
          </w:tcPr>
          <w:p w14:paraId="5E9F0804">
            <w:pPr>
              <w:spacing w:before="0" w:after="0"/>
            </w:pPr>
            <w:r>
              <w:rPr>
                <w:rFonts w:ascii="Arial" w:hAnsi="Arial"/>
                <w:sz w:val="18"/>
              </w:rPr>
              <w:t>Motor presentation: Quadriparesis</w:t>
            </w:r>
          </w:p>
        </w:tc>
        <w:tc>
          <w:tcPr>
            <w:tcW w:w="2493" w:type="dxa"/>
            <w:vAlign w:val="center"/>
          </w:tcPr>
          <w:p w14:paraId="5528DACE">
            <w:pPr>
              <w:spacing w:before="0" w:after="0"/>
            </w:pPr>
            <w:r>
              <w:rPr>
                <w:rFonts w:ascii="Arial" w:hAnsi="Arial"/>
                <w:sz w:val="18"/>
              </w:rPr>
              <w:t>5 (41.7%)</w:t>
            </w:r>
          </w:p>
        </w:tc>
        <w:tc>
          <w:tcPr>
            <w:tcW w:w="2493" w:type="dxa"/>
            <w:vAlign w:val="center"/>
          </w:tcPr>
          <w:p w14:paraId="18192B5D">
            <w:pPr>
              <w:spacing w:before="0" w:after="0"/>
            </w:pPr>
            <w:r>
              <w:rPr>
                <w:rFonts w:ascii="Arial" w:hAnsi="Arial"/>
                <w:sz w:val="18"/>
              </w:rPr>
              <w:t>6 (46.2%)</w:t>
            </w:r>
          </w:p>
        </w:tc>
        <w:tc>
          <w:tcPr>
            <w:tcW w:w="2493" w:type="dxa"/>
            <w:vAlign w:val="center"/>
          </w:tcPr>
          <w:p w14:paraId="55F69190">
            <w:pPr>
              <w:spacing w:before="0" w:after="0"/>
            </w:pPr>
          </w:p>
        </w:tc>
      </w:tr>
      <w:tr w14:paraId="04005F63">
        <w:trPr>
          <w:jc w:val="center"/>
        </w:trPr>
        <w:tc>
          <w:tcPr>
            <w:tcW w:w="2493" w:type="dxa"/>
            <w:tcBorders>
              <w:bottom w:val="single" w:color="000000" w:sz="12" w:space="0"/>
            </w:tcBorders>
            <w:vAlign w:val="center"/>
          </w:tcPr>
          <w:p w14:paraId="3BAC680D">
            <w:pPr>
              <w:spacing w:before="0" w:after="0"/>
            </w:pPr>
            <w:r>
              <w:rPr>
                <w:rFonts w:ascii="Arial" w:hAnsi="Arial"/>
                <w:sz w:val="18"/>
              </w:rPr>
              <w:t>Motor presentation: Right hemiparesis</w:t>
            </w:r>
          </w:p>
        </w:tc>
        <w:tc>
          <w:tcPr>
            <w:tcW w:w="2493" w:type="dxa"/>
            <w:tcBorders>
              <w:bottom w:val="single" w:color="000000" w:sz="12" w:space="0"/>
            </w:tcBorders>
            <w:vAlign w:val="center"/>
          </w:tcPr>
          <w:p w14:paraId="49647DE7">
            <w:pPr>
              <w:spacing w:before="0" w:after="0"/>
            </w:pPr>
            <w:r>
              <w:rPr>
                <w:rFonts w:ascii="Arial" w:hAnsi="Arial"/>
                <w:sz w:val="18"/>
              </w:rPr>
              <w:t>2 (16.7%)</w:t>
            </w:r>
          </w:p>
        </w:tc>
        <w:tc>
          <w:tcPr>
            <w:tcW w:w="2493" w:type="dxa"/>
            <w:tcBorders>
              <w:bottom w:val="single" w:color="000000" w:sz="12" w:space="0"/>
            </w:tcBorders>
            <w:vAlign w:val="center"/>
          </w:tcPr>
          <w:p w14:paraId="67E6E471">
            <w:pPr>
              <w:spacing w:before="0" w:after="0"/>
            </w:pPr>
            <w:r>
              <w:rPr>
                <w:rFonts w:ascii="Arial" w:hAnsi="Arial"/>
                <w:sz w:val="18"/>
              </w:rPr>
              <w:t>1 (7.7%)</w:t>
            </w:r>
          </w:p>
        </w:tc>
        <w:tc>
          <w:tcPr>
            <w:tcW w:w="2493" w:type="dxa"/>
            <w:tcBorders>
              <w:bottom w:val="single" w:color="000000" w:sz="12" w:space="0"/>
            </w:tcBorders>
            <w:vAlign w:val="center"/>
          </w:tcPr>
          <w:p w14:paraId="5EB10274">
            <w:pPr>
              <w:spacing w:before="0" w:after="0"/>
            </w:pPr>
          </w:p>
        </w:tc>
      </w:tr>
    </w:tbl>
    <w:p w14:paraId="60FE1F20">
      <w:r>
        <w:rPr>
          <w:i/>
          <w:sz w:val="16"/>
        </w:rPr>
        <w:t>Data are mean ± SD or n (%). Welch independent-samples t tests were used for continuous variables. Categorical-variable P values are from exact condition</w:t>
      </w:r>
      <w:bookmarkStart w:id="0" w:name="_GoBack"/>
      <w:bookmarkEnd w:id="0"/>
      <w:r>
        <w:rPr>
          <w:i/>
          <w:sz w:val="16"/>
        </w:rPr>
        <w:t>al tests. MRI subgroup members were identified from the yellow (iTBS) and green (Sham) source-data markers.</w:t>
      </w:r>
    </w:p>
    <w:sectPr>
      <w:pgSz w:w="12240" w:h="15840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DFF6A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Sally</cp:lastModifiedBy>
  <dcterms:modified xsi:type="dcterms:W3CDTF">2026-07-20T12:54:38Z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DBB68066435B05AB0EAA5D6AD1D56170_42</vt:lpwstr>
  </property>
</Properties>
</file>