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61566">
      <w:pPr>
        <w:widowControl/>
        <w:spacing w:line="480" w:lineRule="auto"/>
        <w:jc w:val="center"/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ascii="Times New Roman" w:hAnsi="Times New Roman"/>
          <w:b/>
          <w:bCs/>
          <w:sz w:val="24"/>
        </w:rPr>
        <w:t>SUPPLEMENTAL MATERIALS</w:t>
      </w:r>
    </w:p>
    <w:p w14:paraId="4FEE106F">
      <w:pP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Table S1. Phenotyping algorithms in UK Biobank</w:t>
      </w:r>
    </w:p>
    <w:tbl>
      <w:tblPr>
        <w:tblStyle w:val="2"/>
        <w:tblpPr w:leftFromText="180" w:rightFromText="180" w:vertAnchor="text" w:horzAnchor="page" w:tblpX="1884" w:tblpY="131"/>
        <w:tblOverlap w:val="never"/>
        <w:tblW w:w="84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1843"/>
        <w:gridCol w:w="4515"/>
      </w:tblGrid>
      <w:tr w14:paraId="19060D16">
        <w:trPr>
          <w:trHeight w:val="336" w:hRule="atLeast"/>
        </w:trPr>
        <w:tc>
          <w:tcPr>
            <w:tcW w:w="2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B00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Phenotype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647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Source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B29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Code</w:t>
            </w:r>
          </w:p>
        </w:tc>
      </w:tr>
      <w:tr w14:paraId="4518AA88">
        <w:trPr>
          <w:trHeight w:val="336" w:hRule="atLeast"/>
        </w:trPr>
        <w:tc>
          <w:tcPr>
            <w:tcW w:w="20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18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E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Field ID 20002</w:t>
            </w:r>
          </w:p>
        </w:tc>
        <w:tc>
          <w:tcPr>
            <w:tcW w:w="45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08A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1065, 1072</w:t>
            </w:r>
          </w:p>
        </w:tc>
      </w:tr>
      <w:tr w14:paraId="6D02D6A3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58FF3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86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Field ID 6150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D32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6F963588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87DCD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FE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Field ID 6153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56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03B1ADC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D8CCE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33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Field ID 6177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02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F2159AC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6B2F6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F9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ICD-9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925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401, 4010, 4011, 4019, 402, 4020, 4021, 4029, 403, 4031, 4039, 404, 4040, 4041, 4049, 405, 4050, 4051, 4059</w:t>
            </w:r>
          </w:p>
        </w:tc>
      </w:tr>
      <w:tr w14:paraId="592B7740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5408A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35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ICD-10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005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I10, I11, I110, I119, I12, I120, I129, I13, I130, I131, I132, I139, I15, I150, I151, I152, I158, I159</w:t>
            </w:r>
          </w:p>
        </w:tc>
      </w:tr>
      <w:tr w14:paraId="7211875F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82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2 Diabetes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0A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Field ID 20002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88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1220, 1223</w:t>
            </w:r>
          </w:p>
        </w:tc>
      </w:tr>
      <w:tr w14:paraId="3CF8B31D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CCE8D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9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ICD-10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534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E11, E11.0, E11.1, E11.2, E11.3, E11.4, E11.5, E11.6, E11.7, E11.8, E11.9</w:t>
            </w:r>
          </w:p>
        </w:tc>
      </w:tr>
      <w:tr w14:paraId="66DC53F1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3C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Coronary Artery Disease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1C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Field ID 20002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F86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</w:tr>
      <w:tr w14:paraId="1BC116B7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C939D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C5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Field ID 20004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6B2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1095, 1070, 1523</w:t>
            </w:r>
          </w:p>
        </w:tc>
      </w:tr>
      <w:tr w14:paraId="689F85B5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7D56F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9F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ICD-9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B0C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410, 4109, 411, 4119, 412, 4129</w:t>
            </w:r>
          </w:p>
        </w:tc>
      </w:tr>
      <w:tr w14:paraId="7F97BC08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4B97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2E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ICD-10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418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I21, I21.0, I21.1, I21.2, I21.3, I21.4, I21.9, I22, I22.0, I22.1, I22.8, I22.9, I23, I23.0, I23.1, I23.2, I23.3, I23.4, I23.5, I23.6, I23.8, I24, I24.0, I24.1, I24.8, I24.9, I25.2</w:t>
            </w:r>
          </w:p>
        </w:tc>
      </w:tr>
      <w:tr w14:paraId="59835B51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6BD18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34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OPCS4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F3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K40, K40.1, K40.2, K40.3, K40.4, K40.8, K40.9, K41, K41.1, K41.2, K41.3, K41.4, K41.8, K41.9, K42, K42.1, K42.2, K42.3, K42.4, K42.8, K42.9, K43, K43.1, K43.2, K43.3, K43.4, K43.8, K43.9, K44, K44.1, K44.2, K44.8, K44.9, K45.1, K45.2, K45.3, K45.4, K45.5, K45.6, K45.8, K45.9, K46, K46.1, K46.2, K46.3, K46.4, K46.5, K46.8, K46.9, K49.1, K49.2, K49.3, K49.4, K49.8, K49.9, K50.1, K50.2, K50.4, K75.1, K75.2, K75.3, K75.4, K75.8, K75.9</w:t>
            </w:r>
          </w:p>
        </w:tc>
      </w:tr>
      <w:tr w14:paraId="6BD3735E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8E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Atrial fibrillation/flutter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3F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Field ID 20002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DCA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1471</w:t>
            </w:r>
          </w:p>
        </w:tc>
      </w:tr>
      <w:tr w14:paraId="5AF6CFF9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893A2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50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ICD-9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1C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4273</w:t>
            </w:r>
          </w:p>
        </w:tc>
      </w:tr>
      <w:tr w14:paraId="55F79CE9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6AA89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08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ICD-10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36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I480, I481, I482, I483, I484, I489</w:t>
            </w:r>
          </w:p>
        </w:tc>
      </w:tr>
      <w:tr w14:paraId="1A6D92D7">
        <w:trPr>
          <w:trHeight w:val="336" w:hRule="atLeast"/>
        </w:trPr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8A66C3"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D5B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OPCS4</w:t>
            </w:r>
          </w:p>
        </w:tc>
        <w:tc>
          <w:tcPr>
            <w:tcW w:w="45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093F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K571, K62, K621, K622, K623, K624, K625</w:t>
            </w:r>
          </w:p>
        </w:tc>
      </w:tr>
    </w:tbl>
    <w:p w14:paraId="165D0D42">
      <w:pPr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br w:type="page"/>
      </w:r>
    </w:p>
    <w:p w14:paraId="370B9226">
      <w:pP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Table S2. Adjusted Associations of Prolonged P-wave duration(PWD) With the Risk of Outcomes</w:t>
      </w:r>
    </w:p>
    <w:tbl>
      <w:tblPr>
        <w:tblStyle w:val="2"/>
        <w:tblpPr w:leftFromText="180" w:rightFromText="180" w:vertAnchor="text" w:horzAnchor="page" w:tblpX="1904" w:tblpY="15"/>
        <w:tblOverlap w:val="never"/>
        <w:tblW w:w="80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6"/>
        <w:gridCol w:w="2152"/>
        <w:gridCol w:w="1138"/>
      </w:tblGrid>
      <w:tr w14:paraId="206398CD">
        <w:trPr>
          <w:trHeight w:val="336" w:hRule="atLeast"/>
        </w:trPr>
        <w:tc>
          <w:tcPr>
            <w:tcW w:w="47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CD3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Outcome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3E09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HR(95% CI)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531C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value</w:t>
            </w:r>
          </w:p>
        </w:tc>
      </w:tr>
      <w:tr w14:paraId="4BA10AF2">
        <w:trPr>
          <w:trHeight w:val="336" w:hRule="atLeast"/>
        </w:trPr>
        <w:tc>
          <w:tcPr>
            <w:tcW w:w="47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3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</w:t>
            </w:r>
          </w:p>
        </w:tc>
        <w:tc>
          <w:tcPr>
            <w:tcW w:w="21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857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0.73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(0.46-1.18)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5F0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0.20</w:t>
            </w:r>
          </w:p>
        </w:tc>
      </w:tr>
      <w:tr w14:paraId="6747CC3A">
        <w:trPr>
          <w:trHeight w:val="336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09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 and death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9B3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0.89(0.68-1.18)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3B9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0.42</w:t>
            </w:r>
          </w:p>
        </w:tc>
      </w:tr>
      <w:tr w14:paraId="3E169556">
        <w:trPr>
          <w:trHeight w:val="336" w:hRule="atLeast"/>
        </w:trPr>
        <w:tc>
          <w:tcPr>
            <w:tcW w:w="47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AA4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HF(Fine–Gray competing risk model )</w:t>
            </w:r>
          </w:p>
        </w:tc>
        <w:tc>
          <w:tcPr>
            <w:tcW w:w="21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AFFA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0.75(0.45-1.25)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7DA4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  <w:t>0.27</w:t>
            </w:r>
          </w:p>
        </w:tc>
      </w:tr>
    </w:tbl>
    <w:p w14:paraId="63977B26">
      <w:pPr>
        <w:numPr>
          <w:ilvl w:val="0"/>
          <w:numId w:val="1"/>
        </w:numP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Prolonged P-wave duration was defined as &gt;120 ms.</w:t>
      </w:r>
    </w:p>
    <w:p w14:paraId="6F1B50B4">
      <w:pP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The Fine–Gray competing risk model and Cox regression model were adjusted for age, sex, body mass index, race, hypertension, type 2 diabetes, coronary artery disease, atrial fibrillation, left ventricular mass index (LVMI), global longitudinal strain (GLS), and left ventricular ejection fraction (LVEF).</w:t>
      </w:r>
    </w:p>
    <w:p w14:paraId="5FF2D4AA">
      <w:pPr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br w:type="page"/>
      </w:r>
    </w:p>
    <w:p w14:paraId="2EA17E82">
      <w:pPr>
        <w:numPr>
          <w:ilvl w:val="0"/>
          <w:numId w:val="0"/>
        </w:numPr>
        <w:rPr>
          <w:rFonts w:hint="default" w:ascii="Times New Roman Bold" w:hAnsi="Times New Roman Bold" w:cs="Times New Roman Bold" w:eastAsiaTheme="minorEastAsia"/>
          <w:b/>
          <w:bCs/>
          <w:sz w:val="24"/>
          <w:szCs w:val="32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32"/>
          <w:lang w:val="en-US" w:eastAsia="zh-CN"/>
        </w:rPr>
        <w:t xml:space="preserve">Table S3. </w:t>
      </w: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32"/>
        </w:rPr>
        <w:t>Top 10</w:t>
      </w:r>
      <w:r>
        <w:rPr>
          <w:rFonts w:hint="default" w:ascii="Times New Roman Bold" w:hAnsi="Times New Roman Bold" w:cs="Times New Roman Bold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 w:eastAsiaTheme="minorEastAsia"/>
          <w:b/>
          <w:bCs/>
          <w:sz w:val="24"/>
          <w:szCs w:val="32"/>
        </w:rPr>
        <w:t>MSRSM cutoff points from Bootstrap validation (n=5000).</w:t>
      </w:r>
    </w:p>
    <w:tbl>
      <w:tblPr>
        <w:tblStyle w:val="3"/>
        <w:tblW w:w="82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3"/>
        <w:gridCol w:w="4103"/>
      </w:tblGrid>
      <w:tr w14:paraId="398F1966">
        <w:trPr>
          <w:trHeight w:val="310" w:hRule="atLeast"/>
          <w:jc w:val="center"/>
        </w:trPr>
        <w:tc>
          <w:tcPr>
            <w:tcW w:w="4103" w:type="dxa"/>
            <w:tcBorders>
              <w:top w:val="single" w:color="auto" w:sz="4" w:space="0"/>
              <w:bottom w:val="single" w:color="auto" w:sz="4" w:space="0"/>
            </w:tcBorders>
          </w:tcPr>
          <w:p w14:paraId="44288EFB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Cs w:val="24"/>
              </w:rPr>
              <w:t>Cutoff point</w:t>
            </w:r>
          </w:p>
        </w:tc>
        <w:tc>
          <w:tcPr>
            <w:tcW w:w="4103" w:type="dxa"/>
            <w:tcBorders>
              <w:top w:val="single" w:color="auto" w:sz="4" w:space="0"/>
              <w:bottom w:val="single" w:color="auto" w:sz="4" w:space="0"/>
            </w:tcBorders>
          </w:tcPr>
          <w:p w14:paraId="6A688C04">
            <w:pPr>
              <w:spacing w:line="360" w:lineRule="auto"/>
              <w:jc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Cs w:val="24"/>
              </w:rPr>
              <w:t>Frequency</w:t>
            </w:r>
          </w:p>
        </w:tc>
      </w:tr>
      <w:tr w14:paraId="6A6DDA8F">
        <w:trPr>
          <w:trHeight w:val="310" w:hRule="atLeast"/>
          <w:jc w:val="center"/>
        </w:trPr>
        <w:tc>
          <w:tcPr>
            <w:tcW w:w="4103" w:type="dxa"/>
            <w:tcBorders>
              <w:top w:val="single" w:color="auto" w:sz="4" w:space="0"/>
            </w:tcBorders>
            <w:vAlign w:val="center"/>
          </w:tcPr>
          <w:p w14:paraId="078F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49.40</w:t>
            </w:r>
          </w:p>
        </w:tc>
        <w:tc>
          <w:tcPr>
            <w:tcW w:w="4103" w:type="dxa"/>
            <w:tcBorders>
              <w:top w:val="single" w:color="auto" w:sz="4" w:space="0"/>
            </w:tcBorders>
            <w:vAlign w:val="center"/>
          </w:tcPr>
          <w:p w14:paraId="492BE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</w:t>
            </w:r>
          </w:p>
        </w:tc>
      </w:tr>
      <w:tr w14:paraId="2BDD6852">
        <w:trPr>
          <w:trHeight w:val="310" w:hRule="atLeast"/>
          <w:jc w:val="center"/>
        </w:trPr>
        <w:tc>
          <w:tcPr>
            <w:tcW w:w="4103" w:type="dxa"/>
            <w:vAlign w:val="center"/>
          </w:tcPr>
          <w:p w14:paraId="1B9C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50.11</w:t>
            </w:r>
          </w:p>
        </w:tc>
        <w:tc>
          <w:tcPr>
            <w:tcW w:w="4103" w:type="dxa"/>
            <w:vAlign w:val="center"/>
          </w:tcPr>
          <w:p w14:paraId="161D1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</w:tr>
      <w:tr w14:paraId="52DC9129">
        <w:trPr>
          <w:trHeight w:val="310" w:hRule="atLeast"/>
          <w:jc w:val="center"/>
        </w:trPr>
        <w:tc>
          <w:tcPr>
            <w:tcW w:w="4103" w:type="dxa"/>
            <w:vAlign w:val="center"/>
          </w:tcPr>
          <w:p w14:paraId="1F107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49.14</w:t>
            </w:r>
          </w:p>
        </w:tc>
        <w:tc>
          <w:tcPr>
            <w:tcW w:w="4103" w:type="dxa"/>
            <w:vAlign w:val="center"/>
          </w:tcPr>
          <w:p w14:paraId="0493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</w:tr>
      <w:tr w14:paraId="0C97A9C8">
        <w:trPr>
          <w:trHeight w:val="310" w:hRule="atLeast"/>
          <w:jc w:val="center"/>
        </w:trPr>
        <w:tc>
          <w:tcPr>
            <w:tcW w:w="4103" w:type="dxa"/>
            <w:vAlign w:val="center"/>
          </w:tcPr>
          <w:p w14:paraId="5B17C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49.33</w:t>
            </w:r>
          </w:p>
        </w:tc>
        <w:tc>
          <w:tcPr>
            <w:tcW w:w="4103" w:type="dxa"/>
            <w:vAlign w:val="center"/>
          </w:tcPr>
          <w:p w14:paraId="7AE0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</w:tr>
      <w:tr w14:paraId="363B9A86">
        <w:trPr>
          <w:trHeight w:val="310" w:hRule="atLeast"/>
          <w:jc w:val="center"/>
        </w:trPr>
        <w:tc>
          <w:tcPr>
            <w:tcW w:w="4103" w:type="dxa"/>
            <w:vAlign w:val="center"/>
          </w:tcPr>
          <w:p w14:paraId="3524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49.89</w:t>
            </w:r>
          </w:p>
        </w:tc>
        <w:tc>
          <w:tcPr>
            <w:tcW w:w="4103" w:type="dxa"/>
            <w:vAlign w:val="center"/>
          </w:tcPr>
          <w:p w14:paraId="42447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</w:tr>
      <w:tr w14:paraId="4ADAD924">
        <w:trPr>
          <w:trHeight w:val="310" w:hRule="atLeast"/>
          <w:jc w:val="center"/>
        </w:trPr>
        <w:tc>
          <w:tcPr>
            <w:tcW w:w="4103" w:type="dxa"/>
            <w:vAlign w:val="center"/>
          </w:tcPr>
          <w:p w14:paraId="6489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49.13</w:t>
            </w:r>
          </w:p>
        </w:tc>
        <w:tc>
          <w:tcPr>
            <w:tcW w:w="4103" w:type="dxa"/>
            <w:vAlign w:val="center"/>
          </w:tcPr>
          <w:p w14:paraId="4C61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</w:tr>
      <w:tr w14:paraId="3B73C3EF">
        <w:trPr>
          <w:trHeight w:val="310" w:hRule="atLeast"/>
          <w:jc w:val="center"/>
        </w:trPr>
        <w:tc>
          <w:tcPr>
            <w:tcW w:w="4103" w:type="dxa"/>
            <w:vAlign w:val="center"/>
          </w:tcPr>
          <w:p w14:paraId="618E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49.79</w:t>
            </w:r>
          </w:p>
        </w:tc>
        <w:tc>
          <w:tcPr>
            <w:tcW w:w="4103" w:type="dxa"/>
            <w:vAlign w:val="center"/>
          </w:tcPr>
          <w:p w14:paraId="5E30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</w:tr>
      <w:tr w14:paraId="42AFB3A2">
        <w:trPr>
          <w:trHeight w:val="310" w:hRule="atLeast"/>
          <w:jc w:val="center"/>
        </w:trPr>
        <w:tc>
          <w:tcPr>
            <w:tcW w:w="4103" w:type="dxa"/>
            <w:vAlign w:val="center"/>
          </w:tcPr>
          <w:p w14:paraId="7931F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49.59</w:t>
            </w:r>
          </w:p>
        </w:tc>
        <w:tc>
          <w:tcPr>
            <w:tcW w:w="4103" w:type="dxa"/>
            <w:vAlign w:val="center"/>
          </w:tcPr>
          <w:p w14:paraId="4F145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</w:tr>
      <w:tr w14:paraId="0FD58B2A">
        <w:trPr>
          <w:trHeight w:val="310" w:hRule="atLeast"/>
          <w:jc w:val="center"/>
        </w:trPr>
        <w:tc>
          <w:tcPr>
            <w:tcW w:w="4103" w:type="dxa"/>
            <w:vAlign w:val="center"/>
          </w:tcPr>
          <w:p w14:paraId="07E8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49.3</w:t>
            </w:r>
          </w:p>
        </w:tc>
        <w:tc>
          <w:tcPr>
            <w:tcW w:w="4103" w:type="dxa"/>
            <w:vAlign w:val="center"/>
          </w:tcPr>
          <w:p w14:paraId="5184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</w:tr>
      <w:tr w14:paraId="465FEDFF">
        <w:trPr>
          <w:trHeight w:val="310" w:hRule="atLeast"/>
          <w:jc w:val="center"/>
        </w:trPr>
        <w:tc>
          <w:tcPr>
            <w:tcW w:w="4103" w:type="dxa"/>
            <w:vAlign w:val="center"/>
          </w:tcPr>
          <w:p w14:paraId="3971A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50.1</w:t>
            </w:r>
          </w:p>
        </w:tc>
        <w:tc>
          <w:tcPr>
            <w:tcW w:w="4103" w:type="dxa"/>
            <w:vAlign w:val="center"/>
          </w:tcPr>
          <w:p w14:paraId="5BD31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</w:tr>
      <w:tr w14:paraId="3B383378">
        <w:trPr>
          <w:trHeight w:val="310" w:hRule="atLeast"/>
          <w:jc w:val="center"/>
        </w:trPr>
        <w:tc>
          <w:tcPr>
            <w:tcW w:w="8206" w:type="dxa"/>
            <w:gridSpan w:val="2"/>
            <w:tcBorders>
              <w:bottom w:val="single" w:color="auto" w:sz="4" w:space="0"/>
            </w:tcBorders>
          </w:tcPr>
          <w:p w14:paraId="13DAF8F7">
            <w:pPr>
              <w:spacing w:line="360" w:lineRule="auto"/>
              <w:jc w:val="left"/>
              <w:rPr>
                <w:rFonts w:hint="default" w:ascii="Times New Roman Regular" w:hAnsi="Times New Roman Regular" w:cs="Times New Roman Regular" w:eastAsiaTheme="minorEastAsia"/>
                <w:szCs w:val="24"/>
              </w:rPr>
            </w:pPr>
            <w:r>
              <w:rPr>
                <w:rFonts w:hint="default" w:ascii="Times New Roman Regular" w:hAnsi="Times New Roman Regular" w:cs="Times New Roman Regular" w:eastAsiaTheme="minorEastAsia"/>
                <w:szCs w:val="24"/>
              </w:rPr>
              <w:t>Median (95% CI) of MSRSM = 49.</w:t>
            </w:r>
            <w:r>
              <w:rPr>
                <w:rFonts w:hint="default" w:ascii="Times New Roman Regular" w:hAnsi="Times New Roman Regular" w:cs="Times New Roman Regular"/>
                <w:szCs w:val="24"/>
                <w:lang w:val="en-US"/>
              </w:rPr>
              <w:t>40 (</w:t>
            </w:r>
            <w:r>
              <w:rPr>
                <w:rFonts w:hint="default" w:ascii="Times New Roman Regular" w:hAnsi="Times New Roman Regular" w:cs="Times New Roman Regular" w:eastAsiaTheme="minorEastAsia"/>
                <w:szCs w:val="24"/>
              </w:rPr>
              <w:t>49.1</w:t>
            </w:r>
            <w:r>
              <w:rPr>
                <w:rFonts w:hint="default" w:ascii="Times New Roman Regular" w:hAnsi="Times New Roman Regular" w:cs="Times New Roman Regular"/>
                <w:szCs w:val="24"/>
                <w:lang w:val="en-US"/>
              </w:rPr>
              <w:t>3</w:t>
            </w:r>
            <w:r>
              <w:rPr>
                <w:rFonts w:hint="default" w:ascii="Times New Roman Regular" w:hAnsi="Times New Roman Regular" w:cs="Times New Roman Regular" w:eastAsiaTheme="minorEastAsia"/>
                <w:szCs w:val="24"/>
              </w:rPr>
              <w:t>, 54.3</w:t>
            </w:r>
            <w:r>
              <w:rPr>
                <w:rFonts w:hint="default" w:ascii="Times New Roman Regular" w:hAnsi="Times New Roman Regular" w:cs="Times New Roman Regular"/>
                <w:szCs w:val="24"/>
                <w:lang w:val="en-US"/>
              </w:rPr>
              <w:t>1)</w:t>
            </w:r>
            <w:r>
              <w:rPr>
                <w:rFonts w:hint="default" w:ascii="Times New Roman Regular" w:hAnsi="Times New Roman Regular" w:cs="Times New Roman Regular" w:eastAsiaTheme="minorEastAsia"/>
                <w:szCs w:val="24"/>
              </w:rPr>
              <w:t>.</w:t>
            </w:r>
          </w:p>
          <w:p w14:paraId="683E6343">
            <w:pPr>
              <w:spacing w:line="360" w:lineRule="auto"/>
              <w:jc w:val="left"/>
              <w:rPr>
                <w:rFonts w:hint="default" w:ascii="Times New Roman Regular" w:hAnsi="Times New Roman Regular" w:cs="Times New Roman Regular" w:eastAsiaTheme="minorEastAsia"/>
                <w:szCs w:val="24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szCs w:val="24"/>
                <w:lang w:val="en-US"/>
              </w:rPr>
              <w:t xml:space="preserve">Abbreviation: </w:t>
            </w:r>
            <w:r>
              <w:rPr>
                <w:rFonts w:hint="default" w:ascii="Times New Roman Regular" w:hAnsi="Times New Roman Regular" w:cs="Times New Roman Regular" w:eastAsiaTheme="minorEastAsia"/>
                <w:szCs w:val="24"/>
              </w:rPr>
              <w:t>MSRSM, maximally selected rank statistics method</w:t>
            </w:r>
            <w:r>
              <w:rPr>
                <w:rFonts w:hint="default" w:ascii="Times New Roman Regular" w:hAnsi="Times New Roman Regular" w:cs="Times New Roman Regular"/>
                <w:szCs w:val="24"/>
                <w:lang w:val="en-US"/>
              </w:rPr>
              <w:t>.</w:t>
            </w:r>
          </w:p>
        </w:tc>
      </w:tr>
    </w:tbl>
    <w:p w14:paraId="63F2E0F5">
      <w:pPr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br w:type="page"/>
      </w:r>
    </w:p>
    <w:p w14:paraId="202D2781">
      <w:pPr>
        <w:spacing w:line="480" w:lineRule="auto"/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414655</wp:posOffset>
            </wp:positionV>
            <wp:extent cx="5263515" cy="3352165"/>
            <wp:effectExtent l="0" t="0" r="19685" b="635"/>
            <wp:wrapTopAndBottom/>
            <wp:docPr id="8" name="图片 8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igures and Figure legends</w:t>
      </w:r>
      <w:r>
        <w:rPr>
          <w:rFonts w:hint="eastAsia" w:ascii="Times New Roman" w:hAnsi="Times New Roman"/>
          <w:b/>
          <w:bCs/>
          <w:sz w:val="24"/>
          <w:szCs w:val="28"/>
        </w:rPr>
        <w:t xml:space="preserve"> </w:t>
      </w:r>
    </w:p>
    <w:p w14:paraId="7923D8B7">
      <w:pPr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>Figure S1. Flow Diagram of the Study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BMI, body-mass index; CMR, cardiac magnetic resonance; ECG, electrocardiogram; HF, heart failure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.</w:t>
      </w:r>
      <w:r>
        <w:rPr>
          <w:rFonts w:hint="default" w:ascii="Times New Roman Regular" w:hAnsi="Times New Roman Regular" w:cs="Times New Roman Regular"/>
          <w:lang w:val="en-US" w:eastAsia="zh-CN"/>
        </w:rPr>
        <w:br w:type="page"/>
      </w:r>
    </w:p>
    <w:p w14:paraId="57343EE1">
      <w:pPr>
        <w:rPr>
          <w:rFonts w:hint="default" w:ascii="Times New Roman Bold" w:hAnsi="Times New Roman Bold" w:eastAsia="Times New Roman Regular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Bold" w:hAnsi="Times New Roman Bold" w:eastAsia="Times New Roman Regular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46355</wp:posOffset>
            </wp:positionV>
            <wp:extent cx="5274310" cy="1978025"/>
            <wp:effectExtent l="0" t="0" r="8890" b="3175"/>
            <wp:wrapTopAndBottom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Figure S2. </w:t>
      </w:r>
      <w:r>
        <w:rPr>
          <w:rFonts w:hint="default" w:ascii="Times New Roman Bold" w:hAnsi="Times New Roman Bold" w:eastAsia="Times New Roman Regular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Associations Between AtCM Markers and Incident HF and Death</w:t>
      </w:r>
    </w:p>
    <w:p w14:paraId="35BA6341">
      <w:pPr>
        <w:numPr>
          <w:numId w:val="0"/>
        </w:numP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>The Cox regression model was adjusted for age, sex, body mass index, race, hypertension, type 2 diabetes, coronary artery disease, atrial fibrillation, CMR imaging center, left ventricular mass index, global longitudinal strain, and left ventricular ejection fraction.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The continuous variables of LAViMax, LAViMin, RAViMax and RAViMin were standardized, and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Hazards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ratios represent the association per 1–standard deviation increase.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The continuous variables of LAEF and RAEF standardized, and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Hazards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ratios represent the association per 1–standard deviation decrease.</w:t>
      </w:r>
    </w:p>
    <w:p w14:paraId="16395231">
      <w:pP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page"/>
      </w:r>
    </w:p>
    <w:p w14:paraId="67536CE3">
      <w:pPr>
        <w:rPr>
          <w:rFonts w:hint="default" w:ascii="Times New Roman Bold" w:hAnsi="Times New Roman Bold" w:eastAsia="Times New Roman Regular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Bold" w:hAnsi="Times New Roman Bold" w:eastAsia="Times New Roman Regular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38735</wp:posOffset>
            </wp:positionV>
            <wp:extent cx="5274310" cy="1978025"/>
            <wp:effectExtent l="0" t="0" r="8890" b="3175"/>
            <wp:wrapTopAndBottom/>
            <wp:docPr id="4" name="图片 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Figure S3. </w:t>
      </w:r>
      <w:r>
        <w:rPr>
          <w:rFonts w:hint="default" w:ascii="Times New Roman Bold" w:hAnsi="Times New Roman Bold" w:eastAsia="Times New Roman Regular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Associations Between AtCM Markers and Incident HF by the Fine–Gray Competing Risk Model</w:t>
      </w:r>
    </w:p>
    <w:p w14:paraId="5F4C2AC8">
      <w:pPr>
        <w:numPr>
          <w:numId w:val="0"/>
        </w:numP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The Fine–Gray competing risk model was adjusted for age, sex, body mass index, race, hypertension, type 2 diabetes, coronary artery disease, atrial fibrillation, left ventricular mass index (LVMI), global longitudinal strain (GLS), and left ventricular ejection fraction (LVEF).</w:t>
      </w:r>
      <w:r>
        <w:rPr>
          <w:rFonts w:hint="eastAsia" w:ascii="Times New Roman Regular" w:hAnsi="Times New Roman Regular" w:eastAsia="Times New Roman Regular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LAViMax, LAViMin, RAViMax and RAViMin were standardized, and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Hazards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ratios represent the association per 1–standard deviation increase.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LAEF and RAEF standardized, and </w:t>
      </w:r>
      <w:r>
        <w:rPr>
          <w:rFonts w:hint="eastAsia" w:ascii="Times New Roman Regular" w:hAnsi="Times New Roman Regular" w:cs="Times New Roman Regular"/>
          <w:sz w:val="24"/>
          <w:szCs w:val="24"/>
          <w:lang w:val="en-US" w:eastAsia="zh-CN"/>
        </w:rPr>
        <w:t>Hazards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CN"/>
        </w:rPr>
        <w:t xml:space="preserve"> ratios represent the association per 1–standard deviation decrease.</w:t>
      </w:r>
    </w:p>
    <w:p w14:paraId="1928B8BE">
      <w:pPr>
        <w:rPr>
          <w:rFonts w:hint="default" w:ascii="Times New Roman Regular" w:hAnsi="Times New Roman Regular" w:cs="Times New Roman Regular"/>
          <w:lang w:val="en-US" w:eastAsia="zh-CN"/>
        </w:rPr>
      </w:pPr>
      <w:r>
        <w:rPr>
          <w:rFonts w:hint="default" w:ascii="Times New Roman Regular" w:hAnsi="Times New Roman Regular" w:cs="Times New Roman Regular"/>
          <w:lang w:val="en-US" w:eastAsia="zh-CN"/>
        </w:rPr>
        <w:br w:type="page"/>
      </w:r>
    </w:p>
    <w:p w14:paraId="525D43BA">
      <w:pPr>
        <w:numPr>
          <w:ilvl w:val="0"/>
          <w:numId w:val="0"/>
        </w:numP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55880</wp:posOffset>
            </wp:positionV>
            <wp:extent cx="5266690" cy="2106930"/>
            <wp:effectExtent l="0" t="0" r="16510" b="1270"/>
            <wp:wrapTopAndBottom/>
            <wp:docPr id="11" name="图片 11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CN"/>
        </w:rPr>
        <w:t xml:space="preserve">Figure S4. </w:t>
      </w: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Time-dependent ROC curves comparing ARIC score with and without LAViMax for prediction of heart failure at 3 and 5 years</w:t>
      </w:r>
    </w:p>
    <w:p w14:paraId="5431CEF3">
      <w:pPr>
        <w:numPr>
          <w:numId w:val="0"/>
        </w:numPr>
        <w:rPr>
          <w:rFonts w:hint="eastAsia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The cut-off point of LAViMax was 60 ml</w:t>
      </w:r>
      <w:r>
        <w:rPr>
          <w:rFonts w:hint="eastAsia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/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m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vertAlign w:val="superscript"/>
          <w:lang w:val="en-US" w:eastAsia="zh-CN" w:bidi="ar"/>
        </w:rPr>
        <w:t>2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vertAlign w:val="baseline"/>
          <w:lang w:val="en-US" w:eastAsia="zh-CN" w:bidi="ar"/>
        </w:rPr>
        <w:t xml:space="preserve">. 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The ARIC model includes age, race, sex, heart rate, systolic blood pressure, antihypertensive medication use, diabetes, prevalent coronary heart disease, smoking status, and body mass index. P values were calculated using 1000 bootstrap resamples to assess differences in AUC between models.</w:t>
      </w:r>
    </w:p>
    <w:p w14:paraId="4B12972B">
      <w:pPr>
        <w:rPr>
          <w:rFonts w:hint="eastAsia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</w:p>
    <w:p w14:paraId="4893CE0F">
      <w:pPr>
        <w:numPr>
          <w:ilvl w:val="0"/>
          <w:numId w:val="0"/>
        </w:numP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25400</wp:posOffset>
            </wp:positionV>
            <wp:extent cx="5266690" cy="2106930"/>
            <wp:effectExtent l="0" t="0" r="16510" b="1270"/>
            <wp:wrapTopAndBottom/>
            <wp:docPr id="12" name="图片 12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ure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 Bold" w:hAnsi="Times New Roman Bold" w:eastAsia="宋体" w:cs="Times New Roman Bold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Figure S5. Time-dependent ROC curves comparing ARIC score with and without LAViMin for prediction of heart failure at 3 and 5 years</w:t>
      </w:r>
    </w:p>
    <w:p w14:paraId="14FE0D03">
      <w:pPr>
        <w:numPr>
          <w:numId w:val="0"/>
        </w:numP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The cut-off point of LAViMin was 30 ml</w:t>
      </w:r>
      <w:r>
        <w:rPr>
          <w:rFonts w:hint="eastAsia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/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m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vertAlign w:val="superscript"/>
          <w:lang w:val="en-US" w:eastAsia="zh-CN" w:bidi="ar"/>
        </w:rPr>
        <w:t>2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vertAlign w:val="baseline"/>
          <w:lang w:val="en-US" w:eastAsia="zh-CN" w:bidi="ar"/>
        </w:rPr>
        <w:t xml:space="preserve">. </w:t>
      </w:r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The ARIC model includes age, race, sex, heart rate, systolic blood pressure, antihypertensive medication use, diabetes, prevalent coronary heart disease, smoking status, and body mass index. </w:t>
      </w:r>
      <w:bookmarkStart w:id="0" w:name="_GoBack"/>
      <w:bookmarkEnd w:id="0"/>
      <w: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P values were calculated using 1000 bootstrap resamples to assess differences in AUC between models.</w:t>
      </w:r>
    </w:p>
    <w:p w14:paraId="1A7D6F69">
      <w:pPr>
        <w:numPr>
          <w:ilvl w:val="0"/>
          <w:numId w:val="0"/>
        </w:numPr>
        <w:rPr>
          <w:rFonts w:hint="default" w:ascii="Times New Roman Regular" w:hAnsi="Times New Roman Regular" w:eastAsia="宋体" w:cs="Times New Roman Regular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 w14:paraId="24C610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6421"/>
    <w:multiLevelType w:val="singleLevel"/>
    <w:tmpl w:val="FFFF6421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F4EBB"/>
    <w:rsid w:val="FFB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2026-05-19T09:04:00Z</dcterms:created>
  <dc:creator>郭航</dc:creator>
  <cp:lastModifiedBy>郭航</cp:lastModifiedBy>
  <dcterms:modified xsi:type="dcterms:W3CDTF">2026-05-19T09:12:26Z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2D25E3BDA3EBC2032BB70B6AFB3E1079_41</vt:lpwstr>
  </property>
</Properties>
</file>