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251CD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71135" cy="2400935"/>
            <wp:effectExtent l="0" t="0" r="1905" b="698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 xml:space="preserve">Fig. S1 </w:t>
      </w:r>
      <w:bookmarkStart w:id="0" w:name="_GoBack"/>
      <w:bookmarkEnd w:id="0"/>
      <w:r>
        <w:rPr>
          <w:rFonts w:hint="default" w:ascii="Times New Roman" w:hAnsi="Times New Roman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>Powder X-ray diffraction</w:t>
      </w:r>
      <w:r>
        <w:rPr>
          <w:rFonts w:hint="eastAsia" w:ascii="Times New Roman" w:hAnsi="Times New Roman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>of</w:t>
      </w:r>
      <w:r>
        <w:rPr>
          <w:rFonts w:hint="eastAsia" w:ascii="Times New Roman" w:hAnsi="Times New Roman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 xml:space="preserve"> Taulipro.</w:t>
      </w:r>
    </w:p>
    <w:p w14:paraId="0F29437D"/>
    <w:p w14:paraId="2A84C39F"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9865" cy="3148330"/>
            <wp:effectExtent l="0" t="0" r="3175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4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 xml:space="preserve">Fig. S2 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>Powder</w:t>
      </w:r>
      <w:r>
        <w:rPr>
          <w:rFonts w:hint="eastAsia" w:ascii="Times New Roman" w:hAnsi="Times New Roman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>X-ray diffraction</w:t>
      </w:r>
      <w:r>
        <w:rPr>
          <w:rFonts w:hint="eastAsia" w:ascii="Times New Roman" w:hAnsi="Times New Roman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 xml:space="preserve"> of L-Proline.</w:t>
      </w:r>
    </w:p>
    <w:p w14:paraId="05FE3A43">
      <w:pPr>
        <w:keepNext w:val="0"/>
        <w:keepLines w:val="0"/>
        <w:widowControl/>
        <w:suppressLineNumbers w:val="0"/>
        <w:jc w:val="center"/>
      </w:pPr>
      <w:r>
        <w:drawing>
          <wp:inline distT="0" distB="0" distL="114300" distR="114300">
            <wp:extent cx="3754755" cy="3517900"/>
            <wp:effectExtent l="0" t="0" r="9525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54755" cy="351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924A5"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 xml:space="preserve">Fig.S3 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 xml:space="preserve">H-NMR spectrum of </w:t>
      </w:r>
      <w:r>
        <w:rPr>
          <w:rFonts w:hint="eastAsia" w:ascii="Times New Roman" w:hAnsi="Times New Roman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 xml:space="preserve">Taulipro. </w:t>
      </w:r>
      <w:r>
        <w:drawing>
          <wp:inline distT="0" distB="0" distL="114300" distR="114300">
            <wp:extent cx="4177665" cy="1922145"/>
            <wp:effectExtent l="0" t="0" r="13335" b="133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77665" cy="192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0BF26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</w:pPr>
    </w:p>
    <w:p w14:paraId="50178BD8">
      <w:pPr>
        <w:jc w:val="center"/>
      </w:pPr>
      <w:r>
        <w:rPr>
          <w:rFonts w:hint="eastAsia" w:ascii="Times New Roman" w:hAnsi="Times New Roman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 xml:space="preserve">Fig. S4 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 xml:space="preserve">Differential scanning calorimetry of </w:t>
      </w:r>
      <w:r>
        <w:rPr>
          <w:rFonts w:hint="eastAsia" w:ascii="Times New Roman" w:hAnsi="Times New Roman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>Taulipro.</w:t>
      </w:r>
    </w:p>
    <w:p w14:paraId="729510E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</w:pPr>
    </w:p>
    <w:p w14:paraId="64565763"/>
    <w:p w14:paraId="2034100B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72ED6E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170C6F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C33B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CBFE9D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1BED30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5EC9E3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02544A"/>
    <w:rsid w:val="1C74143C"/>
    <w:rsid w:val="5A02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2026-07-16T10:27:00Z</dcterms:created>
  <dc:creator>茂</dc:creator>
  <cp:lastModifiedBy>茂</cp:lastModifiedBy>
  <dcterms:modified xsi:type="dcterms:W3CDTF">2026-07-16T11:08:26Z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5B64E86B50B54E77B07297656FB689D8_11</vt:lpwstr>
  </property>
  <property fmtid="{D5CDD505-2E9C-101B-9397-08002B2CF9AE}" pid="4" name="KSOTemplateDocerSaveRecord">
    <vt:lpwstr>eyJoZGlkIjoiMzJlMWQ2MzkyOTIxNjI4NDJhYzY0ODY3MjRkNDZhZWMiLCJ1c2VySWQiOiIyNDk5NzU4MjQifQ==</vt:lpwstr>
  </property>
</Properties>
</file>