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DAA4B1" w14:textId="1796AC0A" w:rsidR="0066499B" w:rsidRPr="009C6FD6" w:rsidRDefault="00B043FA" w:rsidP="00B36D6D">
      <w:pPr>
        <w:spacing w:line="360" w:lineRule="auto"/>
        <w:jc w:val="both"/>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 xml:space="preserve">CONSORT </w:t>
      </w:r>
      <w:r w:rsidR="00352DB7">
        <w:rPr>
          <w:rFonts w:ascii="Calibri" w:eastAsia="Calibri" w:hAnsi="Calibri" w:cs="Calibri"/>
          <w:b/>
          <w:color w:val="000000"/>
          <w:sz w:val="22"/>
          <w:szCs w:val="22"/>
          <w:lang w:val="en-GB"/>
        </w:rPr>
        <w:t>2025</w:t>
      </w:r>
      <w:r w:rsidRPr="009C6FD6">
        <w:rPr>
          <w:rFonts w:ascii="Calibri" w:eastAsia="Calibri" w:hAnsi="Calibri" w:cs="Calibri"/>
          <w:b/>
          <w:color w:val="000000"/>
          <w:sz w:val="22"/>
          <w:szCs w:val="22"/>
          <w:lang w:val="en-GB"/>
        </w:rPr>
        <w:t xml:space="preserve"> checklist of information to include when reporting a randomised trial</w:t>
      </w:r>
      <w:r w:rsidR="00B36D6D">
        <w:rPr>
          <w:rFonts w:ascii="Calibri" w:eastAsia="Calibri" w:hAnsi="Calibri" w:cs="Calibri"/>
          <w:b/>
          <w:color w:val="000000"/>
          <w:sz w:val="22"/>
          <w:szCs w:val="22"/>
          <w:lang w:val="en-GB"/>
        </w:rPr>
        <w:t>*</w:t>
      </w:r>
      <w:r w:rsidRPr="009C6FD6">
        <w:rPr>
          <w:rFonts w:ascii="Calibri" w:eastAsia="Calibri" w:hAnsi="Calibri" w:cs="Calibri"/>
          <w:b/>
          <w:color w:val="000000"/>
          <w:sz w:val="22"/>
          <w:szCs w:val="22"/>
          <w:lang w:val="en-GB"/>
        </w:rPr>
        <w:t xml:space="preserve"> </w:t>
      </w:r>
    </w:p>
    <w:tbl>
      <w:tblPr>
        <w:tblStyle w:val="a0"/>
        <w:tblW w:w="14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992"/>
        <w:gridCol w:w="9356"/>
        <w:gridCol w:w="1417"/>
      </w:tblGrid>
      <w:tr w:rsidR="00B36D6D" w:rsidRPr="009C6FD6" w14:paraId="42F6C7CE" w14:textId="60744FD6" w:rsidTr="00BC3998">
        <w:trPr>
          <w:trHeight w:val="276"/>
        </w:trPr>
        <w:tc>
          <w:tcPr>
            <w:tcW w:w="2547" w:type="dxa"/>
            <w:shd w:val="clear" w:color="auto" w:fill="BFBFBF"/>
          </w:tcPr>
          <w:p w14:paraId="07AEEDF9" w14:textId="77777777" w:rsidR="00B36D6D"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Section / Topic</w:t>
            </w:r>
          </w:p>
          <w:p w14:paraId="0F5F40E3" w14:textId="77777777" w:rsidR="00B36D6D" w:rsidRPr="009C6FD6" w:rsidRDefault="00B36D6D">
            <w:pPr>
              <w:spacing w:line="240" w:lineRule="auto"/>
              <w:rPr>
                <w:rFonts w:ascii="Calibri" w:eastAsia="Calibri" w:hAnsi="Calibri" w:cs="Calibri"/>
                <w:b/>
                <w:color w:val="000000"/>
                <w:sz w:val="22"/>
                <w:szCs w:val="22"/>
                <w:lang w:val="en-GB"/>
              </w:rPr>
            </w:pPr>
          </w:p>
        </w:tc>
        <w:tc>
          <w:tcPr>
            <w:tcW w:w="992" w:type="dxa"/>
            <w:shd w:val="clear" w:color="auto" w:fill="BFBFBF"/>
          </w:tcPr>
          <w:p w14:paraId="5449031B" w14:textId="77777777" w:rsidR="00B36D6D" w:rsidRPr="009C6FD6" w:rsidRDefault="00B36D6D">
            <w:pPr>
              <w:spacing w:line="240" w:lineRule="auto"/>
              <w:jc w:val="center"/>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No</w:t>
            </w:r>
          </w:p>
        </w:tc>
        <w:tc>
          <w:tcPr>
            <w:tcW w:w="9356" w:type="dxa"/>
            <w:shd w:val="clear" w:color="auto" w:fill="BFBFBF" w:themeFill="background1" w:themeFillShade="BF"/>
          </w:tcPr>
          <w:p w14:paraId="1008F6F5" w14:textId="28378494"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 xml:space="preserve">CONSORT </w:t>
            </w:r>
            <w:r>
              <w:rPr>
                <w:rFonts w:ascii="Calibri" w:eastAsia="Calibri" w:hAnsi="Calibri" w:cs="Calibri"/>
                <w:b/>
                <w:color w:val="000000"/>
                <w:sz w:val="22"/>
                <w:szCs w:val="22"/>
                <w:lang w:val="en-GB"/>
              </w:rPr>
              <w:t>2025</w:t>
            </w:r>
            <w:r w:rsidRPr="009C6FD6">
              <w:rPr>
                <w:rFonts w:ascii="Calibri" w:eastAsia="Calibri" w:hAnsi="Calibri" w:cs="Calibri"/>
                <w:b/>
                <w:color w:val="000000"/>
                <w:sz w:val="22"/>
                <w:szCs w:val="22"/>
                <w:lang w:val="en-GB"/>
              </w:rPr>
              <w:t xml:space="preserve"> checklist item description</w:t>
            </w:r>
          </w:p>
        </w:tc>
        <w:tc>
          <w:tcPr>
            <w:tcW w:w="1417" w:type="dxa"/>
            <w:shd w:val="clear" w:color="auto" w:fill="BFBFBF" w:themeFill="background1" w:themeFillShade="BF"/>
          </w:tcPr>
          <w:p w14:paraId="6927BCB3" w14:textId="6D7D7DF9" w:rsidR="00B36D6D" w:rsidRPr="009C6FD6" w:rsidRDefault="00BC3998">
            <w:pPr>
              <w:spacing w:line="240" w:lineRule="auto"/>
              <w:rPr>
                <w:rFonts w:ascii="Calibri" w:eastAsia="Calibri" w:hAnsi="Calibri" w:cs="Calibri"/>
                <w:b/>
                <w:color w:val="000000"/>
                <w:sz w:val="22"/>
                <w:szCs w:val="22"/>
                <w:lang w:val="en-GB"/>
              </w:rPr>
            </w:pPr>
            <w:r>
              <w:rPr>
                <w:rFonts w:ascii="Calibri" w:eastAsia="Calibri" w:hAnsi="Calibri" w:cs="Calibri"/>
                <w:b/>
                <w:color w:val="000000"/>
                <w:sz w:val="22"/>
                <w:szCs w:val="22"/>
                <w:lang w:val="en-GB"/>
              </w:rPr>
              <w:t>Reported on page no.</w:t>
            </w:r>
          </w:p>
        </w:tc>
      </w:tr>
      <w:tr w:rsidR="00B36D6D" w:rsidRPr="009C6FD6" w14:paraId="35E60B6F" w14:textId="347F17D0" w:rsidTr="00BC3998">
        <w:trPr>
          <w:trHeight w:val="268"/>
        </w:trPr>
        <w:tc>
          <w:tcPr>
            <w:tcW w:w="12895" w:type="dxa"/>
            <w:gridSpan w:val="3"/>
            <w:shd w:val="clear" w:color="auto" w:fill="C6D9F1" w:themeFill="text2" w:themeFillTint="33"/>
          </w:tcPr>
          <w:p w14:paraId="105C0986"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Title and abstract</w:t>
            </w:r>
          </w:p>
        </w:tc>
        <w:tc>
          <w:tcPr>
            <w:tcW w:w="1417" w:type="dxa"/>
            <w:shd w:val="clear" w:color="auto" w:fill="C6D9F1" w:themeFill="text2" w:themeFillTint="33"/>
          </w:tcPr>
          <w:p w14:paraId="0AC158EA"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10FCCADF" w14:textId="367CAE06" w:rsidTr="00BC3998">
        <w:trPr>
          <w:trHeight w:val="276"/>
        </w:trPr>
        <w:tc>
          <w:tcPr>
            <w:tcW w:w="2547" w:type="dxa"/>
            <w:vMerge w:val="restart"/>
          </w:tcPr>
          <w:p w14:paraId="55516C2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Title and structured abstract</w:t>
            </w:r>
          </w:p>
        </w:tc>
        <w:tc>
          <w:tcPr>
            <w:tcW w:w="992" w:type="dxa"/>
          </w:tcPr>
          <w:p w14:paraId="2FAFE5C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1a</w:t>
            </w:r>
          </w:p>
        </w:tc>
        <w:tc>
          <w:tcPr>
            <w:tcW w:w="9356" w:type="dxa"/>
          </w:tcPr>
          <w:p w14:paraId="0A0F88B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Identification as a randomised trial </w:t>
            </w:r>
          </w:p>
        </w:tc>
        <w:tc>
          <w:tcPr>
            <w:tcW w:w="1417" w:type="dxa"/>
          </w:tcPr>
          <w:p w14:paraId="682CEBAD" w14:textId="7002715F" w:rsidR="00B36D6D" w:rsidRPr="009C6FD6" w:rsidRDefault="00223870">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w:t>
            </w:r>
          </w:p>
        </w:tc>
      </w:tr>
      <w:tr w:rsidR="00B36D6D" w:rsidRPr="009C6FD6" w14:paraId="2962253C" w14:textId="1E5A4156" w:rsidTr="00BC3998">
        <w:trPr>
          <w:trHeight w:val="418"/>
        </w:trPr>
        <w:tc>
          <w:tcPr>
            <w:tcW w:w="2547" w:type="dxa"/>
            <w:vMerge/>
          </w:tcPr>
          <w:p w14:paraId="4CFF8030"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0E58D9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1b</w:t>
            </w:r>
          </w:p>
        </w:tc>
        <w:tc>
          <w:tcPr>
            <w:tcW w:w="9356" w:type="dxa"/>
          </w:tcPr>
          <w:p w14:paraId="0176107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Structured summary of the trial design, methods, results, and conclusions</w:t>
            </w:r>
          </w:p>
        </w:tc>
        <w:tc>
          <w:tcPr>
            <w:tcW w:w="1417" w:type="dxa"/>
          </w:tcPr>
          <w:p w14:paraId="078952E4" w14:textId="6D32767A" w:rsidR="00B36D6D" w:rsidRPr="009C6FD6" w:rsidRDefault="00223870">
            <w:pPr>
              <w:spacing w:line="240" w:lineRule="auto"/>
              <w:rPr>
                <w:rFonts w:ascii="Calibri" w:eastAsia="Calibri" w:hAnsi="Calibri" w:cs="Calibri"/>
                <w:color w:val="000000"/>
                <w:sz w:val="22"/>
                <w:szCs w:val="22"/>
                <w:lang w:val="en-GB"/>
              </w:rPr>
            </w:pPr>
            <w:r w:rsidRPr="000848CA">
              <w:rPr>
                <w:rFonts w:ascii="Calibri" w:eastAsia="Calibri" w:hAnsi="Calibri" w:cs="Calibri"/>
                <w:color w:val="000000"/>
                <w:sz w:val="22"/>
                <w:szCs w:val="22"/>
                <w:lang w:val="en-GB"/>
              </w:rPr>
              <w:t>3</w:t>
            </w:r>
          </w:p>
        </w:tc>
      </w:tr>
      <w:tr w:rsidR="00B36D6D" w:rsidRPr="009C6FD6" w14:paraId="3A57CE3F" w14:textId="3A3DB5B7" w:rsidTr="00BC3998">
        <w:trPr>
          <w:trHeight w:val="276"/>
        </w:trPr>
        <w:tc>
          <w:tcPr>
            <w:tcW w:w="12895" w:type="dxa"/>
            <w:gridSpan w:val="3"/>
            <w:shd w:val="clear" w:color="auto" w:fill="BDD7EE"/>
          </w:tcPr>
          <w:p w14:paraId="353B2DC6"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Open science</w:t>
            </w:r>
          </w:p>
        </w:tc>
        <w:tc>
          <w:tcPr>
            <w:tcW w:w="1417" w:type="dxa"/>
            <w:shd w:val="clear" w:color="auto" w:fill="C6D9F1" w:themeFill="text2" w:themeFillTint="33"/>
          </w:tcPr>
          <w:p w14:paraId="6C7112DB"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6325BAB8" w14:textId="48ED528B" w:rsidTr="00BC3998">
        <w:trPr>
          <w:trHeight w:val="272"/>
        </w:trPr>
        <w:tc>
          <w:tcPr>
            <w:tcW w:w="2547" w:type="dxa"/>
          </w:tcPr>
          <w:p w14:paraId="559029C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registration</w:t>
            </w:r>
          </w:p>
        </w:tc>
        <w:tc>
          <w:tcPr>
            <w:tcW w:w="992" w:type="dxa"/>
          </w:tcPr>
          <w:p w14:paraId="169EB1A0"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w:t>
            </w:r>
          </w:p>
        </w:tc>
        <w:tc>
          <w:tcPr>
            <w:tcW w:w="9356" w:type="dxa"/>
          </w:tcPr>
          <w:p w14:paraId="6110F8CD" w14:textId="77777777" w:rsidR="00B36D6D" w:rsidRPr="000848CA" w:rsidRDefault="00B36D6D">
            <w:pPr>
              <w:spacing w:line="240" w:lineRule="auto"/>
              <w:rPr>
                <w:rFonts w:ascii="Calibri" w:eastAsia="Calibri" w:hAnsi="Calibri" w:cs="Calibri"/>
                <w:color w:val="000000"/>
                <w:sz w:val="22"/>
                <w:szCs w:val="22"/>
                <w:lang w:val="en-GB"/>
              </w:rPr>
            </w:pPr>
            <w:r w:rsidRPr="000848CA">
              <w:rPr>
                <w:rFonts w:ascii="Calibri" w:eastAsia="Calibri" w:hAnsi="Calibri" w:cs="Calibri"/>
                <w:color w:val="000000"/>
                <w:sz w:val="22"/>
                <w:szCs w:val="22"/>
                <w:lang w:val="en-GB"/>
              </w:rPr>
              <w:t>Name of trial registry, identifying number (with URL) and date of registration</w:t>
            </w:r>
          </w:p>
        </w:tc>
        <w:tc>
          <w:tcPr>
            <w:tcW w:w="1417" w:type="dxa"/>
          </w:tcPr>
          <w:p w14:paraId="5384896B" w14:textId="03250245" w:rsidR="00B36D6D" w:rsidRPr="000848CA" w:rsidRDefault="000848CA">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4</w:t>
            </w:r>
          </w:p>
        </w:tc>
      </w:tr>
      <w:tr w:rsidR="00B36D6D" w:rsidRPr="009C6FD6" w14:paraId="5732C7E5" w14:textId="1E98AF6E" w:rsidTr="000848CA">
        <w:trPr>
          <w:trHeight w:val="592"/>
        </w:trPr>
        <w:tc>
          <w:tcPr>
            <w:tcW w:w="2547" w:type="dxa"/>
          </w:tcPr>
          <w:p w14:paraId="3979146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Protocol and statistical analysis plan</w:t>
            </w:r>
          </w:p>
        </w:tc>
        <w:tc>
          <w:tcPr>
            <w:tcW w:w="992" w:type="dxa"/>
          </w:tcPr>
          <w:p w14:paraId="7510EBB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3</w:t>
            </w:r>
          </w:p>
        </w:tc>
        <w:tc>
          <w:tcPr>
            <w:tcW w:w="9356" w:type="dxa"/>
          </w:tcPr>
          <w:p w14:paraId="2530AB92" w14:textId="77777777" w:rsidR="00B36D6D" w:rsidRPr="000848CA" w:rsidRDefault="00B36D6D">
            <w:pPr>
              <w:spacing w:line="240" w:lineRule="auto"/>
              <w:rPr>
                <w:rFonts w:ascii="Calibri" w:eastAsia="Calibri" w:hAnsi="Calibri" w:cs="Calibri"/>
                <w:color w:val="000000"/>
                <w:sz w:val="22"/>
                <w:szCs w:val="22"/>
                <w:lang w:val="en-GB"/>
              </w:rPr>
            </w:pPr>
            <w:r w:rsidRPr="000848CA">
              <w:rPr>
                <w:rFonts w:ascii="Calibri" w:eastAsia="Calibri" w:hAnsi="Calibri" w:cs="Calibri"/>
                <w:color w:val="000000"/>
                <w:sz w:val="22"/>
                <w:szCs w:val="22"/>
                <w:lang w:val="en-GB"/>
              </w:rPr>
              <w:t>Where the trial protocol and statistical analysis plan can be accessed</w:t>
            </w:r>
          </w:p>
        </w:tc>
        <w:tc>
          <w:tcPr>
            <w:tcW w:w="1417" w:type="dxa"/>
          </w:tcPr>
          <w:p w14:paraId="628ED577" w14:textId="296D622A" w:rsidR="00B36D6D" w:rsidRPr="000848CA" w:rsidRDefault="00223870">
            <w:pPr>
              <w:spacing w:line="240" w:lineRule="auto"/>
              <w:rPr>
                <w:rFonts w:ascii="Calibri" w:eastAsia="Calibri" w:hAnsi="Calibri" w:cs="Calibri"/>
                <w:color w:val="000000"/>
                <w:sz w:val="22"/>
                <w:szCs w:val="22"/>
                <w:lang w:val="en-GB"/>
              </w:rPr>
            </w:pPr>
            <w:r w:rsidRPr="000848CA">
              <w:rPr>
                <w:rFonts w:ascii="Calibri" w:eastAsia="Calibri" w:hAnsi="Calibri" w:cs="Calibri"/>
                <w:color w:val="000000"/>
                <w:sz w:val="22"/>
                <w:szCs w:val="22"/>
                <w:lang w:val="en-GB"/>
              </w:rPr>
              <w:t>9</w:t>
            </w:r>
          </w:p>
        </w:tc>
      </w:tr>
      <w:tr w:rsidR="00B36D6D" w:rsidRPr="009C6FD6" w14:paraId="5457CDD4" w14:textId="1CA03383" w:rsidTr="00BC3998">
        <w:trPr>
          <w:trHeight w:val="272"/>
        </w:trPr>
        <w:tc>
          <w:tcPr>
            <w:tcW w:w="2547" w:type="dxa"/>
          </w:tcPr>
          <w:p w14:paraId="522B7D7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Data sharing</w:t>
            </w:r>
          </w:p>
        </w:tc>
        <w:tc>
          <w:tcPr>
            <w:tcW w:w="992" w:type="dxa"/>
          </w:tcPr>
          <w:p w14:paraId="697875C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4</w:t>
            </w:r>
          </w:p>
        </w:tc>
        <w:tc>
          <w:tcPr>
            <w:tcW w:w="9356" w:type="dxa"/>
          </w:tcPr>
          <w:p w14:paraId="4D4B1455" w14:textId="77777777" w:rsidR="00B36D6D" w:rsidRPr="000848CA" w:rsidRDefault="00B36D6D">
            <w:pPr>
              <w:spacing w:line="240" w:lineRule="auto"/>
              <w:rPr>
                <w:rFonts w:ascii="Calibri" w:eastAsia="Calibri" w:hAnsi="Calibri" w:cs="Calibri"/>
                <w:color w:val="000000"/>
                <w:sz w:val="22"/>
                <w:szCs w:val="22"/>
                <w:lang w:val="en-GB"/>
              </w:rPr>
            </w:pPr>
            <w:r w:rsidRPr="000848CA">
              <w:rPr>
                <w:rFonts w:ascii="Calibri" w:eastAsia="Calibri" w:hAnsi="Calibri" w:cs="Calibri"/>
                <w:color w:val="000000"/>
                <w:sz w:val="22"/>
                <w:szCs w:val="22"/>
                <w:lang w:val="en-GB"/>
              </w:rPr>
              <w:t>Where and how the individual de-identified participant data (including data dictionary), statistical code and any other materials can be accessed</w:t>
            </w:r>
          </w:p>
        </w:tc>
        <w:tc>
          <w:tcPr>
            <w:tcW w:w="1417" w:type="dxa"/>
          </w:tcPr>
          <w:p w14:paraId="48E4F70A" w14:textId="6E6A4B34" w:rsidR="00B36D6D" w:rsidRPr="000848CA" w:rsidRDefault="000848CA">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30</w:t>
            </w:r>
          </w:p>
        </w:tc>
      </w:tr>
      <w:tr w:rsidR="00B36D6D" w:rsidRPr="009C6FD6" w14:paraId="53FD3373" w14:textId="12E61B4B" w:rsidTr="00BC3998">
        <w:trPr>
          <w:trHeight w:val="272"/>
        </w:trPr>
        <w:tc>
          <w:tcPr>
            <w:tcW w:w="2547" w:type="dxa"/>
            <w:vMerge w:val="restart"/>
          </w:tcPr>
          <w:p w14:paraId="47802CC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Funding and conflicts of interest</w:t>
            </w:r>
          </w:p>
        </w:tc>
        <w:tc>
          <w:tcPr>
            <w:tcW w:w="992" w:type="dxa"/>
          </w:tcPr>
          <w:p w14:paraId="1B41FA27"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5a</w:t>
            </w:r>
          </w:p>
        </w:tc>
        <w:tc>
          <w:tcPr>
            <w:tcW w:w="9356" w:type="dxa"/>
          </w:tcPr>
          <w:p w14:paraId="4D265E51" w14:textId="77777777" w:rsidR="00B36D6D" w:rsidRPr="000848CA" w:rsidRDefault="00B36D6D">
            <w:pPr>
              <w:spacing w:line="240" w:lineRule="auto"/>
              <w:rPr>
                <w:rFonts w:ascii="Calibri" w:eastAsia="Calibri" w:hAnsi="Calibri" w:cs="Calibri"/>
                <w:color w:val="000000"/>
                <w:sz w:val="22"/>
                <w:szCs w:val="22"/>
                <w:lang w:val="en-GB"/>
              </w:rPr>
            </w:pPr>
            <w:r w:rsidRPr="000848CA">
              <w:rPr>
                <w:rFonts w:ascii="Calibri" w:eastAsia="Calibri" w:hAnsi="Calibri" w:cs="Calibri"/>
                <w:color w:val="000000"/>
                <w:sz w:val="22"/>
                <w:szCs w:val="22"/>
                <w:lang w:val="en-GB"/>
              </w:rPr>
              <w:t>Sources of funding and other support (e.g., supply of drugs), and role of funders in the design, conduct, analysis and reporting of the trial</w:t>
            </w:r>
          </w:p>
        </w:tc>
        <w:tc>
          <w:tcPr>
            <w:tcW w:w="1417" w:type="dxa"/>
          </w:tcPr>
          <w:p w14:paraId="20B1CBDD" w14:textId="241054DF" w:rsidR="00B36D6D" w:rsidRPr="000848CA" w:rsidRDefault="000848CA">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30</w:t>
            </w:r>
          </w:p>
        </w:tc>
      </w:tr>
      <w:tr w:rsidR="00B36D6D" w:rsidRPr="009C6FD6" w14:paraId="0D642CEB" w14:textId="5FE698ED" w:rsidTr="00BC3998">
        <w:trPr>
          <w:trHeight w:val="272"/>
        </w:trPr>
        <w:tc>
          <w:tcPr>
            <w:tcW w:w="2547" w:type="dxa"/>
            <w:vMerge/>
          </w:tcPr>
          <w:p w14:paraId="33AB9D71"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59C3C9A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5b</w:t>
            </w:r>
          </w:p>
        </w:tc>
        <w:tc>
          <w:tcPr>
            <w:tcW w:w="9356" w:type="dxa"/>
          </w:tcPr>
          <w:p w14:paraId="471BB7B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Financial and other conflicts of interest of the manuscript authors</w:t>
            </w:r>
          </w:p>
        </w:tc>
        <w:tc>
          <w:tcPr>
            <w:tcW w:w="1417" w:type="dxa"/>
          </w:tcPr>
          <w:p w14:paraId="2C85AC6B" w14:textId="0BBD1EF3" w:rsidR="00B36D6D" w:rsidRPr="009C6FD6" w:rsidRDefault="00223870">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28</w:t>
            </w:r>
          </w:p>
        </w:tc>
      </w:tr>
      <w:tr w:rsidR="00B36D6D" w:rsidRPr="009C6FD6" w14:paraId="6808DB3F" w14:textId="1F344310" w:rsidTr="00BC3998">
        <w:trPr>
          <w:trHeight w:val="276"/>
        </w:trPr>
        <w:tc>
          <w:tcPr>
            <w:tcW w:w="12895" w:type="dxa"/>
            <w:gridSpan w:val="3"/>
            <w:shd w:val="clear" w:color="auto" w:fill="BDD7EE"/>
          </w:tcPr>
          <w:p w14:paraId="571BFEBF"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Introduction</w:t>
            </w:r>
          </w:p>
        </w:tc>
        <w:tc>
          <w:tcPr>
            <w:tcW w:w="1417" w:type="dxa"/>
            <w:shd w:val="clear" w:color="auto" w:fill="C6D9F1" w:themeFill="text2" w:themeFillTint="33"/>
          </w:tcPr>
          <w:p w14:paraId="32FD8D83"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37A3670E" w14:textId="442AA61E" w:rsidTr="00BC3998">
        <w:trPr>
          <w:trHeight w:val="271"/>
        </w:trPr>
        <w:tc>
          <w:tcPr>
            <w:tcW w:w="2547" w:type="dxa"/>
            <w:tcBorders>
              <w:bottom w:val="single" w:sz="4" w:space="0" w:color="000000"/>
            </w:tcBorders>
          </w:tcPr>
          <w:p w14:paraId="36CFF560"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Background and rationale</w:t>
            </w:r>
          </w:p>
        </w:tc>
        <w:tc>
          <w:tcPr>
            <w:tcW w:w="992" w:type="dxa"/>
            <w:tcBorders>
              <w:bottom w:val="single" w:sz="4" w:space="0" w:color="000000"/>
            </w:tcBorders>
          </w:tcPr>
          <w:p w14:paraId="6305368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6</w:t>
            </w:r>
          </w:p>
        </w:tc>
        <w:tc>
          <w:tcPr>
            <w:tcW w:w="9356" w:type="dxa"/>
          </w:tcPr>
          <w:p w14:paraId="5A09739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Scientific background and rationale</w:t>
            </w:r>
          </w:p>
        </w:tc>
        <w:tc>
          <w:tcPr>
            <w:tcW w:w="1417" w:type="dxa"/>
          </w:tcPr>
          <w:p w14:paraId="3333AA56" w14:textId="71590DDE" w:rsidR="00B36D6D" w:rsidRPr="009C6FD6" w:rsidRDefault="00223870">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w:t>
            </w:r>
          </w:p>
        </w:tc>
      </w:tr>
      <w:tr w:rsidR="00B36D6D" w:rsidRPr="009C6FD6" w14:paraId="55C5B04A" w14:textId="601A6C1F" w:rsidTr="00BC3998">
        <w:trPr>
          <w:trHeight w:val="276"/>
        </w:trPr>
        <w:tc>
          <w:tcPr>
            <w:tcW w:w="2547" w:type="dxa"/>
            <w:vAlign w:val="center"/>
          </w:tcPr>
          <w:p w14:paraId="12B554B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Objectives</w:t>
            </w:r>
          </w:p>
        </w:tc>
        <w:tc>
          <w:tcPr>
            <w:tcW w:w="992" w:type="dxa"/>
          </w:tcPr>
          <w:p w14:paraId="517F8E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7</w:t>
            </w:r>
          </w:p>
        </w:tc>
        <w:tc>
          <w:tcPr>
            <w:tcW w:w="9356" w:type="dxa"/>
          </w:tcPr>
          <w:p w14:paraId="2591646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Specific objectives related to benefits and harms</w:t>
            </w:r>
          </w:p>
        </w:tc>
        <w:tc>
          <w:tcPr>
            <w:tcW w:w="1417" w:type="dxa"/>
          </w:tcPr>
          <w:p w14:paraId="70B2DB04" w14:textId="46CA3E25" w:rsidR="00B36D6D" w:rsidRPr="009C6FD6" w:rsidRDefault="00C64CC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w:t>
            </w:r>
          </w:p>
        </w:tc>
      </w:tr>
      <w:tr w:rsidR="00B36D6D" w:rsidRPr="009C6FD6" w14:paraId="1B31CFED" w14:textId="18892F07" w:rsidTr="00BC3998">
        <w:trPr>
          <w:trHeight w:val="276"/>
        </w:trPr>
        <w:tc>
          <w:tcPr>
            <w:tcW w:w="12895" w:type="dxa"/>
            <w:gridSpan w:val="3"/>
            <w:shd w:val="clear" w:color="auto" w:fill="BDD7EE"/>
          </w:tcPr>
          <w:p w14:paraId="1C08DDCD"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Methods</w:t>
            </w:r>
          </w:p>
        </w:tc>
        <w:tc>
          <w:tcPr>
            <w:tcW w:w="1417" w:type="dxa"/>
            <w:shd w:val="clear" w:color="auto" w:fill="C6D9F1" w:themeFill="text2" w:themeFillTint="33"/>
          </w:tcPr>
          <w:p w14:paraId="61DDDBB5"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05C5AAED" w14:textId="1742A97D" w:rsidTr="00BC3998">
        <w:trPr>
          <w:trHeight w:val="268"/>
        </w:trPr>
        <w:tc>
          <w:tcPr>
            <w:tcW w:w="2547" w:type="dxa"/>
          </w:tcPr>
          <w:p w14:paraId="6102716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Patient and public involvement</w:t>
            </w:r>
          </w:p>
        </w:tc>
        <w:tc>
          <w:tcPr>
            <w:tcW w:w="992" w:type="dxa"/>
          </w:tcPr>
          <w:p w14:paraId="35C4EF4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8</w:t>
            </w:r>
          </w:p>
        </w:tc>
        <w:tc>
          <w:tcPr>
            <w:tcW w:w="9356" w:type="dxa"/>
          </w:tcPr>
          <w:p w14:paraId="5F1D655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Details of patient or public involvement in the design, conduct and reporting of the trial</w:t>
            </w:r>
          </w:p>
        </w:tc>
        <w:tc>
          <w:tcPr>
            <w:tcW w:w="1417" w:type="dxa"/>
          </w:tcPr>
          <w:p w14:paraId="736CE81D" w14:textId="57BEF3BF" w:rsidR="00B36D6D" w:rsidRPr="009C6FD6" w:rsidRDefault="00C64CC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w:t>
            </w:r>
          </w:p>
        </w:tc>
      </w:tr>
      <w:tr w:rsidR="00B36D6D" w:rsidRPr="009C6FD6" w14:paraId="1118C078" w14:textId="34119A38" w:rsidTr="00BC3998">
        <w:trPr>
          <w:trHeight w:val="268"/>
        </w:trPr>
        <w:tc>
          <w:tcPr>
            <w:tcW w:w="2547" w:type="dxa"/>
          </w:tcPr>
          <w:p w14:paraId="0B3B044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design</w:t>
            </w:r>
          </w:p>
        </w:tc>
        <w:tc>
          <w:tcPr>
            <w:tcW w:w="992" w:type="dxa"/>
          </w:tcPr>
          <w:p w14:paraId="72205B94"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9</w:t>
            </w:r>
          </w:p>
        </w:tc>
        <w:tc>
          <w:tcPr>
            <w:tcW w:w="9356" w:type="dxa"/>
          </w:tcPr>
          <w:p w14:paraId="5E662EA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Description of trial design including type of trial (e.g., parallel group, crossover), allocation ratio, and framework (e.g., superiority, equivalence, non-inferiority, exploratory)</w:t>
            </w:r>
          </w:p>
        </w:tc>
        <w:tc>
          <w:tcPr>
            <w:tcW w:w="1417" w:type="dxa"/>
          </w:tcPr>
          <w:p w14:paraId="22562F96" w14:textId="5399CC37" w:rsidR="00B36D6D" w:rsidRPr="009C6FD6" w:rsidRDefault="00C64CC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w:t>
            </w:r>
          </w:p>
        </w:tc>
      </w:tr>
      <w:tr w:rsidR="00B36D6D" w:rsidRPr="009C6FD6" w14:paraId="3B0F7B6A" w14:textId="5F6C4DC7" w:rsidTr="00BC3998">
        <w:trPr>
          <w:trHeight w:val="214"/>
        </w:trPr>
        <w:tc>
          <w:tcPr>
            <w:tcW w:w="2547" w:type="dxa"/>
          </w:tcPr>
          <w:p w14:paraId="7D9C827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Changes to trial protocol</w:t>
            </w:r>
          </w:p>
        </w:tc>
        <w:tc>
          <w:tcPr>
            <w:tcW w:w="992" w:type="dxa"/>
          </w:tcPr>
          <w:p w14:paraId="784655B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10</w:t>
            </w:r>
          </w:p>
        </w:tc>
        <w:tc>
          <w:tcPr>
            <w:tcW w:w="9356" w:type="dxa"/>
          </w:tcPr>
          <w:p w14:paraId="3D532DC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Important changes to the trial after it commenced including any outcomes or analyses that were not prespecified, with reason</w:t>
            </w:r>
          </w:p>
        </w:tc>
        <w:tc>
          <w:tcPr>
            <w:tcW w:w="1417" w:type="dxa"/>
          </w:tcPr>
          <w:p w14:paraId="58F0C5A6" w14:textId="4E3C2E0D" w:rsidR="00B36D6D" w:rsidRPr="009C6FD6" w:rsidRDefault="00C64CC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w:t>
            </w:r>
          </w:p>
        </w:tc>
      </w:tr>
      <w:tr w:rsidR="00B36D6D" w:rsidRPr="009C6FD6" w14:paraId="18EEE53F" w14:textId="27DB62E6" w:rsidTr="00BC3998">
        <w:trPr>
          <w:trHeight w:val="273"/>
        </w:trPr>
        <w:tc>
          <w:tcPr>
            <w:tcW w:w="2547" w:type="dxa"/>
          </w:tcPr>
          <w:p w14:paraId="5BFE68B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setting</w:t>
            </w:r>
          </w:p>
        </w:tc>
        <w:tc>
          <w:tcPr>
            <w:tcW w:w="992" w:type="dxa"/>
          </w:tcPr>
          <w:p w14:paraId="4A046B8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11</w:t>
            </w:r>
          </w:p>
        </w:tc>
        <w:tc>
          <w:tcPr>
            <w:tcW w:w="9356" w:type="dxa"/>
          </w:tcPr>
          <w:p w14:paraId="269E109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Settings (e.g., community, hospital) and locations (e.g., countries, sites) where the trial was conducted</w:t>
            </w:r>
          </w:p>
        </w:tc>
        <w:tc>
          <w:tcPr>
            <w:tcW w:w="1417" w:type="dxa"/>
          </w:tcPr>
          <w:p w14:paraId="266DD31E" w14:textId="75BF7AEB" w:rsidR="00B36D6D" w:rsidRPr="009C6FD6" w:rsidRDefault="00C64CC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w:t>
            </w:r>
          </w:p>
        </w:tc>
      </w:tr>
      <w:tr w:rsidR="00B36D6D" w:rsidRPr="009C6FD6" w14:paraId="134ACE67" w14:textId="5E48FD43" w:rsidTr="00BC3998">
        <w:trPr>
          <w:trHeight w:val="276"/>
        </w:trPr>
        <w:tc>
          <w:tcPr>
            <w:tcW w:w="2547" w:type="dxa"/>
            <w:vMerge w:val="restart"/>
            <w:vAlign w:val="center"/>
          </w:tcPr>
          <w:p w14:paraId="1FDD4F7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Eligibility criteria</w:t>
            </w:r>
          </w:p>
        </w:tc>
        <w:tc>
          <w:tcPr>
            <w:tcW w:w="992" w:type="dxa"/>
          </w:tcPr>
          <w:p w14:paraId="083D8C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12a</w:t>
            </w:r>
          </w:p>
        </w:tc>
        <w:tc>
          <w:tcPr>
            <w:tcW w:w="9356" w:type="dxa"/>
          </w:tcPr>
          <w:p w14:paraId="3C4A8E8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Eligibility criteria for participants</w:t>
            </w:r>
          </w:p>
        </w:tc>
        <w:tc>
          <w:tcPr>
            <w:tcW w:w="1417" w:type="dxa"/>
          </w:tcPr>
          <w:p w14:paraId="3128EB9A" w14:textId="4520069F" w:rsidR="00B36D6D" w:rsidRPr="009C6FD6" w:rsidRDefault="00C64CC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7</w:t>
            </w:r>
          </w:p>
        </w:tc>
      </w:tr>
      <w:tr w:rsidR="00B36D6D" w:rsidRPr="009C6FD6" w14:paraId="2E19841C" w14:textId="09E33AE1" w:rsidTr="00BC3998">
        <w:trPr>
          <w:trHeight w:val="276"/>
        </w:trPr>
        <w:tc>
          <w:tcPr>
            <w:tcW w:w="2547" w:type="dxa"/>
            <w:vMerge/>
            <w:vAlign w:val="center"/>
          </w:tcPr>
          <w:p w14:paraId="37DCF479"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329BA27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12b</w:t>
            </w:r>
          </w:p>
        </w:tc>
        <w:tc>
          <w:tcPr>
            <w:tcW w:w="9356" w:type="dxa"/>
          </w:tcPr>
          <w:p w14:paraId="17B5A22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applicable, eligibility criteria for sites and for individuals delivering the interventions (e.g., surgeons, physiotherapists)</w:t>
            </w:r>
          </w:p>
        </w:tc>
        <w:tc>
          <w:tcPr>
            <w:tcW w:w="1417" w:type="dxa"/>
          </w:tcPr>
          <w:p w14:paraId="6D568B99" w14:textId="5027388E" w:rsidR="00B36D6D" w:rsidRPr="009C6FD6" w:rsidRDefault="00C64CC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7</w:t>
            </w:r>
          </w:p>
        </w:tc>
      </w:tr>
      <w:tr w:rsidR="00B36D6D" w:rsidRPr="009C6FD6" w14:paraId="72C268E0" w14:textId="2C365FD3" w:rsidTr="00BC3998">
        <w:trPr>
          <w:trHeight w:val="463"/>
        </w:trPr>
        <w:tc>
          <w:tcPr>
            <w:tcW w:w="2547" w:type="dxa"/>
          </w:tcPr>
          <w:p w14:paraId="23EE01E3" w14:textId="2BBC8976"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lastRenderedPageBreak/>
              <w:t>Intervention</w:t>
            </w:r>
            <w:r>
              <w:rPr>
                <w:rFonts w:ascii="Calibri" w:eastAsia="Calibri" w:hAnsi="Calibri" w:cs="Calibri"/>
                <w:color w:val="000000"/>
                <w:sz w:val="22"/>
                <w:szCs w:val="22"/>
                <w:lang w:val="en-GB"/>
              </w:rPr>
              <w:t xml:space="preserve"> and comparator</w:t>
            </w:r>
          </w:p>
        </w:tc>
        <w:tc>
          <w:tcPr>
            <w:tcW w:w="992" w:type="dxa"/>
          </w:tcPr>
          <w:p w14:paraId="7CCB218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13</w:t>
            </w:r>
          </w:p>
        </w:tc>
        <w:tc>
          <w:tcPr>
            <w:tcW w:w="9356" w:type="dxa"/>
          </w:tcPr>
          <w:p w14:paraId="17D21D80" w14:textId="3ACFFF1E"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Intervention and comparator with sufficient details to allow replication. If relevant, where additional materials describing the intervention</w:t>
            </w:r>
            <w:r>
              <w:rPr>
                <w:rFonts w:ascii="Calibri" w:eastAsia="Calibri" w:hAnsi="Calibri" w:cs="Calibri"/>
                <w:color w:val="000000"/>
                <w:sz w:val="22"/>
                <w:szCs w:val="22"/>
                <w:lang w:val="en-GB"/>
              </w:rPr>
              <w:t xml:space="preserve"> and comparator</w:t>
            </w:r>
            <w:r w:rsidRPr="009C6FD6">
              <w:rPr>
                <w:rFonts w:ascii="Calibri" w:eastAsia="Calibri" w:hAnsi="Calibri" w:cs="Calibri"/>
                <w:color w:val="000000"/>
                <w:sz w:val="22"/>
                <w:szCs w:val="22"/>
                <w:lang w:val="en-GB"/>
              </w:rPr>
              <w:t xml:space="preserve"> (e.g., intervention manual) can be accessed</w:t>
            </w:r>
          </w:p>
        </w:tc>
        <w:tc>
          <w:tcPr>
            <w:tcW w:w="1417" w:type="dxa"/>
          </w:tcPr>
          <w:p w14:paraId="3D06E337" w14:textId="0BB16D24" w:rsidR="00B36D6D" w:rsidRPr="009C6FD6" w:rsidRDefault="00C64CC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7</w:t>
            </w:r>
          </w:p>
        </w:tc>
      </w:tr>
      <w:tr w:rsidR="00B36D6D" w:rsidRPr="009C6FD6" w14:paraId="2D3DE58D" w14:textId="4C478C59" w:rsidTr="00BC3998">
        <w:trPr>
          <w:trHeight w:val="614"/>
        </w:trPr>
        <w:tc>
          <w:tcPr>
            <w:tcW w:w="2547" w:type="dxa"/>
          </w:tcPr>
          <w:p w14:paraId="273E4E1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Outcomes</w:t>
            </w:r>
          </w:p>
        </w:tc>
        <w:tc>
          <w:tcPr>
            <w:tcW w:w="992" w:type="dxa"/>
          </w:tcPr>
          <w:p w14:paraId="1C478860"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14</w:t>
            </w:r>
          </w:p>
          <w:p w14:paraId="7F479C8B" w14:textId="77777777" w:rsidR="00B36D6D" w:rsidRPr="009C6FD6" w:rsidRDefault="00B36D6D">
            <w:pPr>
              <w:spacing w:line="240" w:lineRule="auto"/>
              <w:jc w:val="center"/>
              <w:rPr>
                <w:rFonts w:ascii="Calibri" w:eastAsia="Calibri" w:hAnsi="Calibri" w:cs="Calibri"/>
                <w:color w:val="000000"/>
                <w:sz w:val="22"/>
                <w:szCs w:val="22"/>
                <w:lang w:val="en-GB"/>
              </w:rPr>
            </w:pPr>
          </w:p>
        </w:tc>
        <w:tc>
          <w:tcPr>
            <w:tcW w:w="9356" w:type="dxa"/>
          </w:tcPr>
          <w:p w14:paraId="794D803F" w14:textId="77777777" w:rsidR="00B36D6D" w:rsidRPr="000848CA" w:rsidRDefault="00B36D6D">
            <w:pPr>
              <w:spacing w:line="240" w:lineRule="auto"/>
              <w:rPr>
                <w:rFonts w:ascii="Calibri" w:eastAsia="Calibri" w:hAnsi="Calibri" w:cs="Calibri"/>
                <w:color w:val="000000"/>
                <w:sz w:val="22"/>
                <w:szCs w:val="22"/>
                <w:lang w:val="en-GB"/>
              </w:rPr>
            </w:pPr>
            <w:r w:rsidRPr="000848CA">
              <w:rPr>
                <w:rFonts w:ascii="Calibri" w:eastAsia="Calibri" w:hAnsi="Calibri" w:cs="Calibri"/>
                <w:color w:val="000000"/>
                <w:sz w:val="22"/>
                <w:szCs w:val="22"/>
                <w:lang w:val="en-GB"/>
              </w:rPr>
              <w:t>Pre-specified primary and secondary outcomes, including the specific measurement variable (e.g., systolic blood pressure), analysis metric (e.g., change from baseline, final value, time to event), method of aggregation (e.g., median, proportion), and time point for each outcome</w:t>
            </w:r>
          </w:p>
        </w:tc>
        <w:tc>
          <w:tcPr>
            <w:tcW w:w="1417" w:type="dxa"/>
          </w:tcPr>
          <w:p w14:paraId="6FE0043A" w14:textId="02CBD0F4" w:rsidR="00B36D6D" w:rsidRPr="009C6FD6" w:rsidRDefault="004662FE">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8</w:t>
            </w:r>
          </w:p>
        </w:tc>
      </w:tr>
      <w:tr w:rsidR="00B36D6D" w:rsidRPr="009C6FD6" w14:paraId="58D124DA" w14:textId="000F135E" w:rsidTr="00BC3998">
        <w:trPr>
          <w:trHeight w:val="339"/>
        </w:trPr>
        <w:tc>
          <w:tcPr>
            <w:tcW w:w="2547" w:type="dxa"/>
          </w:tcPr>
          <w:p w14:paraId="3A9C250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Harms</w:t>
            </w:r>
          </w:p>
        </w:tc>
        <w:tc>
          <w:tcPr>
            <w:tcW w:w="992" w:type="dxa"/>
          </w:tcPr>
          <w:p w14:paraId="1344FFA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15</w:t>
            </w:r>
          </w:p>
        </w:tc>
        <w:tc>
          <w:tcPr>
            <w:tcW w:w="9356" w:type="dxa"/>
          </w:tcPr>
          <w:p w14:paraId="591013B6" w14:textId="77777777" w:rsidR="00B36D6D" w:rsidRPr="000848CA" w:rsidRDefault="00B36D6D">
            <w:pPr>
              <w:spacing w:line="240" w:lineRule="auto"/>
              <w:rPr>
                <w:rFonts w:ascii="Calibri" w:eastAsia="Calibri" w:hAnsi="Calibri" w:cs="Calibri"/>
                <w:color w:val="000000"/>
                <w:sz w:val="22"/>
                <w:szCs w:val="22"/>
                <w:lang w:val="en-GB"/>
              </w:rPr>
            </w:pPr>
            <w:r w:rsidRPr="000848CA">
              <w:rPr>
                <w:rFonts w:ascii="Calibri" w:eastAsia="Calibri" w:hAnsi="Calibri" w:cs="Calibri"/>
                <w:color w:val="000000"/>
                <w:sz w:val="22"/>
                <w:szCs w:val="22"/>
                <w:lang w:val="en-GB"/>
              </w:rPr>
              <w:t>How harms were defined and assessed (e.g., systematically, non-systematically)</w:t>
            </w:r>
          </w:p>
        </w:tc>
        <w:tc>
          <w:tcPr>
            <w:tcW w:w="1417" w:type="dxa"/>
          </w:tcPr>
          <w:p w14:paraId="5D66BF02" w14:textId="2DA0CDC0" w:rsidR="00B36D6D" w:rsidRPr="009C6FD6" w:rsidRDefault="005F162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8</w:t>
            </w:r>
          </w:p>
        </w:tc>
      </w:tr>
      <w:tr w:rsidR="00B36D6D" w:rsidRPr="009C6FD6" w14:paraId="62973BF2" w14:textId="49BAA2F8" w:rsidTr="00BC3998">
        <w:trPr>
          <w:trHeight w:val="273"/>
        </w:trPr>
        <w:tc>
          <w:tcPr>
            <w:tcW w:w="2547" w:type="dxa"/>
            <w:vMerge w:val="restart"/>
          </w:tcPr>
          <w:p w14:paraId="6A7FA31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Sample size</w:t>
            </w:r>
          </w:p>
        </w:tc>
        <w:tc>
          <w:tcPr>
            <w:tcW w:w="992" w:type="dxa"/>
          </w:tcPr>
          <w:p w14:paraId="3D9FEE9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16a</w:t>
            </w:r>
          </w:p>
        </w:tc>
        <w:tc>
          <w:tcPr>
            <w:tcW w:w="9356" w:type="dxa"/>
          </w:tcPr>
          <w:p w14:paraId="3B91C74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sample size was determined, including all assumptions supporting the sample size calculation</w:t>
            </w:r>
          </w:p>
        </w:tc>
        <w:tc>
          <w:tcPr>
            <w:tcW w:w="1417" w:type="dxa"/>
          </w:tcPr>
          <w:p w14:paraId="180AD325" w14:textId="0D020F27" w:rsidR="00B36D6D" w:rsidRPr="009C6FD6" w:rsidRDefault="005F162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9</w:t>
            </w:r>
          </w:p>
        </w:tc>
      </w:tr>
      <w:tr w:rsidR="00B36D6D" w:rsidRPr="009C6FD6" w14:paraId="365605D7" w14:textId="7252FE1E" w:rsidTr="00BC3998">
        <w:trPr>
          <w:trHeight w:val="273"/>
        </w:trPr>
        <w:tc>
          <w:tcPr>
            <w:tcW w:w="2547" w:type="dxa"/>
            <w:vMerge/>
          </w:tcPr>
          <w:p w14:paraId="5EE3997D"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5C8443C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16b</w:t>
            </w:r>
          </w:p>
        </w:tc>
        <w:tc>
          <w:tcPr>
            <w:tcW w:w="9356" w:type="dxa"/>
          </w:tcPr>
          <w:p w14:paraId="5929DED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Explanation of any interim analyses and stopping guidelines</w:t>
            </w:r>
          </w:p>
        </w:tc>
        <w:tc>
          <w:tcPr>
            <w:tcW w:w="1417" w:type="dxa"/>
          </w:tcPr>
          <w:p w14:paraId="74EBB045" w14:textId="230BFAD3" w:rsidR="00B36D6D" w:rsidRPr="009C6FD6" w:rsidRDefault="005F162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9</w:t>
            </w:r>
          </w:p>
        </w:tc>
      </w:tr>
      <w:tr w:rsidR="00B36D6D" w:rsidRPr="009C6FD6" w14:paraId="7CF31D29" w14:textId="10D62C26" w:rsidTr="00BC3998">
        <w:trPr>
          <w:trHeight w:val="276"/>
        </w:trPr>
        <w:tc>
          <w:tcPr>
            <w:tcW w:w="2547" w:type="dxa"/>
          </w:tcPr>
          <w:p w14:paraId="1D2AE3F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Randomisation:</w:t>
            </w:r>
          </w:p>
        </w:tc>
        <w:tc>
          <w:tcPr>
            <w:tcW w:w="992" w:type="dxa"/>
          </w:tcPr>
          <w:p w14:paraId="11796DC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w:t>
            </w:r>
          </w:p>
        </w:tc>
        <w:tc>
          <w:tcPr>
            <w:tcW w:w="9356" w:type="dxa"/>
          </w:tcPr>
          <w:p w14:paraId="7A75315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w:t>
            </w:r>
          </w:p>
        </w:tc>
        <w:tc>
          <w:tcPr>
            <w:tcW w:w="1417" w:type="dxa"/>
          </w:tcPr>
          <w:p w14:paraId="036862A2" w14:textId="77777777" w:rsidR="00B36D6D" w:rsidRPr="009C6FD6" w:rsidRDefault="00B36D6D">
            <w:pPr>
              <w:spacing w:line="240" w:lineRule="auto"/>
              <w:rPr>
                <w:rFonts w:ascii="Calibri" w:eastAsia="Calibri" w:hAnsi="Calibri" w:cs="Calibri"/>
                <w:color w:val="000000"/>
                <w:sz w:val="22"/>
                <w:szCs w:val="22"/>
                <w:lang w:val="en-GB"/>
              </w:rPr>
            </w:pPr>
          </w:p>
        </w:tc>
      </w:tr>
      <w:tr w:rsidR="00B36D6D" w:rsidRPr="009C6FD6" w14:paraId="4537F87A" w14:textId="569C9680" w:rsidTr="00BC3998">
        <w:trPr>
          <w:trHeight w:val="266"/>
        </w:trPr>
        <w:tc>
          <w:tcPr>
            <w:tcW w:w="2547" w:type="dxa"/>
            <w:vMerge w:val="restart"/>
          </w:tcPr>
          <w:p w14:paraId="15B2BB96"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Sequence generation</w:t>
            </w:r>
          </w:p>
        </w:tc>
        <w:tc>
          <w:tcPr>
            <w:tcW w:w="992" w:type="dxa"/>
          </w:tcPr>
          <w:p w14:paraId="04D32F8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17a</w:t>
            </w:r>
          </w:p>
        </w:tc>
        <w:tc>
          <w:tcPr>
            <w:tcW w:w="9356" w:type="dxa"/>
          </w:tcPr>
          <w:p w14:paraId="34D407B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Who generated the random allocation sequence and the method used</w:t>
            </w:r>
          </w:p>
        </w:tc>
        <w:tc>
          <w:tcPr>
            <w:tcW w:w="1417" w:type="dxa"/>
          </w:tcPr>
          <w:p w14:paraId="50468870" w14:textId="1DA23836" w:rsidR="00B36D6D" w:rsidRPr="009C6FD6" w:rsidRDefault="005F162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w:t>
            </w:r>
          </w:p>
        </w:tc>
      </w:tr>
      <w:tr w:rsidR="00B36D6D" w:rsidRPr="009C6FD6" w14:paraId="14EC82C6" w14:textId="3CED05A8" w:rsidTr="00BC3998">
        <w:trPr>
          <w:trHeight w:val="285"/>
        </w:trPr>
        <w:tc>
          <w:tcPr>
            <w:tcW w:w="2547" w:type="dxa"/>
            <w:vMerge/>
          </w:tcPr>
          <w:p w14:paraId="0F443EB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482760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17b</w:t>
            </w:r>
          </w:p>
        </w:tc>
        <w:tc>
          <w:tcPr>
            <w:tcW w:w="9356" w:type="dxa"/>
          </w:tcPr>
          <w:p w14:paraId="29B4B76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Type of randomisation and details of any restriction (e.g., stratification, blocking and block size)</w:t>
            </w:r>
          </w:p>
        </w:tc>
        <w:tc>
          <w:tcPr>
            <w:tcW w:w="1417" w:type="dxa"/>
          </w:tcPr>
          <w:p w14:paraId="6BFED71E" w14:textId="735334FF" w:rsidR="00B36D6D" w:rsidRPr="009C6FD6" w:rsidRDefault="005F162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w:t>
            </w:r>
          </w:p>
        </w:tc>
      </w:tr>
      <w:tr w:rsidR="00B36D6D" w:rsidRPr="009C6FD6" w14:paraId="30B7CE14" w14:textId="2A8F98FA" w:rsidTr="00BC3998">
        <w:trPr>
          <w:trHeight w:val="544"/>
        </w:trPr>
        <w:tc>
          <w:tcPr>
            <w:tcW w:w="2547" w:type="dxa"/>
          </w:tcPr>
          <w:p w14:paraId="50619AAE"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Allocation concealment mechanism</w:t>
            </w:r>
          </w:p>
        </w:tc>
        <w:tc>
          <w:tcPr>
            <w:tcW w:w="992" w:type="dxa"/>
          </w:tcPr>
          <w:p w14:paraId="4B77DA4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18</w:t>
            </w:r>
          </w:p>
        </w:tc>
        <w:tc>
          <w:tcPr>
            <w:tcW w:w="9356" w:type="dxa"/>
          </w:tcPr>
          <w:p w14:paraId="4FFCCFAC"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Mechanism used to implement the random allocation sequence (e.g., central computer/telephone; sequentially numbered, opaque, sealed containers), describing any steps to conceal the sequence until interventions were assigned</w:t>
            </w:r>
          </w:p>
        </w:tc>
        <w:tc>
          <w:tcPr>
            <w:tcW w:w="1417" w:type="dxa"/>
          </w:tcPr>
          <w:p w14:paraId="61EC8B0E" w14:textId="5A25227B" w:rsidR="00B36D6D" w:rsidRPr="009C6FD6" w:rsidRDefault="005F162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w:t>
            </w:r>
          </w:p>
        </w:tc>
      </w:tr>
      <w:tr w:rsidR="00B36D6D" w:rsidRPr="009C6FD6" w14:paraId="685356C7" w14:textId="4A9F88ED" w:rsidTr="00BC3998">
        <w:trPr>
          <w:trHeight w:val="558"/>
        </w:trPr>
        <w:tc>
          <w:tcPr>
            <w:tcW w:w="2547" w:type="dxa"/>
          </w:tcPr>
          <w:p w14:paraId="1669B1E1"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Implementation</w:t>
            </w:r>
          </w:p>
        </w:tc>
        <w:tc>
          <w:tcPr>
            <w:tcW w:w="992" w:type="dxa"/>
          </w:tcPr>
          <w:p w14:paraId="6FD9CBB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19</w:t>
            </w:r>
          </w:p>
        </w:tc>
        <w:tc>
          <w:tcPr>
            <w:tcW w:w="9356" w:type="dxa"/>
          </w:tcPr>
          <w:p w14:paraId="1168460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Whether the personnel who enrolled and those who assigned participants to the interventions had access to the random allocation sequence </w:t>
            </w:r>
          </w:p>
        </w:tc>
        <w:tc>
          <w:tcPr>
            <w:tcW w:w="1417" w:type="dxa"/>
          </w:tcPr>
          <w:p w14:paraId="6554DB11" w14:textId="5DA8AEA9" w:rsidR="00B36D6D" w:rsidRPr="009C6FD6" w:rsidRDefault="005F162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w:t>
            </w:r>
          </w:p>
        </w:tc>
      </w:tr>
      <w:tr w:rsidR="00B36D6D" w:rsidRPr="009C6FD6" w14:paraId="14AA8C84" w14:textId="0364F565" w:rsidTr="00BC3998">
        <w:trPr>
          <w:trHeight w:val="251"/>
        </w:trPr>
        <w:tc>
          <w:tcPr>
            <w:tcW w:w="2547" w:type="dxa"/>
            <w:vMerge w:val="restart"/>
          </w:tcPr>
          <w:p w14:paraId="6035012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Blinding</w:t>
            </w:r>
          </w:p>
        </w:tc>
        <w:tc>
          <w:tcPr>
            <w:tcW w:w="992" w:type="dxa"/>
          </w:tcPr>
          <w:p w14:paraId="6C79645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20a</w:t>
            </w:r>
          </w:p>
        </w:tc>
        <w:tc>
          <w:tcPr>
            <w:tcW w:w="9356" w:type="dxa"/>
          </w:tcPr>
          <w:p w14:paraId="080A780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Who was blinded after assignment to interventions (e.g., participants, care providers, outcome assessors, data analysts) </w:t>
            </w:r>
          </w:p>
        </w:tc>
        <w:tc>
          <w:tcPr>
            <w:tcW w:w="1417" w:type="dxa"/>
          </w:tcPr>
          <w:p w14:paraId="5326CB7A" w14:textId="2B416B67" w:rsidR="00B36D6D" w:rsidRPr="009C6FD6" w:rsidRDefault="005F162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w:t>
            </w:r>
          </w:p>
        </w:tc>
      </w:tr>
      <w:tr w:rsidR="00B36D6D" w:rsidRPr="009C6FD6" w14:paraId="19571F76" w14:textId="1258F279" w:rsidTr="00BC3998">
        <w:trPr>
          <w:trHeight w:val="274"/>
        </w:trPr>
        <w:tc>
          <w:tcPr>
            <w:tcW w:w="2547" w:type="dxa"/>
            <w:vMerge/>
          </w:tcPr>
          <w:p w14:paraId="6DDD68B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6207EAC2"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20b</w:t>
            </w:r>
          </w:p>
        </w:tc>
        <w:tc>
          <w:tcPr>
            <w:tcW w:w="9356" w:type="dxa"/>
          </w:tcPr>
          <w:p w14:paraId="64C5F50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blinded, how blinding was achieved and description of the similarity of interventions</w:t>
            </w:r>
          </w:p>
        </w:tc>
        <w:tc>
          <w:tcPr>
            <w:tcW w:w="1417" w:type="dxa"/>
          </w:tcPr>
          <w:p w14:paraId="795AB5B0" w14:textId="07C21860" w:rsidR="00B36D6D" w:rsidRPr="009C6FD6" w:rsidRDefault="005F162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w:t>
            </w:r>
          </w:p>
        </w:tc>
      </w:tr>
      <w:tr w:rsidR="00B36D6D" w:rsidRPr="009C6FD6" w14:paraId="039E9794" w14:textId="27F927CF" w:rsidTr="00BC3998">
        <w:trPr>
          <w:trHeight w:val="225"/>
        </w:trPr>
        <w:tc>
          <w:tcPr>
            <w:tcW w:w="2547" w:type="dxa"/>
            <w:vMerge w:val="restart"/>
          </w:tcPr>
          <w:p w14:paraId="3E5EB1A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Statistical methods</w:t>
            </w:r>
          </w:p>
        </w:tc>
        <w:tc>
          <w:tcPr>
            <w:tcW w:w="992" w:type="dxa"/>
          </w:tcPr>
          <w:p w14:paraId="51D15D6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21a</w:t>
            </w:r>
          </w:p>
        </w:tc>
        <w:tc>
          <w:tcPr>
            <w:tcW w:w="9356" w:type="dxa"/>
          </w:tcPr>
          <w:p w14:paraId="67FA2D0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Statistical methods used to compare groups for primary and secondary outcomes, including harms</w:t>
            </w:r>
          </w:p>
        </w:tc>
        <w:tc>
          <w:tcPr>
            <w:tcW w:w="1417" w:type="dxa"/>
          </w:tcPr>
          <w:p w14:paraId="1C79083E" w14:textId="379F29E7" w:rsidR="00B36D6D" w:rsidRPr="009C6FD6" w:rsidRDefault="005F162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9</w:t>
            </w:r>
          </w:p>
        </w:tc>
      </w:tr>
      <w:tr w:rsidR="00B36D6D" w:rsidRPr="009C6FD6" w14:paraId="06CA6CC2" w14:textId="6A3DF668" w:rsidTr="00BC3998">
        <w:trPr>
          <w:trHeight w:val="225"/>
        </w:trPr>
        <w:tc>
          <w:tcPr>
            <w:tcW w:w="2547" w:type="dxa"/>
            <w:vMerge/>
          </w:tcPr>
          <w:p w14:paraId="7629AC0E"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37BA842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21b</w:t>
            </w:r>
          </w:p>
        </w:tc>
        <w:tc>
          <w:tcPr>
            <w:tcW w:w="9356" w:type="dxa"/>
          </w:tcPr>
          <w:p w14:paraId="096BC75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Definition of who is included in each analysis (e.g., all randomised participants), and in which group</w:t>
            </w:r>
          </w:p>
        </w:tc>
        <w:tc>
          <w:tcPr>
            <w:tcW w:w="1417" w:type="dxa"/>
          </w:tcPr>
          <w:p w14:paraId="6622E359" w14:textId="439975F2" w:rsidR="00B36D6D" w:rsidRPr="009C6FD6" w:rsidRDefault="005F162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9</w:t>
            </w:r>
          </w:p>
        </w:tc>
      </w:tr>
      <w:tr w:rsidR="00B36D6D" w:rsidRPr="009C6FD6" w14:paraId="35065EEA" w14:textId="6378B8ED" w:rsidTr="00BC3998">
        <w:trPr>
          <w:trHeight w:val="225"/>
        </w:trPr>
        <w:tc>
          <w:tcPr>
            <w:tcW w:w="2547" w:type="dxa"/>
            <w:vMerge/>
          </w:tcPr>
          <w:p w14:paraId="1EBB0B6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8B0EF0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21c</w:t>
            </w:r>
          </w:p>
        </w:tc>
        <w:tc>
          <w:tcPr>
            <w:tcW w:w="9356" w:type="dxa"/>
          </w:tcPr>
          <w:p w14:paraId="06CE57AE" w14:textId="77777777" w:rsidR="00B36D6D" w:rsidRPr="00B52CA9" w:rsidRDefault="00B36D6D">
            <w:pPr>
              <w:spacing w:line="240" w:lineRule="auto"/>
              <w:rPr>
                <w:rFonts w:ascii="Calibri" w:eastAsia="Calibri" w:hAnsi="Calibri" w:cs="Calibri"/>
                <w:color w:val="000000"/>
                <w:sz w:val="22"/>
                <w:szCs w:val="22"/>
                <w:lang w:val="en-GB"/>
              </w:rPr>
            </w:pPr>
            <w:r w:rsidRPr="00B52CA9">
              <w:rPr>
                <w:rFonts w:ascii="Calibri" w:eastAsia="Calibri" w:hAnsi="Calibri" w:cs="Calibri"/>
                <w:color w:val="000000"/>
                <w:sz w:val="22"/>
                <w:szCs w:val="22"/>
                <w:lang w:val="en-GB"/>
              </w:rPr>
              <w:t>How missing data were handled in the analysis</w:t>
            </w:r>
          </w:p>
        </w:tc>
        <w:tc>
          <w:tcPr>
            <w:tcW w:w="1417" w:type="dxa"/>
          </w:tcPr>
          <w:p w14:paraId="295B5602" w14:textId="324D8B1A" w:rsidR="00B36D6D" w:rsidRPr="009C6FD6" w:rsidRDefault="00B52CA9">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9</w:t>
            </w:r>
          </w:p>
        </w:tc>
      </w:tr>
      <w:tr w:rsidR="00B36D6D" w:rsidRPr="009C6FD6" w14:paraId="1498BEBC" w14:textId="2FFF5282" w:rsidTr="00BC3998">
        <w:trPr>
          <w:trHeight w:val="257"/>
        </w:trPr>
        <w:tc>
          <w:tcPr>
            <w:tcW w:w="2547" w:type="dxa"/>
            <w:vMerge/>
          </w:tcPr>
          <w:p w14:paraId="5074136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1018E21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21d</w:t>
            </w:r>
          </w:p>
        </w:tc>
        <w:tc>
          <w:tcPr>
            <w:tcW w:w="9356" w:type="dxa"/>
          </w:tcPr>
          <w:p w14:paraId="25A70C8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Methods for any additional analyses (e.g., subgroup and sensitivity analyses), distinguishing prespecified from post-hoc</w:t>
            </w:r>
          </w:p>
        </w:tc>
        <w:tc>
          <w:tcPr>
            <w:tcW w:w="1417" w:type="dxa"/>
          </w:tcPr>
          <w:p w14:paraId="710D1F83" w14:textId="76299E8C" w:rsidR="00B36D6D" w:rsidRPr="009C6FD6" w:rsidRDefault="005F162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20</w:t>
            </w:r>
          </w:p>
        </w:tc>
      </w:tr>
      <w:tr w:rsidR="00B36D6D" w:rsidRPr="009C6FD6" w14:paraId="3F41CCB8" w14:textId="1F7EE013" w:rsidTr="00BC3998">
        <w:trPr>
          <w:trHeight w:val="276"/>
        </w:trPr>
        <w:tc>
          <w:tcPr>
            <w:tcW w:w="12895" w:type="dxa"/>
            <w:gridSpan w:val="3"/>
            <w:shd w:val="clear" w:color="auto" w:fill="BDD7EE"/>
            <w:vAlign w:val="bottom"/>
          </w:tcPr>
          <w:p w14:paraId="42D9F967"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Results</w:t>
            </w:r>
          </w:p>
        </w:tc>
        <w:tc>
          <w:tcPr>
            <w:tcW w:w="1417" w:type="dxa"/>
            <w:shd w:val="clear" w:color="auto" w:fill="C6D9F1" w:themeFill="text2" w:themeFillTint="33"/>
          </w:tcPr>
          <w:p w14:paraId="6166F990"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510F8ECC" w14:textId="46810026" w:rsidTr="00BC3998">
        <w:trPr>
          <w:trHeight w:val="409"/>
        </w:trPr>
        <w:tc>
          <w:tcPr>
            <w:tcW w:w="2547" w:type="dxa"/>
            <w:vMerge w:val="restart"/>
          </w:tcPr>
          <w:p w14:paraId="5A5782B0"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Participant flow, including flow diagram</w:t>
            </w:r>
          </w:p>
        </w:tc>
        <w:tc>
          <w:tcPr>
            <w:tcW w:w="992" w:type="dxa"/>
          </w:tcPr>
          <w:p w14:paraId="6A3D7D97"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22a</w:t>
            </w:r>
          </w:p>
        </w:tc>
        <w:tc>
          <w:tcPr>
            <w:tcW w:w="9356" w:type="dxa"/>
          </w:tcPr>
          <w:p w14:paraId="5407FA06" w14:textId="61442A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For each group, the numbers of participants who were randomly assigned, received intended </w:t>
            </w:r>
            <w:r>
              <w:rPr>
                <w:rFonts w:ascii="Calibri" w:eastAsia="Calibri" w:hAnsi="Calibri" w:cs="Calibri"/>
                <w:color w:val="000000"/>
                <w:sz w:val="22"/>
                <w:szCs w:val="22"/>
                <w:lang w:val="en-GB"/>
              </w:rPr>
              <w:t>intervention</w:t>
            </w:r>
            <w:r w:rsidRPr="009C6FD6">
              <w:rPr>
                <w:rFonts w:ascii="Calibri" w:eastAsia="Calibri" w:hAnsi="Calibri" w:cs="Calibri"/>
                <w:color w:val="000000"/>
                <w:sz w:val="22"/>
                <w:szCs w:val="22"/>
                <w:lang w:val="en-GB"/>
              </w:rPr>
              <w:t>, and were analysed for the primary outcome</w:t>
            </w:r>
          </w:p>
        </w:tc>
        <w:tc>
          <w:tcPr>
            <w:tcW w:w="1417" w:type="dxa"/>
          </w:tcPr>
          <w:p w14:paraId="5DEF8ECA" w14:textId="35B45D64" w:rsidR="00B36D6D" w:rsidRPr="009C6FD6" w:rsidRDefault="005F162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9</w:t>
            </w:r>
          </w:p>
        </w:tc>
      </w:tr>
      <w:tr w:rsidR="00B36D6D" w:rsidRPr="009C6FD6" w14:paraId="2FE65AFD" w14:textId="4A45C52E" w:rsidTr="00BC3998">
        <w:trPr>
          <w:trHeight w:val="189"/>
        </w:trPr>
        <w:tc>
          <w:tcPr>
            <w:tcW w:w="2547" w:type="dxa"/>
            <w:vMerge/>
          </w:tcPr>
          <w:p w14:paraId="5CE6010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7EC31A7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22b</w:t>
            </w:r>
          </w:p>
        </w:tc>
        <w:tc>
          <w:tcPr>
            <w:tcW w:w="9356" w:type="dxa"/>
          </w:tcPr>
          <w:p w14:paraId="1DDC84F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For each group, losses and exclusions after randomisation, together with reasons</w:t>
            </w:r>
          </w:p>
        </w:tc>
        <w:tc>
          <w:tcPr>
            <w:tcW w:w="1417" w:type="dxa"/>
          </w:tcPr>
          <w:p w14:paraId="71AA61D4" w14:textId="636F9AD2" w:rsidR="00B36D6D" w:rsidRPr="009C6FD6" w:rsidRDefault="005F162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9</w:t>
            </w:r>
          </w:p>
        </w:tc>
      </w:tr>
      <w:tr w:rsidR="00B36D6D" w:rsidRPr="009C6FD6" w14:paraId="59CD0FA1" w14:textId="30780657" w:rsidTr="00BC3998">
        <w:trPr>
          <w:trHeight w:val="221"/>
        </w:trPr>
        <w:tc>
          <w:tcPr>
            <w:tcW w:w="2547" w:type="dxa"/>
            <w:vMerge w:val="restart"/>
          </w:tcPr>
          <w:p w14:paraId="333D728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Recruitment</w:t>
            </w:r>
          </w:p>
        </w:tc>
        <w:tc>
          <w:tcPr>
            <w:tcW w:w="992" w:type="dxa"/>
          </w:tcPr>
          <w:p w14:paraId="575F7DFB"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23a</w:t>
            </w:r>
          </w:p>
        </w:tc>
        <w:tc>
          <w:tcPr>
            <w:tcW w:w="9356" w:type="dxa"/>
          </w:tcPr>
          <w:p w14:paraId="0570F75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Dates defining the periods of recruitment and follow-up for outcomes of benefits and harms</w:t>
            </w:r>
          </w:p>
        </w:tc>
        <w:tc>
          <w:tcPr>
            <w:tcW w:w="1417" w:type="dxa"/>
          </w:tcPr>
          <w:p w14:paraId="0798090E" w14:textId="4B934DCB" w:rsidR="00B36D6D" w:rsidRPr="009C6FD6" w:rsidRDefault="005F162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7</w:t>
            </w:r>
          </w:p>
        </w:tc>
      </w:tr>
      <w:tr w:rsidR="00B36D6D" w:rsidRPr="009C6FD6" w14:paraId="09AF0A77" w14:textId="6EA02291" w:rsidTr="00BC3998">
        <w:trPr>
          <w:trHeight w:val="276"/>
        </w:trPr>
        <w:tc>
          <w:tcPr>
            <w:tcW w:w="2547" w:type="dxa"/>
            <w:vMerge/>
          </w:tcPr>
          <w:p w14:paraId="2ADD839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F0DBAC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23b</w:t>
            </w:r>
          </w:p>
        </w:tc>
        <w:tc>
          <w:tcPr>
            <w:tcW w:w="9356" w:type="dxa"/>
          </w:tcPr>
          <w:p w14:paraId="1CC3415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relevant, why the trial ended or was stopped</w:t>
            </w:r>
          </w:p>
        </w:tc>
        <w:tc>
          <w:tcPr>
            <w:tcW w:w="1417" w:type="dxa"/>
          </w:tcPr>
          <w:p w14:paraId="105B15A1" w14:textId="6D1C46FA" w:rsidR="00B36D6D" w:rsidRPr="009C6FD6" w:rsidRDefault="005F162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7</w:t>
            </w:r>
          </w:p>
        </w:tc>
      </w:tr>
      <w:tr w:rsidR="00B36D6D" w:rsidRPr="009C6FD6" w14:paraId="6606AF75" w14:textId="11598C32" w:rsidTr="00BC3998">
        <w:trPr>
          <w:trHeight w:val="441"/>
        </w:trPr>
        <w:tc>
          <w:tcPr>
            <w:tcW w:w="2547" w:type="dxa"/>
            <w:vMerge w:val="restart"/>
          </w:tcPr>
          <w:p w14:paraId="1B3138DF" w14:textId="6EF71583"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lastRenderedPageBreak/>
              <w:t>Intervention</w:t>
            </w:r>
            <w:r>
              <w:rPr>
                <w:rFonts w:ascii="Calibri" w:eastAsia="Calibri" w:hAnsi="Calibri" w:cs="Calibri"/>
                <w:color w:val="000000"/>
                <w:sz w:val="22"/>
                <w:szCs w:val="22"/>
                <w:lang w:val="en-GB"/>
              </w:rPr>
              <w:t xml:space="preserve"> and comparator</w:t>
            </w:r>
            <w:r w:rsidRPr="009C6FD6">
              <w:rPr>
                <w:rFonts w:ascii="Calibri" w:eastAsia="Calibri" w:hAnsi="Calibri" w:cs="Calibri"/>
                <w:color w:val="000000"/>
                <w:sz w:val="22"/>
                <w:szCs w:val="22"/>
                <w:lang w:val="en-GB"/>
              </w:rPr>
              <w:t xml:space="preserve"> delivery</w:t>
            </w:r>
          </w:p>
        </w:tc>
        <w:tc>
          <w:tcPr>
            <w:tcW w:w="992" w:type="dxa"/>
          </w:tcPr>
          <w:p w14:paraId="4A5F7AF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24a</w:t>
            </w:r>
          </w:p>
        </w:tc>
        <w:tc>
          <w:tcPr>
            <w:tcW w:w="9356" w:type="dxa"/>
          </w:tcPr>
          <w:p w14:paraId="4BFDE352" w14:textId="4785DB30"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Intervention and comparator as they were </w:t>
            </w:r>
            <w:proofErr w:type="gramStart"/>
            <w:r w:rsidRPr="009C6FD6">
              <w:rPr>
                <w:rFonts w:ascii="Calibri" w:eastAsia="Calibri" w:hAnsi="Calibri" w:cs="Calibri"/>
                <w:color w:val="000000"/>
                <w:sz w:val="22"/>
                <w:szCs w:val="22"/>
                <w:lang w:val="en-GB"/>
              </w:rPr>
              <w:t>actually administered</w:t>
            </w:r>
            <w:proofErr w:type="gramEnd"/>
            <w:r w:rsidRPr="009C6FD6">
              <w:rPr>
                <w:rFonts w:ascii="Calibri" w:eastAsia="Calibri" w:hAnsi="Calibri" w:cs="Calibri"/>
                <w:color w:val="000000"/>
                <w:sz w:val="22"/>
                <w:szCs w:val="22"/>
                <w:lang w:val="en-GB"/>
              </w:rPr>
              <w:t xml:space="preserve"> (e.g., where appropriate, who delivered the intervention</w:t>
            </w:r>
            <w:r>
              <w:rPr>
                <w:rFonts w:ascii="Calibri" w:eastAsia="Calibri" w:hAnsi="Calibri" w:cs="Calibri"/>
                <w:color w:val="000000"/>
                <w:sz w:val="22"/>
                <w:szCs w:val="22"/>
                <w:lang w:val="en-GB"/>
              </w:rPr>
              <w:t>/comparator</w:t>
            </w:r>
            <w:r w:rsidRPr="009C6FD6">
              <w:rPr>
                <w:rFonts w:ascii="Calibri" w:eastAsia="Calibri" w:hAnsi="Calibri" w:cs="Calibri"/>
                <w:color w:val="000000"/>
                <w:sz w:val="22"/>
                <w:szCs w:val="22"/>
                <w:lang w:val="en-GB"/>
              </w:rPr>
              <w:t xml:space="preserve">, how participants adhered, whether </w:t>
            </w:r>
            <w:r>
              <w:rPr>
                <w:rFonts w:ascii="Calibri" w:eastAsia="Calibri" w:hAnsi="Calibri" w:cs="Calibri"/>
                <w:color w:val="000000"/>
                <w:sz w:val="22"/>
                <w:szCs w:val="22"/>
                <w:lang w:val="en-GB"/>
              </w:rPr>
              <w:t xml:space="preserve">they were </w:t>
            </w:r>
            <w:r w:rsidRPr="009C6FD6">
              <w:rPr>
                <w:rFonts w:ascii="Calibri" w:eastAsia="Calibri" w:hAnsi="Calibri" w:cs="Calibri"/>
                <w:color w:val="000000"/>
                <w:sz w:val="22"/>
                <w:szCs w:val="22"/>
                <w:lang w:val="en-GB"/>
              </w:rPr>
              <w:t xml:space="preserve">delivered as intended [fidelity]) </w:t>
            </w:r>
          </w:p>
        </w:tc>
        <w:tc>
          <w:tcPr>
            <w:tcW w:w="1417" w:type="dxa"/>
          </w:tcPr>
          <w:p w14:paraId="33641150" w14:textId="63DE2BB3" w:rsidR="00B36D6D" w:rsidRPr="009C6FD6" w:rsidRDefault="00B52CA9">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w:t>
            </w:r>
          </w:p>
        </w:tc>
      </w:tr>
      <w:tr w:rsidR="00B36D6D" w:rsidRPr="009C6FD6" w14:paraId="033933B9" w14:textId="20F8F7EA" w:rsidTr="00BC3998">
        <w:trPr>
          <w:trHeight w:val="243"/>
        </w:trPr>
        <w:tc>
          <w:tcPr>
            <w:tcW w:w="2547" w:type="dxa"/>
            <w:vMerge/>
          </w:tcPr>
          <w:p w14:paraId="29860036"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14C2CFE4"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24b</w:t>
            </w:r>
          </w:p>
        </w:tc>
        <w:tc>
          <w:tcPr>
            <w:tcW w:w="9356" w:type="dxa"/>
          </w:tcPr>
          <w:p w14:paraId="10AE211E"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Concomitant care received during the trial for each group</w:t>
            </w:r>
          </w:p>
        </w:tc>
        <w:tc>
          <w:tcPr>
            <w:tcW w:w="1417" w:type="dxa"/>
          </w:tcPr>
          <w:p w14:paraId="0A4B9B49" w14:textId="5D3F6843" w:rsidR="00B36D6D" w:rsidRPr="009C6FD6" w:rsidRDefault="00B52CA9">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w:t>
            </w:r>
          </w:p>
        </w:tc>
      </w:tr>
      <w:tr w:rsidR="00B36D6D" w:rsidRPr="009C6FD6" w14:paraId="63F6DFC5" w14:textId="1190F9BE" w:rsidTr="00BC3998">
        <w:trPr>
          <w:trHeight w:val="243"/>
        </w:trPr>
        <w:tc>
          <w:tcPr>
            <w:tcW w:w="2547" w:type="dxa"/>
          </w:tcPr>
          <w:p w14:paraId="4482000C"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Baseline data</w:t>
            </w:r>
          </w:p>
        </w:tc>
        <w:tc>
          <w:tcPr>
            <w:tcW w:w="992" w:type="dxa"/>
          </w:tcPr>
          <w:p w14:paraId="4A489CE9"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25</w:t>
            </w:r>
          </w:p>
        </w:tc>
        <w:tc>
          <w:tcPr>
            <w:tcW w:w="9356" w:type="dxa"/>
          </w:tcPr>
          <w:p w14:paraId="5EB86B3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 table showing baseline demographic and clinical characteristics for each group</w:t>
            </w:r>
          </w:p>
        </w:tc>
        <w:tc>
          <w:tcPr>
            <w:tcW w:w="1417" w:type="dxa"/>
          </w:tcPr>
          <w:p w14:paraId="01C9A6AC" w14:textId="7A6AC8BD" w:rsidR="00B36D6D" w:rsidRPr="009C6FD6" w:rsidRDefault="00B52CA9">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10</w:t>
            </w:r>
          </w:p>
        </w:tc>
      </w:tr>
      <w:tr w:rsidR="00B36D6D" w:rsidRPr="009C6FD6" w14:paraId="7EA4CB43" w14:textId="300BD440" w:rsidTr="00BC3998">
        <w:trPr>
          <w:trHeight w:val="416"/>
        </w:trPr>
        <w:tc>
          <w:tcPr>
            <w:tcW w:w="2547" w:type="dxa"/>
          </w:tcPr>
          <w:p w14:paraId="10F375E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Numbers analysed, </w:t>
            </w:r>
          </w:p>
          <w:p w14:paraId="66FE5FD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outcomes and estimation</w:t>
            </w:r>
          </w:p>
        </w:tc>
        <w:tc>
          <w:tcPr>
            <w:tcW w:w="992" w:type="dxa"/>
          </w:tcPr>
          <w:p w14:paraId="47AF241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26</w:t>
            </w:r>
          </w:p>
        </w:tc>
        <w:tc>
          <w:tcPr>
            <w:tcW w:w="9356" w:type="dxa"/>
          </w:tcPr>
          <w:p w14:paraId="2508DC5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For each primary and secondary outcome, by group: </w:t>
            </w:r>
          </w:p>
          <w:p w14:paraId="5FFA398B" w14:textId="77777777"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 xml:space="preserve">the number of participants included in the analysis </w:t>
            </w:r>
          </w:p>
          <w:p w14:paraId="1D7E62F7" w14:textId="77777777"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the number of participants with available data at the outcome time point</w:t>
            </w:r>
          </w:p>
          <w:p w14:paraId="14A74C90" w14:textId="77777777"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 xml:space="preserve">result for each group, and the estimated effect size and its precision (such as 95% confidence interval) </w:t>
            </w:r>
          </w:p>
          <w:p w14:paraId="7130F7F1" w14:textId="77777777" w:rsidR="00B36D6D" w:rsidRPr="009C6FD6" w:rsidRDefault="00B36D6D" w:rsidP="0003760B">
            <w:pPr>
              <w:numPr>
                <w:ilvl w:val="0"/>
                <w:numId w:val="4"/>
              </w:numPr>
              <w:spacing w:after="160" w:line="240" w:lineRule="auto"/>
              <w:rPr>
                <w:color w:val="000000"/>
                <w:sz w:val="22"/>
                <w:szCs w:val="22"/>
                <w:lang w:val="en-GB"/>
              </w:rPr>
            </w:pPr>
            <w:r w:rsidRPr="009C6FD6">
              <w:rPr>
                <w:rFonts w:ascii="Calibri" w:eastAsia="Calibri" w:hAnsi="Calibri" w:cs="Calibri"/>
                <w:color w:val="000000"/>
                <w:sz w:val="22"/>
                <w:szCs w:val="22"/>
                <w:lang w:val="en-GB"/>
              </w:rPr>
              <w:t xml:space="preserve">for binary outcomes, presentation of both absolute and relative effect size </w:t>
            </w:r>
          </w:p>
        </w:tc>
        <w:tc>
          <w:tcPr>
            <w:tcW w:w="1417" w:type="dxa"/>
          </w:tcPr>
          <w:p w14:paraId="50DA64D5" w14:textId="6D13EB20" w:rsidR="00B36D6D" w:rsidRPr="009C6FD6" w:rsidRDefault="003B37F1">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15</w:t>
            </w:r>
          </w:p>
        </w:tc>
      </w:tr>
      <w:tr w:rsidR="00B36D6D" w:rsidRPr="009C6FD6" w14:paraId="313A3717" w14:textId="655B1818" w:rsidTr="00BC3998">
        <w:trPr>
          <w:trHeight w:val="204"/>
        </w:trPr>
        <w:tc>
          <w:tcPr>
            <w:tcW w:w="2547" w:type="dxa"/>
          </w:tcPr>
          <w:p w14:paraId="1316CD2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Harms</w:t>
            </w:r>
          </w:p>
        </w:tc>
        <w:tc>
          <w:tcPr>
            <w:tcW w:w="992" w:type="dxa"/>
          </w:tcPr>
          <w:p w14:paraId="6CC8A50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27</w:t>
            </w:r>
          </w:p>
        </w:tc>
        <w:tc>
          <w:tcPr>
            <w:tcW w:w="9356" w:type="dxa"/>
          </w:tcPr>
          <w:p w14:paraId="687024A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All harms or unintended events in each group </w:t>
            </w:r>
          </w:p>
        </w:tc>
        <w:tc>
          <w:tcPr>
            <w:tcW w:w="1417" w:type="dxa"/>
          </w:tcPr>
          <w:p w14:paraId="72B82CF4" w14:textId="13E3BE71" w:rsidR="00B36D6D" w:rsidRPr="009C6FD6" w:rsidRDefault="000848CA">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30</w:t>
            </w:r>
          </w:p>
        </w:tc>
      </w:tr>
      <w:tr w:rsidR="00B36D6D" w:rsidRPr="009C6FD6" w14:paraId="16C77604" w14:textId="1EA17D7C" w:rsidTr="00BC3998">
        <w:trPr>
          <w:trHeight w:val="416"/>
        </w:trPr>
        <w:tc>
          <w:tcPr>
            <w:tcW w:w="2547" w:type="dxa"/>
          </w:tcPr>
          <w:p w14:paraId="216037D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Ancillary analyses</w:t>
            </w:r>
          </w:p>
        </w:tc>
        <w:tc>
          <w:tcPr>
            <w:tcW w:w="992" w:type="dxa"/>
          </w:tcPr>
          <w:p w14:paraId="034AD55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28</w:t>
            </w:r>
          </w:p>
        </w:tc>
        <w:tc>
          <w:tcPr>
            <w:tcW w:w="9356" w:type="dxa"/>
          </w:tcPr>
          <w:p w14:paraId="68E7918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Any other analyses performed, including subgroup and sensitivity analyses, distinguishing pre-specified from post-hoc</w:t>
            </w:r>
          </w:p>
        </w:tc>
        <w:tc>
          <w:tcPr>
            <w:tcW w:w="1417" w:type="dxa"/>
          </w:tcPr>
          <w:p w14:paraId="3457C6CE" w14:textId="63A889AF" w:rsidR="00B36D6D" w:rsidRPr="009C6FD6" w:rsidRDefault="00F1229A">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20</w:t>
            </w:r>
          </w:p>
        </w:tc>
      </w:tr>
      <w:tr w:rsidR="00B36D6D" w:rsidRPr="009C6FD6" w14:paraId="17517AC6" w14:textId="26728EA0" w:rsidTr="00BC3998">
        <w:trPr>
          <w:trHeight w:val="276"/>
        </w:trPr>
        <w:tc>
          <w:tcPr>
            <w:tcW w:w="12895" w:type="dxa"/>
            <w:gridSpan w:val="3"/>
            <w:shd w:val="clear" w:color="auto" w:fill="BDD7EE"/>
          </w:tcPr>
          <w:p w14:paraId="7D072CE0"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Discussion</w:t>
            </w:r>
          </w:p>
        </w:tc>
        <w:tc>
          <w:tcPr>
            <w:tcW w:w="1417" w:type="dxa"/>
            <w:shd w:val="clear" w:color="auto" w:fill="C6D9F1" w:themeFill="text2" w:themeFillTint="33"/>
          </w:tcPr>
          <w:p w14:paraId="13D65609"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56AC46E8" w14:textId="20AF5CCE" w:rsidTr="00BC3998">
        <w:trPr>
          <w:trHeight w:val="281"/>
        </w:trPr>
        <w:tc>
          <w:tcPr>
            <w:tcW w:w="2547" w:type="dxa"/>
          </w:tcPr>
          <w:p w14:paraId="2BDFB8E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Interpretation</w:t>
            </w:r>
          </w:p>
        </w:tc>
        <w:tc>
          <w:tcPr>
            <w:tcW w:w="992" w:type="dxa"/>
          </w:tcPr>
          <w:p w14:paraId="40C5278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29</w:t>
            </w:r>
          </w:p>
        </w:tc>
        <w:tc>
          <w:tcPr>
            <w:tcW w:w="9356" w:type="dxa"/>
          </w:tcPr>
          <w:p w14:paraId="6689FC9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Interpretation consistent with results, balancing benefits and harms, and considering other relevant evidence</w:t>
            </w:r>
          </w:p>
        </w:tc>
        <w:tc>
          <w:tcPr>
            <w:tcW w:w="1417" w:type="dxa"/>
          </w:tcPr>
          <w:p w14:paraId="028813E5" w14:textId="40A8F2A1" w:rsidR="00B36D6D" w:rsidRPr="009C6FD6" w:rsidRDefault="003B37F1">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22</w:t>
            </w:r>
          </w:p>
        </w:tc>
      </w:tr>
      <w:tr w:rsidR="00B36D6D" w:rsidRPr="009C6FD6" w14:paraId="29285F40" w14:textId="396FEF7D" w:rsidTr="00BC3998">
        <w:trPr>
          <w:trHeight w:val="281"/>
        </w:trPr>
        <w:tc>
          <w:tcPr>
            <w:tcW w:w="2547" w:type="dxa"/>
          </w:tcPr>
          <w:p w14:paraId="2A291D8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Limitations</w:t>
            </w:r>
          </w:p>
        </w:tc>
        <w:tc>
          <w:tcPr>
            <w:tcW w:w="992" w:type="dxa"/>
          </w:tcPr>
          <w:p w14:paraId="065DB4E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30</w:t>
            </w:r>
          </w:p>
        </w:tc>
        <w:tc>
          <w:tcPr>
            <w:tcW w:w="9356" w:type="dxa"/>
          </w:tcPr>
          <w:p w14:paraId="53F2EAD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limitations, addressing sources of potential bias, imprecision, generalisability, and, if relevant, multiplicity of analyses</w:t>
            </w:r>
          </w:p>
        </w:tc>
        <w:tc>
          <w:tcPr>
            <w:tcW w:w="1417" w:type="dxa"/>
          </w:tcPr>
          <w:p w14:paraId="16436A34" w14:textId="7FF77313" w:rsidR="00B36D6D" w:rsidRPr="009C6FD6" w:rsidRDefault="003B37F1">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26</w:t>
            </w:r>
          </w:p>
        </w:tc>
      </w:tr>
    </w:tbl>
    <w:p w14:paraId="306C2FFA" w14:textId="15CB366F" w:rsidR="00205372" w:rsidRDefault="00205372" w:rsidP="00B36D6D">
      <w:pPr>
        <w:spacing w:line="240" w:lineRule="auto"/>
        <w:rPr>
          <w:rFonts w:ascii="Calibri" w:hAnsi="Calibri" w:cs="Calibri"/>
          <w:b/>
          <w:sz w:val="22"/>
          <w:szCs w:val="22"/>
          <w:lang w:val="en-GB"/>
        </w:rPr>
      </w:pPr>
    </w:p>
    <w:p w14:paraId="7222F6F7" w14:textId="77777777"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t xml:space="preserve">*We strongly recommend reading this statement in conjunction with the CONSORT 2025 Explanation and Elaboration and/or the CONSORT 2025 Expanded Checklist for important clarifications on all the items. We also recommend reading relevant CONSORT extensions. See </w:t>
      </w:r>
      <w:hyperlink r:id="rId8" w:history="1">
        <w:r w:rsidRPr="00BC3998">
          <w:rPr>
            <w:rStyle w:val="Hyperlink"/>
            <w:rFonts w:ascii="Calibri" w:hAnsi="Calibri" w:cs="Calibri"/>
            <w:color w:val="0070C0"/>
            <w:sz w:val="20"/>
          </w:rPr>
          <w:t>www.consort-spirit.org</w:t>
        </w:r>
      </w:hyperlink>
      <w:r w:rsidRPr="00BC3998">
        <w:rPr>
          <w:rFonts w:ascii="Calibri" w:hAnsi="Calibri" w:cs="Calibri"/>
          <w:color w:val="0070C0"/>
          <w:sz w:val="20"/>
        </w:rPr>
        <w:t>.</w:t>
      </w:r>
    </w:p>
    <w:p w14:paraId="42695FFC" w14:textId="77777777" w:rsidR="00B36D6D" w:rsidRPr="00B36D6D" w:rsidRDefault="00B36D6D" w:rsidP="00B36D6D">
      <w:pPr>
        <w:spacing w:line="240" w:lineRule="auto"/>
        <w:rPr>
          <w:rFonts w:ascii="Calibri" w:hAnsi="Calibri" w:cs="Calibri"/>
          <w:b/>
          <w:sz w:val="20"/>
          <w:szCs w:val="20"/>
          <w:lang w:val="en-GB"/>
        </w:rPr>
      </w:pPr>
    </w:p>
    <w:p w14:paraId="510D033D" w14:textId="40D56C70"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t xml:space="preserve">Citation: Hopewell S, Chan AW, Collins GS, Hróbjartsson A, Moher D, Schulz KF, et al. CONSORT 2025 Statement: updated guideline for reporting randomised trials. BMJ. 2025; </w:t>
      </w:r>
      <w:proofErr w:type="gramStart"/>
      <w:r w:rsidRPr="00B36D6D">
        <w:rPr>
          <w:rFonts w:ascii="Calibri" w:hAnsi="Calibri" w:cs="Calibri"/>
          <w:sz w:val="20"/>
        </w:rPr>
        <w:t>388:e</w:t>
      </w:r>
      <w:proofErr w:type="gramEnd"/>
      <w:r w:rsidRPr="00B36D6D">
        <w:rPr>
          <w:rFonts w:ascii="Calibri" w:hAnsi="Calibri" w:cs="Calibri"/>
          <w:sz w:val="20"/>
        </w:rPr>
        <w:t xml:space="preserve">081123. </w:t>
      </w:r>
      <w:hyperlink r:id="rId9" w:history="1">
        <w:r w:rsidRPr="00BC3998">
          <w:rPr>
            <w:rStyle w:val="Hyperlink"/>
            <w:rFonts w:ascii="Calibri" w:hAnsi="Calibri" w:cs="Calibri"/>
            <w:color w:val="0070C0"/>
            <w:sz w:val="20"/>
          </w:rPr>
          <w:t>https://dx.doi.org/10.1136/bmj-2024-081123</w:t>
        </w:r>
      </w:hyperlink>
      <w:r w:rsidR="00BC3998">
        <w:rPr>
          <w:rFonts w:ascii="Calibri" w:hAnsi="Calibri" w:cs="Calibri"/>
          <w:color w:val="0070C0"/>
          <w:sz w:val="20"/>
        </w:rPr>
        <w:t>.</w:t>
      </w:r>
      <w:r w:rsidRPr="00BC3998">
        <w:rPr>
          <w:rFonts w:ascii="Calibri" w:hAnsi="Calibri" w:cs="Calibri"/>
          <w:color w:val="0070C0"/>
          <w:sz w:val="20"/>
        </w:rPr>
        <w:t xml:space="preserve"> </w:t>
      </w:r>
    </w:p>
    <w:p w14:paraId="0B985716" w14:textId="5F9422EF"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br/>
        <w:t>© 2025 Hopewell et al. This is an Open Access article distributed under the terms of the Creative Commons Attribution License (</w:t>
      </w:r>
      <w:hyperlink r:id="rId10" w:history="1">
        <w:r w:rsidRPr="002667FC">
          <w:rPr>
            <w:rStyle w:val="Hyperlink"/>
            <w:rFonts w:ascii="Calibri" w:hAnsi="Calibri" w:cs="Calibri"/>
            <w:color w:val="0070C0"/>
            <w:sz w:val="20"/>
          </w:rPr>
          <w:t>https://creativecommons.org/licenses/by/4.0/</w:t>
        </w:r>
      </w:hyperlink>
      <w:r w:rsidRPr="00B36D6D">
        <w:rPr>
          <w:rFonts w:ascii="Calibri" w:hAnsi="Calibri" w:cs="Calibri"/>
          <w:sz w:val="20"/>
        </w:rPr>
        <w:t>), which permits unrestricted use, distribution, and reproduction in any medium, provided the original work is properly cited.</w:t>
      </w:r>
    </w:p>
    <w:sectPr w:rsidR="00B36D6D" w:rsidRPr="00B36D6D" w:rsidSect="00B36D6D">
      <w:footerReference w:type="default" r:id="rId11"/>
      <w:pgSz w:w="16838" w:h="11906" w:orient="landscape"/>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89DBD4" w14:textId="77777777" w:rsidR="00705FB3" w:rsidRDefault="00705FB3" w:rsidP="00B70CED">
      <w:pPr>
        <w:spacing w:line="240" w:lineRule="auto"/>
      </w:pPr>
      <w:r>
        <w:separator/>
      </w:r>
    </w:p>
  </w:endnote>
  <w:endnote w:type="continuationSeparator" w:id="0">
    <w:p w14:paraId="60A182D7" w14:textId="77777777" w:rsidR="00705FB3" w:rsidRDefault="00705FB3" w:rsidP="00B70C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604020202020204"/>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999078763"/>
      <w:docPartObj>
        <w:docPartGallery w:val="Page Numbers (Bottom of Page)"/>
        <w:docPartUnique/>
      </w:docPartObj>
    </w:sdtPr>
    <w:sdtEndPr>
      <w:rPr>
        <w:noProof/>
      </w:rPr>
    </w:sdtEndPr>
    <w:sdtContent>
      <w:p w14:paraId="4E24581E" w14:textId="48E1E977" w:rsidR="005D36BA" w:rsidRDefault="005D36B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51BCB0A" w14:textId="77777777" w:rsidR="005D36BA" w:rsidRDefault="005D36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0139D92" w14:textId="77777777" w:rsidR="00705FB3" w:rsidRDefault="00705FB3" w:rsidP="00B70CED">
      <w:pPr>
        <w:spacing w:line="240" w:lineRule="auto"/>
      </w:pPr>
      <w:r>
        <w:separator/>
      </w:r>
    </w:p>
  </w:footnote>
  <w:footnote w:type="continuationSeparator" w:id="0">
    <w:p w14:paraId="6A3631BD" w14:textId="77777777" w:rsidR="00705FB3" w:rsidRDefault="00705FB3" w:rsidP="00B70CE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FF51AA"/>
    <w:multiLevelType w:val="hybridMultilevel"/>
    <w:tmpl w:val="3858F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526928"/>
    <w:multiLevelType w:val="multilevel"/>
    <w:tmpl w:val="DE26D6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4747629"/>
    <w:multiLevelType w:val="multilevel"/>
    <w:tmpl w:val="FA4CD0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6B04ED5"/>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0DA4792A"/>
    <w:multiLevelType w:val="multilevel"/>
    <w:tmpl w:val="19A40FF4"/>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0DEC3680"/>
    <w:multiLevelType w:val="multilevel"/>
    <w:tmpl w:val="3682A6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13551E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13B40E6A"/>
    <w:multiLevelType w:val="multilevel"/>
    <w:tmpl w:val="577488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3BE25DE"/>
    <w:multiLevelType w:val="multilevel"/>
    <w:tmpl w:val="C81444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66B43C3"/>
    <w:multiLevelType w:val="multilevel"/>
    <w:tmpl w:val="8E18A2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174F56C1"/>
    <w:multiLevelType w:val="multilevel"/>
    <w:tmpl w:val="DED4FC3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1956410D"/>
    <w:multiLevelType w:val="multilevel"/>
    <w:tmpl w:val="BAFABD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A710E4B"/>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1A7D5873"/>
    <w:multiLevelType w:val="multilevel"/>
    <w:tmpl w:val="F182B9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C297ADA"/>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1E847482"/>
    <w:multiLevelType w:val="multilevel"/>
    <w:tmpl w:val="EB4A04B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238F6A3E"/>
    <w:multiLevelType w:val="multilevel"/>
    <w:tmpl w:val="20A025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24563540"/>
    <w:multiLevelType w:val="multilevel"/>
    <w:tmpl w:val="264A41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24EA65EE"/>
    <w:multiLevelType w:val="multilevel"/>
    <w:tmpl w:val="48DA3AF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276332F3"/>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2BC85C7F"/>
    <w:multiLevelType w:val="multilevel"/>
    <w:tmpl w:val="7D0214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2C04490F"/>
    <w:multiLevelType w:val="multilevel"/>
    <w:tmpl w:val="FDBC9C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2DA71A74"/>
    <w:multiLevelType w:val="multilevel"/>
    <w:tmpl w:val="F24C17B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2E146FC0"/>
    <w:multiLevelType w:val="multilevel"/>
    <w:tmpl w:val="C94CE8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2EDA138A"/>
    <w:multiLevelType w:val="multilevel"/>
    <w:tmpl w:val="7AE07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33462FE9"/>
    <w:multiLevelType w:val="multilevel"/>
    <w:tmpl w:val="8E42E8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34B1346C"/>
    <w:multiLevelType w:val="multilevel"/>
    <w:tmpl w:val="A72CE7A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39BA58DF"/>
    <w:multiLevelType w:val="multilevel"/>
    <w:tmpl w:val="36885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15:restartNumberingAfterBreak="0">
    <w:nsid w:val="3B4741B4"/>
    <w:multiLevelType w:val="multilevel"/>
    <w:tmpl w:val="9A7859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3C2E6404"/>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3EAC1CA0"/>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3F641F10"/>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42A16ADB"/>
    <w:multiLevelType w:val="multilevel"/>
    <w:tmpl w:val="333040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458B225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 w15:restartNumberingAfterBreak="0">
    <w:nsid w:val="45EE0DB9"/>
    <w:multiLevelType w:val="multilevel"/>
    <w:tmpl w:val="7AE07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 w15:restartNumberingAfterBreak="0">
    <w:nsid w:val="48150CFF"/>
    <w:multiLevelType w:val="multilevel"/>
    <w:tmpl w:val="9766B4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4C621D6C"/>
    <w:multiLevelType w:val="multilevel"/>
    <w:tmpl w:val="CD2C858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7" w15:restartNumberingAfterBreak="0">
    <w:nsid w:val="555679A0"/>
    <w:multiLevelType w:val="multilevel"/>
    <w:tmpl w:val="842C1B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57B037D4"/>
    <w:multiLevelType w:val="multilevel"/>
    <w:tmpl w:val="01661F1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9" w15:restartNumberingAfterBreak="0">
    <w:nsid w:val="5B7B54AC"/>
    <w:multiLevelType w:val="multilevel"/>
    <w:tmpl w:val="278A5A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5CEF03A7"/>
    <w:multiLevelType w:val="multilevel"/>
    <w:tmpl w:val="8A020A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5D096920"/>
    <w:multiLevelType w:val="multilevel"/>
    <w:tmpl w:val="77603E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2" w15:restartNumberingAfterBreak="0">
    <w:nsid w:val="5E3F5302"/>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3" w15:restartNumberingAfterBreak="0">
    <w:nsid w:val="65095829"/>
    <w:multiLevelType w:val="multilevel"/>
    <w:tmpl w:val="DE26D6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4" w15:restartNumberingAfterBreak="0">
    <w:nsid w:val="663E2AF6"/>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5" w15:restartNumberingAfterBreak="0">
    <w:nsid w:val="68D74F0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6" w15:restartNumberingAfterBreak="0">
    <w:nsid w:val="69AE0257"/>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7" w15:restartNumberingAfterBreak="0">
    <w:nsid w:val="6D8E355D"/>
    <w:multiLevelType w:val="multilevel"/>
    <w:tmpl w:val="36885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8" w15:restartNumberingAfterBreak="0">
    <w:nsid w:val="6EEE00C7"/>
    <w:multiLevelType w:val="multilevel"/>
    <w:tmpl w:val="0318ED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9" w15:restartNumberingAfterBreak="0">
    <w:nsid w:val="76A607C3"/>
    <w:multiLevelType w:val="multilevel"/>
    <w:tmpl w:val="E5FA6E7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0" w15:restartNumberingAfterBreak="0">
    <w:nsid w:val="7C3C6C86"/>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1" w15:restartNumberingAfterBreak="0">
    <w:nsid w:val="7F05309B"/>
    <w:multiLevelType w:val="multilevel"/>
    <w:tmpl w:val="B92A32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rPr>
    </w:lvl>
    <w:lvl w:ilvl="2">
      <w:numFmt w:val="bullet"/>
      <w:lvlText w:val="-"/>
      <w:lvlJc w:val="left"/>
      <w:pPr>
        <w:ind w:left="2160" w:hanging="360"/>
      </w:pPr>
      <w:rPr>
        <w:rFonts w:ascii="Calibri" w:eastAsia="Calibri" w:hAnsi="Calibri" w:cs="Calibri"/>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601989454">
    <w:abstractNumId w:val="25"/>
  </w:num>
  <w:num w:numId="2" w16cid:durableId="52630134">
    <w:abstractNumId w:val="51"/>
  </w:num>
  <w:num w:numId="3" w16cid:durableId="1504466151">
    <w:abstractNumId w:val="11"/>
  </w:num>
  <w:num w:numId="4" w16cid:durableId="423378145">
    <w:abstractNumId w:val="8"/>
  </w:num>
  <w:num w:numId="5" w16cid:durableId="126514983">
    <w:abstractNumId w:val="31"/>
  </w:num>
  <w:num w:numId="6" w16cid:durableId="1852141898">
    <w:abstractNumId w:val="5"/>
  </w:num>
  <w:num w:numId="7" w16cid:durableId="840435634">
    <w:abstractNumId w:val="36"/>
  </w:num>
  <w:num w:numId="8" w16cid:durableId="2060663774">
    <w:abstractNumId w:val="30"/>
  </w:num>
  <w:num w:numId="9" w16cid:durableId="1609124280">
    <w:abstractNumId w:val="16"/>
  </w:num>
  <w:num w:numId="10" w16cid:durableId="1151290203">
    <w:abstractNumId w:val="48"/>
  </w:num>
  <w:num w:numId="11" w16cid:durableId="142936646">
    <w:abstractNumId w:val="40"/>
  </w:num>
  <w:num w:numId="12" w16cid:durableId="165219399">
    <w:abstractNumId w:val="37"/>
  </w:num>
  <w:num w:numId="13" w16cid:durableId="622539090">
    <w:abstractNumId w:val="41"/>
  </w:num>
  <w:num w:numId="14" w16cid:durableId="2010980751">
    <w:abstractNumId w:val="18"/>
  </w:num>
  <w:num w:numId="15" w16cid:durableId="1049571710">
    <w:abstractNumId w:val="39"/>
  </w:num>
  <w:num w:numId="16" w16cid:durableId="54813659">
    <w:abstractNumId w:val="23"/>
  </w:num>
  <w:num w:numId="17" w16cid:durableId="1177302579">
    <w:abstractNumId w:val="1"/>
  </w:num>
  <w:num w:numId="18" w16cid:durableId="988948430">
    <w:abstractNumId w:val="22"/>
  </w:num>
  <w:num w:numId="19" w16cid:durableId="118378425">
    <w:abstractNumId w:val="50"/>
  </w:num>
  <w:num w:numId="20" w16cid:durableId="308831130">
    <w:abstractNumId w:val="27"/>
  </w:num>
  <w:num w:numId="21" w16cid:durableId="554660578">
    <w:abstractNumId w:val="38"/>
  </w:num>
  <w:num w:numId="22" w16cid:durableId="97260069">
    <w:abstractNumId w:val="4"/>
  </w:num>
  <w:num w:numId="23" w16cid:durableId="13894670">
    <w:abstractNumId w:val="20"/>
  </w:num>
  <w:num w:numId="24" w16cid:durableId="1519082156">
    <w:abstractNumId w:val="24"/>
  </w:num>
  <w:num w:numId="25" w16cid:durableId="2034963031">
    <w:abstractNumId w:val="9"/>
  </w:num>
  <w:num w:numId="26" w16cid:durableId="1804075111">
    <w:abstractNumId w:val="10"/>
  </w:num>
  <w:num w:numId="27" w16cid:durableId="45841405">
    <w:abstractNumId w:val="32"/>
  </w:num>
  <w:num w:numId="28" w16cid:durableId="2047829987">
    <w:abstractNumId w:val="7"/>
  </w:num>
  <w:num w:numId="29" w16cid:durableId="234902324">
    <w:abstractNumId w:val="17"/>
  </w:num>
  <w:num w:numId="30" w16cid:durableId="536554219">
    <w:abstractNumId w:val="26"/>
  </w:num>
  <w:num w:numId="31" w16cid:durableId="1090197286">
    <w:abstractNumId w:val="35"/>
  </w:num>
  <w:num w:numId="32" w16cid:durableId="434440709">
    <w:abstractNumId w:val="49"/>
  </w:num>
  <w:num w:numId="33" w16cid:durableId="1549955446">
    <w:abstractNumId w:val="15"/>
  </w:num>
  <w:num w:numId="34" w16cid:durableId="1082917385">
    <w:abstractNumId w:val="21"/>
  </w:num>
  <w:num w:numId="35" w16cid:durableId="1273973297">
    <w:abstractNumId w:val="13"/>
  </w:num>
  <w:num w:numId="36" w16cid:durableId="1016887373">
    <w:abstractNumId w:val="14"/>
  </w:num>
  <w:num w:numId="37" w16cid:durableId="2036534242">
    <w:abstractNumId w:val="29"/>
  </w:num>
  <w:num w:numId="38" w16cid:durableId="283079654">
    <w:abstractNumId w:val="34"/>
  </w:num>
  <w:num w:numId="39" w16cid:durableId="260916623">
    <w:abstractNumId w:val="47"/>
  </w:num>
  <w:num w:numId="40" w16cid:durableId="1783455087">
    <w:abstractNumId w:val="28"/>
  </w:num>
  <w:num w:numId="41" w16cid:durableId="1387559046">
    <w:abstractNumId w:val="2"/>
  </w:num>
  <w:num w:numId="42" w16cid:durableId="1679576847">
    <w:abstractNumId w:val="46"/>
  </w:num>
  <w:num w:numId="43" w16cid:durableId="2040692669">
    <w:abstractNumId w:val="19"/>
  </w:num>
  <w:num w:numId="44" w16cid:durableId="1697924831">
    <w:abstractNumId w:val="33"/>
  </w:num>
  <w:num w:numId="45" w16cid:durableId="1532454198">
    <w:abstractNumId w:val="6"/>
  </w:num>
  <w:num w:numId="46" w16cid:durableId="528419731">
    <w:abstractNumId w:val="45"/>
  </w:num>
  <w:num w:numId="47" w16cid:durableId="589697576">
    <w:abstractNumId w:val="44"/>
  </w:num>
  <w:num w:numId="48" w16cid:durableId="1226524354">
    <w:abstractNumId w:val="3"/>
  </w:num>
  <w:num w:numId="49" w16cid:durableId="1888763175">
    <w:abstractNumId w:val="43"/>
  </w:num>
  <w:num w:numId="50" w16cid:durableId="229271976">
    <w:abstractNumId w:val="42"/>
  </w:num>
  <w:num w:numId="51" w16cid:durableId="716705600">
    <w:abstractNumId w:val="12"/>
  </w:num>
  <w:num w:numId="52" w16cid:durableId="973489146">
    <w:abstractNumId w:val="0"/>
  </w:num>
  <w:numIdMacAtCleanup w:val="5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9"/>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sad259v8xftxde02do5aew2xprzfv05tdpf&quot;&gt;E&amp;amp;E_test&lt;record-ids&gt;&lt;item&gt;253&lt;/item&gt;&lt;item&gt;420&lt;/item&gt;&lt;item&gt;518&lt;/item&gt;&lt;item&gt;540&lt;/item&gt;&lt;item&gt;552&lt;/item&gt;&lt;item&gt;553&lt;/item&gt;&lt;item&gt;651&lt;/item&gt;&lt;item&gt;652&lt;/item&gt;&lt;item&gt;653&lt;/item&gt;&lt;item&gt;654&lt;/item&gt;&lt;item&gt;655&lt;/item&gt;&lt;item&gt;686&lt;/item&gt;&lt;item&gt;729&lt;/item&gt;&lt;item&gt;755&lt;/item&gt;&lt;item&gt;757&lt;/item&gt;&lt;item&gt;758&lt;/item&gt;&lt;item&gt;759&lt;/item&gt;&lt;item&gt;760&lt;/item&gt;&lt;item&gt;761&lt;/item&gt;&lt;item&gt;762&lt;/item&gt;&lt;item&gt;763&lt;/item&gt;&lt;/record-ids&gt;&lt;/item&gt;&lt;/Libraries&gt;"/>
  </w:docVars>
  <w:rsids>
    <w:rsidRoot w:val="0066499B"/>
    <w:rsid w:val="00002E3A"/>
    <w:rsid w:val="00004B8A"/>
    <w:rsid w:val="000052EB"/>
    <w:rsid w:val="00010B45"/>
    <w:rsid w:val="0001741E"/>
    <w:rsid w:val="00023E45"/>
    <w:rsid w:val="000269F1"/>
    <w:rsid w:val="00032145"/>
    <w:rsid w:val="000332D7"/>
    <w:rsid w:val="000337E6"/>
    <w:rsid w:val="00033930"/>
    <w:rsid w:val="00034A4F"/>
    <w:rsid w:val="0003760B"/>
    <w:rsid w:val="00037660"/>
    <w:rsid w:val="00040F55"/>
    <w:rsid w:val="000442C4"/>
    <w:rsid w:val="00051B62"/>
    <w:rsid w:val="00057324"/>
    <w:rsid w:val="0006034B"/>
    <w:rsid w:val="00062D76"/>
    <w:rsid w:val="000765BA"/>
    <w:rsid w:val="00077D3B"/>
    <w:rsid w:val="000848CA"/>
    <w:rsid w:val="00086BA2"/>
    <w:rsid w:val="000873D7"/>
    <w:rsid w:val="00087DBC"/>
    <w:rsid w:val="000911E2"/>
    <w:rsid w:val="00091AAE"/>
    <w:rsid w:val="00097E2D"/>
    <w:rsid w:val="000A70DC"/>
    <w:rsid w:val="000B178B"/>
    <w:rsid w:val="000B1F30"/>
    <w:rsid w:val="000B428B"/>
    <w:rsid w:val="000B5DC3"/>
    <w:rsid w:val="000B6338"/>
    <w:rsid w:val="000C0098"/>
    <w:rsid w:val="000C7EF4"/>
    <w:rsid w:val="000D0E19"/>
    <w:rsid w:val="000D1B70"/>
    <w:rsid w:val="000D1C69"/>
    <w:rsid w:val="000D2C5E"/>
    <w:rsid w:val="000E2FBD"/>
    <w:rsid w:val="000E6476"/>
    <w:rsid w:val="000F4E21"/>
    <w:rsid w:val="000F5CC5"/>
    <w:rsid w:val="000F7311"/>
    <w:rsid w:val="0010040B"/>
    <w:rsid w:val="00105792"/>
    <w:rsid w:val="00106EE4"/>
    <w:rsid w:val="00107E33"/>
    <w:rsid w:val="00111A72"/>
    <w:rsid w:val="00115CA0"/>
    <w:rsid w:val="00121DC1"/>
    <w:rsid w:val="00125307"/>
    <w:rsid w:val="00125543"/>
    <w:rsid w:val="001269C1"/>
    <w:rsid w:val="00136533"/>
    <w:rsid w:val="00144387"/>
    <w:rsid w:val="00150A22"/>
    <w:rsid w:val="00154CE6"/>
    <w:rsid w:val="001635C3"/>
    <w:rsid w:val="001736DB"/>
    <w:rsid w:val="00181A96"/>
    <w:rsid w:val="00186B28"/>
    <w:rsid w:val="00192092"/>
    <w:rsid w:val="00197A42"/>
    <w:rsid w:val="001A1D4E"/>
    <w:rsid w:val="001A32CA"/>
    <w:rsid w:val="001A637E"/>
    <w:rsid w:val="001A65BB"/>
    <w:rsid w:val="001B78FE"/>
    <w:rsid w:val="001C2A04"/>
    <w:rsid w:val="001D0F1B"/>
    <w:rsid w:val="001D15EE"/>
    <w:rsid w:val="001D1E9E"/>
    <w:rsid w:val="001D474D"/>
    <w:rsid w:val="001D6873"/>
    <w:rsid w:val="001E25EF"/>
    <w:rsid w:val="001E68DD"/>
    <w:rsid w:val="001F1827"/>
    <w:rsid w:val="001F26F3"/>
    <w:rsid w:val="001F5DB2"/>
    <w:rsid w:val="00205372"/>
    <w:rsid w:val="00207DD9"/>
    <w:rsid w:val="00216F7F"/>
    <w:rsid w:val="0022082D"/>
    <w:rsid w:val="00223870"/>
    <w:rsid w:val="0022637D"/>
    <w:rsid w:val="0023398C"/>
    <w:rsid w:val="00237DCB"/>
    <w:rsid w:val="00241AEB"/>
    <w:rsid w:val="0024370A"/>
    <w:rsid w:val="002444F7"/>
    <w:rsid w:val="00245C85"/>
    <w:rsid w:val="00247243"/>
    <w:rsid w:val="00252C5F"/>
    <w:rsid w:val="00257075"/>
    <w:rsid w:val="0026378D"/>
    <w:rsid w:val="00266404"/>
    <w:rsid w:val="002667FC"/>
    <w:rsid w:val="002765EE"/>
    <w:rsid w:val="0028555C"/>
    <w:rsid w:val="00287E07"/>
    <w:rsid w:val="00293348"/>
    <w:rsid w:val="002A082E"/>
    <w:rsid w:val="002A133F"/>
    <w:rsid w:val="002B02D2"/>
    <w:rsid w:val="002B4C02"/>
    <w:rsid w:val="002B613D"/>
    <w:rsid w:val="002E1786"/>
    <w:rsid w:val="002E20DB"/>
    <w:rsid w:val="002E7179"/>
    <w:rsid w:val="002F03A3"/>
    <w:rsid w:val="002F6947"/>
    <w:rsid w:val="002F6C14"/>
    <w:rsid w:val="003014A1"/>
    <w:rsid w:val="00303E84"/>
    <w:rsid w:val="00307256"/>
    <w:rsid w:val="003073E6"/>
    <w:rsid w:val="0031059E"/>
    <w:rsid w:val="00310FF9"/>
    <w:rsid w:val="00315FF2"/>
    <w:rsid w:val="003208B2"/>
    <w:rsid w:val="00323B13"/>
    <w:rsid w:val="0032437F"/>
    <w:rsid w:val="00325A9C"/>
    <w:rsid w:val="00326F63"/>
    <w:rsid w:val="00327BB5"/>
    <w:rsid w:val="0033220F"/>
    <w:rsid w:val="00332E28"/>
    <w:rsid w:val="00334262"/>
    <w:rsid w:val="0033455E"/>
    <w:rsid w:val="003444A3"/>
    <w:rsid w:val="00344CBC"/>
    <w:rsid w:val="00345202"/>
    <w:rsid w:val="00347BAE"/>
    <w:rsid w:val="00352DB7"/>
    <w:rsid w:val="00356E6F"/>
    <w:rsid w:val="00361A68"/>
    <w:rsid w:val="0036765F"/>
    <w:rsid w:val="003754B4"/>
    <w:rsid w:val="003755E4"/>
    <w:rsid w:val="00375D93"/>
    <w:rsid w:val="00377EE0"/>
    <w:rsid w:val="00382721"/>
    <w:rsid w:val="003842A0"/>
    <w:rsid w:val="0038481A"/>
    <w:rsid w:val="00394EF4"/>
    <w:rsid w:val="003A1599"/>
    <w:rsid w:val="003A653F"/>
    <w:rsid w:val="003B37F1"/>
    <w:rsid w:val="003B7126"/>
    <w:rsid w:val="003C53C3"/>
    <w:rsid w:val="003D0610"/>
    <w:rsid w:val="003D262F"/>
    <w:rsid w:val="003D2F00"/>
    <w:rsid w:val="003D2F4F"/>
    <w:rsid w:val="003E09D8"/>
    <w:rsid w:val="003E38BF"/>
    <w:rsid w:val="003E401B"/>
    <w:rsid w:val="003E70A3"/>
    <w:rsid w:val="003E767D"/>
    <w:rsid w:val="003E792C"/>
    <w:rsid w:val="003F7890"/>
    <w:rsid w:val="004017C5"/>
    <w:rsid w:val="00404822"/>
    <w:rsid w:val="00410B51"/>
    <w:rsid w:val="0042027B"/>
    <w:rsid w:val="004220F2"/>
    <w:rsid w:val="004325EF"/>
    <w:rsid w:val="00435A53"/>
    <w:rsid w:val="004426DF"/>
    <w:rsid w:val="00442B79"/>
    <w:rsid w:val="00445005"/>
    <w:rsid w:val="00450CFC"/>
    <w:rsid w:val="00452009"/>
    <w:rsid w:val="0045290A"/>
    <w:rsid w:val="00463BE4"/>
    <w:rsid w:val="00464B5D"/>
    <w:rsid w:val="004662FE"/>
    <w:rsid w:val="00466B69"/>
    <w:rsid w:val="004716E5"/>
    <w:rsid w:val="00473491"/>
    <w:rsid w:val="00474530"/>
    <w:rsid w:val="00477E97"/>
    <w:rsid w:val="00482DF5"/>
    <w:rsid w:val="00483D39"/>
    <w:rsid w:val="00487EF1"/>
    <w:rsid w:val="00494C27"/>
    <w:rsid w:val="004A061E"/>
    <w:rsid w:val="004B1675"/>
    <w:rsid w:val="004B333C"/>
    <w:rsid w:val="004C1DB0"/>
    <w:rsid w:val="004C569E"/>
    <w:rsid w:val="004E463B"/>
    <w:rsid w:val="004F0E1D"/>
    <w:rsid w:val="005005F8"/>
    <w:rsid w:val="0050444B"/>
    <w:rsid w:val="005058A4"/>
    <w:rsid w:val="00512A6C"/>
    <w:rsid w:val="0051360B"/>
    <w:rsid w:val="00522EEA"/>
    <w:rsid w:val="00530DE5"/>
    <w:rsid w:val="00540C08"/>
    <w:rsid w:val="00546CB2"/>
    <w:rsid w:val="00552D35"/>
    <w:rsid w:val="005547FA"/>
    <w:rsid w:val="00554D02"/>
    <w:rsid w:val="00555D93"/>
    <w:rsid w:val="00556ABD"/>
    <w:rsid w:val="00582053"/>
    <w:rsid w:val="00587E18"/>
    <w:rsid w:val="005953DF"/>
    <w:rsid w:val="00595CA0"/>
    <w:rsid w:val="005A148F"/>
    <w:rsid w:val="005C0D32"/>
    <w:rsid w:val="005C1AB5"/>
    <w:rsid w:val="005C260B"/>
    <w:rsid w:val="005C5A10"/>
    <w:rsid w:val="005C630B"/>
    <w:rsid w:val="005C6C23"/>
    <w:rsid w:val="005D18B5"/>
    <w:rsid w:val="005D1FCE"/>
    <w:rsid w:val="005D347B"/>
    <w:rsid w:val="005D36BA"/>
    <w:rsid w:val="005D5292"/>
    <w:rsid w:val="005E360F"/>
    <w:rsid w:val="005E52E9"/>
    <w:rsid w:val="005E72B6"/>
    <w:rsid w:val="005F1628"/>
    <w:rsid w:val="005F3311"/>
    <w:rsid w:val="005F579F"/>
    <w:rsid w:val="00600A67"/>
    <w:rsid w:val="00605C63"/>
    <w:rsid w:val="00607577"/>
    <w:rsid w:val="00607A6F"/>
    <w:rsid w:val="006117E9"/>
    <w:rsid w:val="00632CFB"/>
    <w:rsid w:val="006334AE"/>
    <w:rsid w:val="006335CF"/>
    <w:rsid w:val="00636BB9"/>
    <w:rsid w:val="00640BF3"/>
    <w:rsid w:val="0064618F"/>
    <w:rsid w:val="00647285"/>
    <w:rsid w:val="006561EF"/>
    <w:rsid w:val="0065698B"/>
    <w:rsid w:val="00657676"/>
    <w:rsid w:val="00662419"/>
    <w:rsid w:val="00662FA2"/>
    <w:rsid w:val="0066407A"/>
    <w:rsid w:val="0066450D"/>
    <w:rsid w:val="0066499B"/>
    <w:rsid w:val="00666517"/>
    <w:rsid w:val="00681302"/>
    <w:rsid w:val="00686208"/>
    <w:rsid w:val="006942F5"/>
    <w:rsid w:val="00696760"/>
    <w:rsid w:val="00696CFF"/>
    <w:rsid w:val="006A1C20"/>
    <w:rsid w:val="006A61B0"/>
    <w:rsid w:val="006B2754"/>
    <w:rsid w:val="006B32F4"/>
    <w:rsid w:val="006B65AB"/>
    <w:rsid w:val="006B7240"/>
    <w:rsid w:val="006C1C06"/>
    <w:rsid w:val="006C2F2F"/>
    <w:rsid w:val="006C3BCB"/>
    <w:rsid w:val="006D6C49"/>
    <w:rsid w:val="006E173A"/>
    <w:rsid w:val="006F4D0E"/>
    <w:rsid w:val="00700A3B"/>
    <w:rsid w:val="00705FB3"/>
    <w:rsid w:val="00707923"/>
    <w:rsid w:val="0071155E"/>
    <w:rsid w:val="00711D4A"/>
    <w:rsid w:val="007144F4"/>
    <w:rsid w:val="00714FC0"/>
    <w:rsid w:val="007222F8"/>
    <w:rsid w:val="00722872"/>
    <w:rsid w:val="007258D2"/>
    <w:rsid w:val="007259A1"/>
    <w:rsid w:val="00726FDA"/>
    <w:rsid w:val="007273C5"/>
    <w:rsid w:val="00731D29"/>
    <w:rsid w:val="007333AB"/>
    <w:rsid w:val="00734206"/>
    <w:rsid w:val="00734F5E"/>
    <w:rsid w:val="007351A5"/>
    <w:rsid w:val="007375B0"/>
    <w:rsid w:val="00740B0B"/>
    <w:rsid w:val="00741DFF"/>
    <w:rsid w:val="00750D11"/>
    <w:rsid w:val="0075239C"/>
    <w:rsid w:val="007539F6"/>
    <w:rsid w:val="00767C06"/>
    <w:rsid w:val="00772657"/>
    <w:rsid w:val="00775CF3"/>
    <w:rsid w:val="007863AF"/>
    <w:rsid w:val="00786C90"/>
    <w:rsid w:val="007A2B06"/>
    <w:rsid w:val="007A314F"/>
    <w:rsid w:val="007B10BA"/>
    <w:rsid w:val="007B68BD"/>
    <w:rsid w:val="007B780E"/>
    <w:rsid w:val="007B7A8C"/>
    <w:rsid w:val="007B7ABC"/>
    <w:rsid w:val="007C39B4"/>
    <w:rsid w:val="007C7651"/>
    <w:rsid w:val="007D0B0C"/>
    <w:rsid w:val="007D17B4"/>
    <w:rsid w:val="007D41FE"/>
    <w:rsid w:val="007E72F6"/>
    <w:rsid w:val="007E7555"/>
    <w:rsid w:val="007E7898"/>
    <w:rsid w:val="007F3B42"/>
    <w:rsid w:val="007F54F4"/>
    <w:rsid w:val="007F69B2"/>
    <w:rsid w:val="007F6C7C"/>
    <w:rsid w:val="008147F7"/>
    <w:rsid w:val="00815226"/>
    <w:rsid w:val="008155C4"/>
    <w:rsid w:val="008234BD"/>
    <w:rsid w:val="00832886"/>
    <w:rsid w:val="00833A59"/>
    <w:rsid w:val="00842742"/>
    <w:rsid w:val="00843C77"/>
    <w:rsid w:val="0084676C"/>
    <w:rsid w:val="00854A11"/>
    <w:rsid w:val="0086302C"/>
    <w:rsid w:val="00863E57"/>
    <w:rsid w:val="00864E16"/>
    <w:rsid w:val="00872543"/>
    <w:rsid w:val="0087268C"/>
    <w:rsid w:val="008726C1"/>
    <w:rsid w:val="00872E44"/>
    <w:rsid w:val="0087770C"/>
    <w:rsid w:val="00882AC2"/>
    <w:rsid w:val="00885B54"/>
    <w:rsid w:val="00887689"/>
    <w:rsid w:val="008900D9"/>
    <w:rsid w:val="00893C4F"/>
    <w:rsid w:val="0089458B"/>
    <w:rsid w:val="008954B8"/>
    <w:rsid w:val="008A0C45"/>
    <w:rsid w:val="008A0DA2"/>
    <w:rsid w:val="008A2083"/>
    <w:rsid w:val="008A3836"/>
    <w:rsid w:val="008A4C0E"/>
    <w:rsid w:val="008A5956"/>
    <w:rsid w:val="008B0CFB"/>
    <w:rsid w:val="008B31B8"/>
    <w:rsid w:val="008B39C8"/>
    <w:rsid w:val="008C10ED"/>
    <w:rsid w:val="008C11A7"/>
    <w:rsid w:val="008C2104"/>
    <w:rsid w:val="008C3066"/>
    <w:rsid w:val="008C6592"/>
    <w:rsid w:val="008D53E8"/>
    <w:rsid w:val="008D598D"/>
    <w:rsid w:val="008D5AA1"/>
    <w:rsid w:val="008D7418"/>
    <w:rsid w:val="008E06E9"/>
    <w:rsid w:val="008F30B6"/>
    <w:rsid w:val="008F7F6E"/>
    <w:rsid w:val="00903447"/>
    <w:rsid w:val="009052FA"/>
    <w:rsid w:val="00907E9A"/>
    <w:rsid w:val="00915AD1"/>
    <w:rsid w:val="009160A0"/>
    <w:rsid w:val="0092089F"/>
    <w:rsid w:val="00920F08"/>
    <w:rsid w:val="00921789"/>
    <w:rsid w:val="00924875"/>
    <w:rsid w:val="00927FB1"/>
    <w:rsid w:val="00930851"/>
    <w:rsid w:val="00934F1A"/>
    <w:rsid w:val="00937CA1"/>
    <w:rsid w:val="00951344"/>
    <w:rsid w:val="00954032"/>
    <w:rsid w:val="00964968"/>
    <w:rsid w:val="0097367D"/>
    <w:rsid w:val="00976133"/>
    <w:rsid w:val="00987224"/>
    <w:rsid w:val="00987AC6"/>
    <w:rsid w:val="009A02AB"/>
    <w:rsid w:val="009A13B4"/>
    <w:rsid w:val="009A2AB7"/>
    <w:rsid w:val="009A3263"/>
    <w:rsid w:val="009A3F66"/>
    <w:rsid w:val="009A5366"/>
    <w:rsid w:val="009A56DC"/>
    <w:rsid w:val="009B380E"/>
    <w:rsid w:val="009B4EBE"/>
    <w:rsid w:val="009B562A"/>
    <w:rsid w:val="009C6FD6"/>
    <w:rsid w:val="009D2FC7"/>
    <w:rsid w:val="009D31CD"/>
    <w:rsid w:val="009D6B96"/>
    <w:rsid w:val="009E7753"/>
    <w:rsid w:val="009F133F"/>
    <w:rsid w:val="009F273E"/>
    <w:rsid w:val="009F5713"/>
    <w:rsid w:val="00A0310F"/>
    <w:rsid w:val="00A0331D"/>
    <w:rsid w:val="00A066DA"/>
    <w:rsid w:val="00A11225"/>
    <w:rsid w:val="00A11C96"/>
    <w:rsid w:val="00A13EA6"/>
    <w:rsid w:val="00A20543"/>
    <w:rsid w:val="00A21D5A"/>
    <w:rsid w:val="00A23C25"/>
    <w:rsid w:val="00A24754"/>
    <w:rsid w:val="00A26BD2"/>
    <w:rsid w:val="00A322AF"/>
    <w:rsid w:val="00A336BE"/>
    <w:rsid w:val="00A33BA6"/>
    <w:rsid w:val="00A40C17"/>
    <w:rsid w:val="00A44B13"/>
    <w:rsid w:val="00A50577"/>
    <w:rsid w:val="00A53F32"/>
    <w:rsid w:val="00A5633C"/>
    <w:rsid w:val="00A61721"/>
    <w:rsid w:val="00A67514"/>
    <w:rsid w:val="00A746CA"/>
    <w:rsid w:val="00A75514"/>
    <w:rsid w:val="00A9077C"/>
    <w:rsid w:val="00A93C49"/>
    <w:rsid w:val="00AA41CC"/>
    <w:rsid w:val="00AB2E8B"/>
    <w:rsid w:val="00AB342D"/>
    <w:rsid w:val="00AB5E55"/>
    <w:rsid w:val="00AB7D52"/>
    <w:rsid w:val="00AC74D3"/>
    <w:rsid w:val="00AD280D"/>
    <w:rsid w:val="00AD2A89"/>
    <w:rsid w:val="00AD3307"/>
    <w:rsid w:val="00AE0758"/>
    <w:rsid w:val="00AE1FCF"/>
    <w:rsid w:val="00AE463A"/>
    <w:rsid w:val="00AF45C9"/>
    <w:rsid w:val="00AF65BF"/>
    <w:rsid w:val="00B043FA"/>
    <w:rsid w:val="00B053F2"/>
    <w:rsid w:val="00B15251"/>
    <w:rsid w:val="00B22D8F"/>
    <w:rsid w:val="00B31291"/>
    <w:rsid w:val="00B3186E"/>
    <w:rsid w:val="00B321C8"/>
    <w:rsid w:val="00B33A35"/>
    <w:rsid w:val="00B3604A"/>
    <w:rsid w:val="00B36D6D"/>
    <w:rsid w:val="00B37412"/>
    <w:rsid w:val="00B42D9D"/>
    <w:rsid w:val="00B52CA9"/>
    <w:rsid w:val="00B55518"/>
    <w:rsid w:val="00B70CED"/>
    <w:rsid w:val="00B75881"/>
    <w:rsid w:val="00B80CBC"/>
    <w:rsid w:val="00B82F76"/>
    <w:rsid w:val="00B84B42"/>
    <w:rsid w:val="00B85F3F"/>
    <w:rsid w:val="00B967BF"/>
    <w:rsid w:val="00BA0A03"/>
    <w:rsid w:val="00BA613C"/>
    <w:rsid w:val="00BB61FF"/>
    <w:rsid w:val="00BB7494"/>
    <w:rsid w:val="00BC1738"/>
    <w:rsid w:val="00BC3998"/>
    <w:rsid w:val="00BC456C"/>
    <w:rsid w:val="00BD6FD2"/>
    <w:rsid w:val="00BF0810"/>
    <w:rsid w:val="00BF3C2F"/>
    <w:rsid w:val="00BF5D9C"/>
    <w:rsid w:val="00C02C79"/>
    <w:rsid w:val="00C04311"/>
    <w:rsid w:val="00C04B37"/>
    <w:rsid w:val="00C073E4"/>
    <w:rsid w:val="00C145E8"/>
    <w:rsid w:val="00C17615"/>
    <w:rsid w:val="00C21A38"/>
    <w:rsid w:val="00C21B11"/>
    <w:rsid w:val="00C2437E"/>
    <w:rsid w:val="00C243F0"/>
    <w:rsid w:val="00C255E6"/>
    <w:rsid w:val="00C25F90"/>
    <w:rsid w:val="00C26902"/>
    <w:rsid w:val="00C34DA6"/>
    <w:rsid w:val="00C43C56"/>
    <w:rsid w:val="00C4491E"/>
    <w:rsid w:val="00C44EE7"/>
    <w:rsid w:val="00C455CE"/>
    <w:rsid w:val="00C47F66"/>
    <w:rsid w:val="00C47FAE"/>
    <w:rsid w:val="00C540A2"/>
    <w:rsid w:val="00C548AC"/>
    <w:rsid w:val="00C60E89"/>
    <w:rsid w:val="00C614DA"/>
    <w:rsid w:val="00C630DC"/>
    <w:rsid w:val="00C63592"/>
    <w:rsid w:val="00C645F1"/>
    <w:rsid w:val="00C64CC4"/>
    <w:rsid w:val="00C6536C"/>
    <w:rsid w:val="00C65CA5"/>
    <w:rsid w:val="00C753D5"/>
    <w:rsid w:val="00C816F9"/>
    <w:rsid w:val="00C8246C"/>
    <w:rsid w:val="00C853E1"/>
    <w:rsid w:val="00C90A37"/>
    <w:rsid w:val="00C94BC2"/>
    <w:rsid w:val="00C95AB0"/>
    <w:rsid w:val="00CA0E9B"/>
    <w:rsid w:val="00CA1565"/>
    <w:rsid w:val="00CA1963"/>
    <w:rsid w:val="00CA2BE6"/>
    <w:rsid w:val="00CB12A5"/>
    <w:rsid w:val="00CB5892"/>
    <w:rsid w:val="00CB63FA"/>
    <w:rsid w:val="00CB660D"/>
    <w:rsid w:val="00CB7E8F"/>
    <w:rsid w:val="00CC1169"/>
    <w:rsid w:val="00CC2DAE"/>
    <w:rsid w:val="00CC444A"/>
    <w:rsid w:val="00CC5A24"/>
    <w:rsid w:val="00CC5DB4"/>
    <w:rsid w:val="00CC7623"/>
    <w:rsid w:val="00CD6F7A"/>
    <w:rsid w:val="00CE42A6"/>
    <w:rsid w:val="00CE6FE1"/>
    <w:rsid w:val="00CF2193"/>
    <w:rsid w:val="00D00957"/>
    <w:rsid w:val="00D06F21"/>
    <w:rsid w:val="00D12CD7"/>
    <w:rsid w:val="00D13335"/>
    <w:rsid w:val="00D16D7B"/>
    <w:rsid w:val="00D33C32"/>
    <w:rsid w:val="00D33F4A"/>
    <w:rsid w:val="00D350E7"/>
    <w:rsid w:val="00D40B6B"/>
    <w:rsid w:val="00D41FA4"/>
    <w:rsid w:val="00D424B1"/>
    <w:rsid w:val="00D514D7"/>
    <w:rsid w:val="00D52875"/>
    <w:rsid w:val="00D5635D"/>
    <w:rsid w:val="00D63FD4"/>
    <w:rsid w:val="00D821E6"/>
    <w:rsid w:val="00D82E15"/>
    <w:rsid w:val="00D8554A"/>
    <w:rsid w:val="00D9399E"/>
    <w:rsid w:val="00D975C9"/>
    <w:rsid w:val="00DA14E6"/>
    <w:rsid w:val="00DA3419"/>
    <w:rsid w:val="00DA547C"/>
    <w:rsid w:val="00DB330A"/>
    <w:rsid w:val="00DB5317"/>
    <w:rsid w:val="00DB5E94"/>
    <w:rsid w:val="00DB6FED"/>
    <w:rsid w:val="00DC0A1A"/>
    <w:rsid w:val="00DC2C6D"/>
    <w:rsid w:val="00DC2F9E"/>
    <w:rsid w:val="00DC37A7"/>
    <w:rsid w:val="00DC5527"/>
    <w:rsid w:val="00DD5804"/>
    <w:rsid w:val="00DD61BC"/>
    <w:rsid w:val="00DE40DB"/>
    <w:rsid w:val="00DF52D9"/>
    <w:rsid w:val="00DF716D"/>
    <w:rsid w:val="00E07F56"/>
    <w:rsid w:val="00E120C7"/>
    <w:rsid w:val="00E14C50"/>
    <w:rsid w:val="00E15D10"/>
    <w:rsid w:val="00E21DE9"/>
    <w:rsid w:val="00E22A05"/>
    <w:rsid w:val="00E2564C"/>
    <w:rsid w:val="00E279B6"/>
    <w:rsid w:val="00E30B96"/>
    <w:rsid w:val="00E36C98"/>
    <w:rsid w:val="00E3757F"/>
    <w:rsid w:val="00E438C7"/>
    <w:rsid w:val="00E45D1F"/>
    <w:rsid w:val="00E51A72"/>
    <w:rsid w:val="00E53075"/>
    <w:rsid w:val="00E53377"/>
    <w:rsid w:val="00E549E6"/>
    <w:rsid w:val="00E55C5C"/>
    <w:rsid w:val="00E7185E"/>
    <w:rsid w:val="00E73FFA"/>
    <w:rsid w:val="00E816B1"/>
    <w:rsid w:val="00E83315"/>
    <w:rsid w:val="00E867D9"/>
    <w:rsid w:val="00E87AA7"/>
    <w:rsid w:val="00E9299E"/>
    <w:rsid w:val="00E93B37"/>
    <w:rsid w:val="00E9519C"/>
    <w:rsid w:val="00EA586D"/>
    <w:rsid w:val="00EA7D21"/>
    <w:rsid w:val="00EB26B9"/>
    <w:rsid w:val="00EB6798"/>
    <w:rsid w:val="00EC121B"/>
    <w:rsid w:val="00EC13FC"/>
    <w:rsid w:val="00EC3412"/>
    <w:rsid w:val="00EC5DD6"/>
    <w:rsid w:val="00EE37D0"/>
    <w:rsid w:val="00EE3A13"/>
    <w:rsid w:val="00EE6404"/>
    <w:rsid w:val="00EF35EF"/>
    <w:rsid w:val="00EF40B8"/>
    <w:rsid w:val="00EF72C7"/>
    <w:rsid w:val="00F01CCF"/>
    <w:rsid w:val="00F04C8C"/>
    <w:rsid w:val="00F05924"/>
    <w:rsid w:val="00F06EB6"/>
    <w:rsid w:val="00F121AE"/>
    <w:rsid w:val="00F1229A"/>
    <w:rsid w:val="00F25FC2"/>
    <w:rsid w:val="00F26582"/>
    <w:rsid w:val="00F300A4"/>
    <w:rsid w:val="00F43582"/>
    <w:rsid w:val="00F44F79"/>
    <w:rsid w:val="00F4792F"/>
    <w:rsid w:val="00F543AF"/>
    <w:rsid w:val="00F561DF"/>
    <w:rsid w:val="00F57AAD"/>
    <w:rsid w:val="00F6041A"/>
    <w:rsid w:val="00F60AAC"/>
    <w:rsid w:val="00F63922"/>
    <w:rsid w:val="00F64121"/>
    <w:rsid w:val="00F643E5"/>
    <w:rsid w:val="00F7348C"/>
    <w:rsid w:val="00F75C79"/>
    <w:rsid w:val="00F764B1"/>
    <w:rsid w:val="00F8204E"/>
    <w:rsid w:val="00F843C8"/>
    <w:rsid w:val="00F96314"/>
    <w:rsid w:val="00FA4779"/>
    <w:rsid w:val="00FA5E23"/>
    <w:rsid w:val="00FA7DF8"/>
    <w:rsid w:val="00FB00BC"/>
    <w:rsid w:val="00FB26C1"/>
    <w:rsid w:val="00FB3736"/>
    <w:rsid w:val="00FB74EF"/>
    <w:rsid w:val="00FD0586"/>
    <w:rsid w:val="00FD1CDD"/>
    <w:rsid w:val="00FD2023"/>
    <w:rsid w:val="00FD34EF"/>
    <w:rsid w:val="00FD6062"/>
    <w:rsid w:val="00FE0650"/>
    <w:rsid w:val="00FE1938"/>
    <w:rsid w:val="00FE4A75"/>
    <w:rsid w:val="00FE4D0E"/>
    <w:rsid w:val="00FE65FF"/>
    <w:rsid w:val="00FE7690"/>
    <w:rsid w:val="00FF1C4D"/>
    <w:rsid w:val="00FF33C3"/>
    <w:rsid w:val="00FF38DC"/>
    <w:rsid w:val="00FF62A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804D10"/>
  <w15:docId w15:val="{4CB01928-5386-48D0-BA2C-1950B564C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color w:val="333333"/>
        <w:sz w:val="24"/>
        <w:szCs w:val="24"/>
        <w:lang w:val="en-US" w:eastAsia="en-GB"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60" w:line="259" w:lineRule="auto"/>
      <w:outlineLvl w:val="0"/>
    </w:pPr>
    <w:rPr>
      <w:rFonts w:ascii="Calibri" w:eastAsia="Calibri" w:hAnsi="Calibri" w:cs="Calibri"/>
      <w:b/>
      <w:color w:val="000000"/>
      <w:sz w:val="22"/>
      <w:szCs w:val="22"/>
    </w:rPr>
  </w:style>
  <w:style w:type="paragraph" w:styleId="Heading2">
    <w:name w:val="heading 2"/>
    <w:basedOn w:val="Normal"/>
    <w:next w:val="Normal"/>
    <w:uiPriority w:val="9"/>
    <w:semiHidden/>
    <w:unhideWhenUsed/>
    <w:qFormat/>
    <w:pPr>
      <w:keepNext/>
      <w:keepLines/>
      <w:spacing w:before="40"/>
      <w:outlineLvl w:val="1"/>
    </w:pPr>
    <w:rPr>
      <w:rFonts w:ascii="Calibri" w:eastAsia="Calibri" w:hAnsi="Calibri" w:cs="Calibri"/>
      <w:color w:val="2F5496"/>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rsid w:val="00BF3C2F"/>
    <w:rPr>
      <w:color w:val="CC0000"/>
      <w:u w:val="single"/>
    </w:rPr>
  </w:style>
  <w:style w:type="paragraph" w:styleId="CommentSubject">
    <w:name w:val="annotation subject"/>
    <w:basedOn w:val="CommentText"/>
    <w:next w:val="CommentText"/>
    <w:link w:val="CommentSubjectChar"/>
    <w:uiPriority w:val="99"/>
    <w:semiHidden/>
    <w:unhideWhenUsed/>
    <w:rsid w:val="00E279B6"/>
    <w:rPr>
      <w:b/>
      <w:bCs/>
    </w:rPr>
  </w:style>
  <w:style w:type="character" w:customStyle="1" w:styleId="CommentSubjectChar">
    <w:name w:val="Comment Subject Char"/>
    <w:basedOn w:val="CommentTextChar"/>
    <w:link w:val="CommentSubject"/>
    <w:uiPriority w:val="99"/>
    <w:semiHidden/>
    <w:rsid w:val="00E279B6"/>
    <w:rPr>
      <w:b/>
      <w:bCs/>
      <w:sz w:val="20"/>
      <w:szCs w:val="20"/>
    </w:rPr>
  </w:style>
  <w:style w:type="paragraph" w:customStyle="1" w:styleId="EndNoteBibliographyTitle">
    <w:name w:val="EndNote Bibliography Title"/>
    <w:basedOn w:val="Normal"/>
    <w:link w:val="EndNoteBibliographyTitleChar"/>
    <w:rsid w:val="00657676"/>
    <w:pPr>
      <w:jc w:val="center"/>
    </w:pPr>
    <w:rPr>
      <w:noProof/>
      <w:lang w:val="en-GB"/>
    </w:rPr>
  </w:style>
  <w:style w:type="character" w:customStyle="1" w:styleId="EndNoteBibliographyTitleChar">
    <w:name w:val="EndNote Bibliography Title Char"/>
    <w:basedOn w:val="DefaultParagraphFont"/>
    <w:link w:val="EndNoteBibliographyTitle"/>
    <w:rsid w:val="00657676"/>
    <w:rPr>
      <w:noProof/>
      <w:lang w:val="en-GB"/>
    </w:rPr>
  </w:style>
  <w:style w:type="paragraph" w:customStyle="1" w:styleId="EndNoteBibliography">
    <w:name w:val="EndNote Bibliography"/>
    <w:basedOn w:val="Normal"/>
    <w:link w:val="EndNoteBibliographyChar"/>
    <w:rsid w:val="00657676"/>
    <w:pPr>
      <w:spacing w:line="240" w:lineRule="auto"/>
    </w:pPr>
    <w:rPr>
      <w:noProof/>
      <w:lang w:val="en-GB"/>
    </w:rPr>
  </w:style>
  <w:style w:type="character" w:customStyle="1" w:styleId="EndNoteBibliographyChar">
    <w:name w:val="EndNote Bibliography Char"/>
    <w:basedOn w:val="DefaultParagraphFont"/>
    <w:link w:val="EndNoteBibliography"/>
    <w:rsid w:val="00657676"/>
    <w:rPr>
      <w:noProof/>
      <w:lang w:val="en-GB"/>
    </w:rPr>
  </w:style>
  <w:style w:type="character" w:styleId="UnresolvedMention">
    <w:name w:val="Unresolved Mention"/>
    <w:basedOn w:val="DefaultParagraphFont"/>
    <w:uiPriority w:val="99"/>
    <w:semiHidden/>
    <w:unhideWhenUsed/>
    <w:rsid w:val="00657676"/>
    <w:rPr>
      <w:color w:val="605E5C"/>
      <w:shd w:val="clear" w:color="auto" w:fill="E1DFDD"/>
    </w:rPr>
  </w:style>
  <w:style w:type="character" w:customStyle="1" w:styleId="cf01">
    <w:name w:val="cf01"/>
    <w:basedOn w:val="DefaultParagraphFont"/>
    <w:rsid w:val="00C645F1"/>
    <w:rPr>
      <w:rFonts w:ascii="Segoe UI" w:hAnsi="Segoe UI" w:cs="Segoe UI" w:hint="default"/>
      <w:sz w:val="18"/>
      <w:szCs w:val="18"/>
    </w:rPr>
  </w:style>
  <w:style w:type="paragraph" w:styleId="BalloonText">
    <w:name w:val="Balloon Text"/>
    <w:basedOn w:val="Normal"/>
    <w:link w:val="BalloonTextChar"/>
    <w:uiPriority w:val="99"/>
    <w:semiHidden/>
    <w:unhideWhenUsed/>
    <w:rsid w:val="00F8204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204E"/>
    <w:rPr>
      <w:rFonts w:ascii="Segoe UI" w:hAnsi="Segoe UI" w:cs="Segoe UI"/>
      <w:sz w:val="18"/>
      <w:szCs w:val="18"/>
    </w:rPr>
  </w:style>
  <w:style w:type="paragraph" w:styleId="ListParagraph">
    <w:name w:val="List Paragraph"/>
    <w:basedOn w:val="Normal"/>
    <w:uiPriority w:val="34"/>
    <w:qFormat/>
    <w:rsid w:val="00EE3A13"/>
    <w:pPr>
      <w:spacing w:after="160" w:line="259" w:lineRule="auto"/>
      <w:ind w:left="720"/>
      <w:contextualSpacing/>
    </w:pPr>
    <w:rPr>
      <w:rFonts w:ascii="Calibri" w:eastAsia="Calibri" w:hAnsi="Calibri" w:cs="Calibri"/>
      <w:color w:val="auto"/>
      <w:sz w:val="22"/>
      <w:szCs w:val="22"/>
      <w:lang w:val="en-GB"/>
    </w:rPr>
  </w:style>
  <w:style w:type="paragraph" w:styleId="Header">
    <w:name w:val="header"/>
    <w:basedOn w:val="Normal"/>
    <w:link w:val="HeaderChar"/>
    <w:uiPriority w:val="99"/>
    <w:unhideWhenUsed/>
    <w:rsid w:val="00B70CED"/>
    <w:pPr>
      <w:tabs>
        <w:tab w:val="center" w:pos="4513"/>
        <w:tab w:val="right" w:pos="9026"/>
      </w:tabs>
      <w:spacing w:line="240" w:lineRule="auto"/>
    </w:pPr>
  </w:style>
  <w:style w:type="character" w:customStyle="1" w:styleId="HeaderChar">
    <w:name w:val="Header Char"/>
    <w:basedOn w:val="DefaultParagraphFont"/>
    <w:link w:val="Header"/>
    <w:uiPriority w:val="99"/>
    <w:rsid w:val="00B70CED"/>
  </w:style>
  <w:style w:type="paragraph" w:styleId="Footer">
    <w:name w:val="footer"/>
    <w:basedOn w:val="Normal"/>
    <w:link w:val="FooterChar"/>
    <w:uiPriority w:val="99"/>
    <w:unhideWhenUsed/>
    <w:rsid w:val="00B70CED"/>
    <w:pPr>
      <w:tabs>
        <w:tab w:val="center" w:pos="4513"/>
        <w:tab w:val="right" w:pos="9026"/>
      </w:tabs>
      <w:spacing w:line="240" w:lineRule="auto"/>
    </w:pPr>
  </w:style>
  <w:style w:type="character" w:customStyle="1" w:styleId="FooterChar">
    <w:name w:val="Footer Char"/>
    <w:basedOn w:val="DefaultParagraphFont"/>
    <w:link w:val="Footer"/>
    <w:uiPriority w:val="99"/>
    <w:rsid w:val="00B70CED"/>
  </w:style>
  <w:style w:type="paragraph" w:styleId="Revision">
    <w:name w:val="Revision"/>
    <w:hidden/>
    <w:uiPriority w:val="99"/>
    <w:semiHidden/>
    <w:rsid w:val="0050444B"/>
    <w:pPr>
      <w:spacing w:line="240" w:lineRule="auto"/>
    </w:pPr>
  </w:style>
  <w:style w:type="character" w:customStyle="1" w:styleId="apple-converted-space">
    <w:name w:val="apple-converted-space"/>
    <w:basedOn w:val="DefaultParagraphFont"/>
    <w:rsid w:val="00893C4F"/>
  </w:style>
  <w:style w:type="character" w:styleId="FollowedHyperlink">
    <w:name w:val="FollowedHyperlink"/>
    <w:basedOn w:val="DefaultParagraphFont"/>
    <w:uiPriority w:val="99"/>
    <w:semiHidden/>
    <w:unhideWhenUsed/>
    <w:rsid w:val="00E120C7"/>
    <w:rPr>
      <w:color w:val="800080" w:themeColor="followedHyperlink"/>
      <w:u w:val="single"/>
    </w:rPr>
  </w:style>
  <w:style w:type="paragraph" w:styleId="NormalWeb">
    <w:name w:val="Normal (Web)"/>
    <w:basedOn w:val="Normal"/>
    <w:uiPriority w:val="99"/>
    <w:unhideWhenUsed/>
    <w:rsid w:val="00435A53"/>
    <w:pPr>
      <w:spacing w:before="100" w:beforeAutospacing="1" w:after="100" w:afterAutospacing="1" w:line="240" w:lineRule="auto"/>
    </w:pPr>
    <w:rPr>
      <w:color w:val="auto"/>
      <w:lang w:val="en-CA" w:eastAsia="en-US"/>
    </w:rPr>
  </w:style>
  <w:style w:type="table" w:styleId="TableGrid">
    <w:name w:val="Table Grid"/>
    <w:basedOn w:val="TableNormal"/>
    <w:uiPriority w:val="39"/>
    <w:rsid w:val="00DC5527"/>
    <w:pPr>
      <w:spacing w:line="240" w:lineRule="auto"/>
    </w:pPr>
    <w:rPr>
      <w:rFonts w:asciiTheme="minorHAnsi" w:eastAsiaTheme="minorHAnsi" w:hAnsiTheme="minorHAnsi" w:cstheme="minorBidi"/>
      <w:color w:val="auto"/>
      <w:kern w:val="2"/>
      <w:sz w:val="22"/>
      <w:szCs w:val="22"/>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Note">
    <w:name w:val="TableNote"/>
    <w:basedOn w:val="Normal"/>
    <w:rsid w:val="00B36D6D"/>
    <w:pPr>
      <w:spacing w:line="300" w:lineRule="exact"/>
    </w:pPr>
    <w:rPr>
      <w:color w:val="auto"/>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4232939">
      <w:bodyDiv w:val="1"/>
      <w:marLeft w:val="0"/>
      <w:marRight w:val="0"/>
      <w:marTop w:val="0"/>
      <w:marBottom w:val="0"/>
      <w:divBdr>
        <w:top w:val="none" w:sz="0" w:space="0" w:color="auto"/>
        <w:left w:val="none" w:sz="0" w:space="0" w:color="auto"/>
        <w:bottom w:val="none" w:sz="0" w:space="0" w:color="auto"/>
        <w:right w:val="none" w:sz="0" w:space="0" w:color="auto"/>
      </w:divBdr>
    </w:div>
    <w:div w:id="668102693">
      <w:bodyDiv w:val="1"/>
      <w:marLeft w:val="0"/>
      <w:marRight w:val="0"/>
      <w:marTop w:val="0"/>
      <w:marBottom w:val="0"/>
      <w:divBdr>
        <w:top w:val="none" w:sz="0" w:space="0" w:color="auto"/>
        <w:left w:val="none" w:sz="0" w:space="0" w:color="auto"/>
        <w:bottom w:val="none" w:sz="0" w:space="0" w:color="auto"/>
        <w:right w:val="none" w:sz="0" w:space="0" w:color="auto"/>
      </w:divBdr>
      <w:divsChild>
        <w:div w:id="1024330557">
          <w:marLeft w:val="0"/>
          <w:marRight w:val="0"/>
          <w:marTop w:val="0"/>
          <w:marBottom w:val="0"/>
          <w:divBdr>
            <w:top w:val="none" w:sz="0" w:space="0" w:color="auto"/>
            <w:left w:val="none" w:sz="0" w:space="0" w:color="auto"/>
            <w:bottom w:val="none" w:sz="0" w:space="0" w:color="auto"/>
            <w:right w:val="none" w:sz="0" w:space="0" w:color="auto"/>
          </w:divBdr>
          <w:divsChild>
            <w:div w:id="964580997">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consort-spirit.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creativecommons.org/licenses/by/4.0/" TargetMode="External"/><Relationship Id="rId4" Type="http://schemas.openxmlformats.org/officeDocument/2006/relationships/settings" Target="settings.xml"/><Relationship Id="rId9" Type="http://schemas.openxmlformats.org/officeDocument/2006/relationships/hyperlink" Target="https://dx.doi.org/10.1136/bmj-2024-0811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200DC8-E7B3-4959-98A3-7B35CC6D9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Pages>
  <Words>1020</Words>
  <Characters>5820</Characters>
  <Application>Microsoft Office Word</Application>
  <DocSecurity>0</DocSecurity>
  <Lines>48</Lines>
  <Paragraphs>13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6827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Sally Hopewell</dc:creator>
  <cp:lastModifiedBy>Tricia Mae Wong</cp:lastModifiedBy>
  <cp:revision>6</cp:revision>
  <cp:lastPrinted>2024-03-26T08:52:00Z</cp:lastPrinted>
  <dcterms:created xsi:type="dcterms:W3CDTF">2026-06-21T05:17:00Z</dcterms:created>
  <dcterms:modified xsi:type="dcterms:W3CDTF">2026-08-17T14:12:00Z</dcterms:modified>
</cp:coreProperties>
</file>