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harts/chart10.xml" ContentType="application/vnd.openxmlformats-officedocument.drawingml.chart+xml"/>
  <Override PartName="/word/charts/style10.xml" ContentType="application/vnd.ms-office.chartstyle+xml"/>
  <Override PartName="/word/drawings/drawing10.xml" ContentType="application/vnd.openxmlformats-officedocument.drawingml.chartshapes+xml"/>
  <Override PartName="/word/charts/colors10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AFEA28" w14:textId="77777777" w:rsidR="00BE7E0C" w:rsidRPr="006931E0" w:rsidRDefault="00000000">
      <w:pPr>
        <w:rPr>
          <w:rFonts w:ascii="Arial" w:hAnsi="Arial" w:cs="Arial"/>
        </w:rPr>
      </w:pPr>
      <w:r w:rsidRPr="006931E0">
        <w:rPr>
          <w:rFonts w:ascii="Arial" w:hAnsi="Arial" w:cs="Arial"/>
        </w:rPr>
        <w:t>Supplementary Materials</w:t>
      </w:r>
    </w:p>
    <w:p w14:paraId="64B6E190" w14:textId="77777777" w:rsidR="00BE7E0C" w:rsidRPr="006931E0" w:rsidRDefault="00BE7E0C">
      <w:pPr>
        <w:rPr>
          <w:rFonts w:ascii="Arial" w:hAnsi="Arial" w:cs="Arial"/>
        </w:rPr>
      </w:pPr>
    </w:p>
    <w:p w14:paraId="20382485" w14:textId="77777777" w:rsidR="00337AEA" w:rsidRPr="00ED17D5" w:rsidRDefault="00337AEA" w:rsidP="00337AEA">
      <w:pPr>
        <w:jc w:val="both"/>
        <w:rPr>
          <w:rFonts w:ascii="Arial" w:hAnsi="Arial" w:cs="Arial"/>
          <w:b/>
          <w:bCs/>
        </w:rPr>
      </w:pPr>
      <w:r w:rsidRPr="00ED17D5">
        <w:rPr>
          <w:rFonts w:ascii="Arial" w:hAnsi="Arial" w:cs="Arial"/>
          <w:b/>
          <w:bCs/>
        </w:rPr>
        <w:t>Unlocking Ghana’s Kaolin Potential: Enhancing the Adsorption Capacity of Kaolin through Acid Activation for Environmentally Friendly Remediation of Used Automotive Oil</w:t>
      </w:r>
    </w:p>
    <w:p w14:paraId="24DDC587" w14:textId="77777777" w:rsidR="00337AEA" w:rsidRPr="00ED17D5" w:rsidRDefault="00337AEA" w:rsidP="00337AEA">
      <w:pPr>
        <w:jc w:val="both"/>
        <w:rPr>
          <w:rFonts w:ascii="Arial" w:hAnsi="Arial" w:cs="Arial"/>
          <w:b/>
          <w:bCs/>
        </w:rPr>
      </w:pPr>
      <w:r w:rsidRPr="00ED17D5">
        <w:rPr>
          <w:rFonts w:ascii="Arial" w:hAnsi="Arial" w:cs="Arial"/>
          <w:b/>
          <w:bCs/>
        </w:rPr>
        <w:t>Andrew Nyamful¹, Charles K. Klutse¹˒²*, Kwarteng Yamoah¹, Anita Asamoah¹˒³, Ebenezer A. Asare³, Wilfred S. Massiasta¹, Juliet Attah⁴, Latifa Mohammed⁵, Cynthia Laar⁶, Abu Yaya⁷, Andrews Danquah⁸, Joseph K. Adjei⁹, Isaac B. Kudu³, Samuel N. A. Nettey¹⁰, Samuel Amiteye¹⁰, Godwin Amenorpe¹⁰, Eric E. Bayari¹¹ and Nathaniel O. Boadi¹²</w:t>
      </w:r>
    </w:p>
    <w:p w14:paraId="6AEFA342" w14:textId="77777777" w:rsidR="00337AEA" w:rsidRPr="00ED17D5" w:rsidRDefault="00337AEA" w:rsidP="00337AEA">
      <w:pPr>
        <w:jc w:val="both"/>
        <w:rPr>
          <w:rFonts w:ascii="Arial" w:hAnsi="Arial" w:cs="Arial"/>
        </w:rPr>
      </w:pPr>
      <w:r w:rsidRPr="00ED17D5">
        <w:rPr>
          <w:rFonts w:ascii="Arial" w:hAnsi="Arial" w:cs="Arial"/>
        </w:rPr>
        <w:t>¹ Graduate School of Nuclear and Allied Sciences, University of Ghana, P. O. Box AE1, Atomic, Accra, Ghana</w:t>
      </w:r>
    </w:p>
    <w:p w14:paraId="0657054E" w14:textId="77777777" w:rsidR="00337AEA" w:rsidRPr="00ED17D5" w:rsidRDefault="00337AEA" w:rsidP="00337AEA">
      <w:pPr>
        <w:jc w:val="both"/>
        <w:rPr>
          <w:rFonts w:ascii="Arial" w:hAnsi="Arial" w:cs="Arial"/>
        </w:rPr>
      </w:pPr>
      <w:r w:rsidRPr="00ED17D5">
        <w:rPr>
          <w:rFonts w:ascii="Arial" w:hAnsi="Arial" w:cs="Arial"/>
        </w:rPr>
        <w:t>² Nuclear Power Institute, Ghana Atomic Energy Commission, Kwabenya, Accra, Ghana</w:t>
      </w:r>
    </w:p>
    <w:p w14:paraId="53732B38" w14:textId="77777777" w:rsidR="00337AEA" w:rsidRPr="00ED17D5" w:rsidRDefault="00337AEA" w:rsidP="00337AEA">
      <w:pPr>
        <w:jc w:val="both"/>
        <w:rPr>
          <w:rFonts w:ascii="Arial" w:hAnsi="Arial" w:cs="Arial"/>
        </w:rPr>
      </w:pPr>
      <w:r w:rsidRPr="00ED17D5">
        <w:rPr>
          <w:rFonts w:ascii="Arial" w:hAnsi="Arial" w:cs="Arial"/>
        </w:rPr>
        <w:t>³ Environmental Resource Research Centre, National Nuclear Research Institute, Ghana Atomic Energy Commission, P. O. Box LG80, Legon, Accra, Ghana</w:t>
      </w:r>
    </w:p>
    <w:p w14:paraId="044DF1CB" w14:textId="77777777" w:rsidR="00337AEA" w:rsidRPr="00ED17D5" w:rsidRDefault="00337AEA" w:rsidP="00337AEA">
      <w:pPr>
        <w:jc w:val="both"/>
        <w:rPr>
          <w:rFonts w:ascii="Arial" w:hAnsi="Arial" w:cs="Arial"/>
        </w:rPr>
      </w:pPr>
      <w:r w:rsidRPr="00ED17D5">
        <w:rPr>
          <w:rFonts w:ascii="Arial" w:hAnsi="Arial" w:cs="Arial"/>
        </w:rPr>
        <w:t>⁴ Nuclear and Analytical Chemistry Research Centre, National Nuclear Research Institute, Ghana Atomic Energy Commission, Ghana</w:t>
      </w:r>
    </w:p>
    <w:p w14:paraId="3D41A22F" w14:textId="77777777" w:rsidR="00337AEA" w:rsidRPr="00ED17D5" w:rsidRDefault="00337AEA" w:rsidP="00337AEA">
      <w:pPr>
        <w:jc w:val="both"/>
        <w:rPr>
          <w:rFonts w:ascii="Arial" w:hAnsi="Arial" w:cs="Arial"/>
        </w:rPr>
      </w:pPr>
      <w:r w:rsidRPr="00ED17D5">
        <w:rPr>
          <w:rFonts w:ascii="Arial" w:hAnsi="Arial" w:cs="Arial"/>
        </w:rPr>
        <w:t>⁵ Institute of Industrial Research, Council for Scientific and Industrial Research, P. O. Box LG576, Accra, Ghana</w:t>
      </w:r>
    </w:p>
    <w:p w14:paraId="19F7A9B6" w14:textId="77777777" w:rsidR="00337AEA" w:rsidRPr="00ED17D5" w:rsidRDefault="00337AEA" w:rsidP="00337AEA">
      <w:pPr>
        <w:jc w:val="both"/>
        <w:rPr>
          <w:rFonts w:ascii="Arial" w:hAnsi="Arial" w:cs="Arial"/>
        </w:rPr>
      </w:pPr>
      <w:r w:rsidRPr="00ED17D5">
        <w:rPr>
          <w:rFonts w:ascii="Arial" w:hAnsi="Arial" w:cs="Arial"/>
        </w:rPr>
        <w:t>⁶ Water Resources Research Centre, National Nuclear Research Institute, Ghana Atomic Energy Commission, Ghana</w:t>
      </w:r>
    </w:p>
    <w:p w14:paraId="4D366D47" w14:textId="77777777" w:rsidR="00337AEA" w:rsidRPr="00ED17D5" w:rsidRDefault="00337AEA" w:rsidP="00337AEA">
      <w:pPr>
        <w:jc w:val="both"/>
        <w:rPr>
          <w:rFonts w:ascii="Arial" w:hAnsi="Arial" w:cs="Arial"/>
        </w:rPr>
      </w:pPr>
      <w:r w:rsidRPr="00ED17D5">
        <w:rPr>
          <w:rFonts w:ascii="Arial" w:hAnsi="Arial" w:cs="Arial"/>
        </w:rPr>
        <w:t>⁷ Department of Materials Science and Engineering, University of Ghana, Legon, Accra, Ghana</w:t>
      </w:r>
    </w:p>
    <w:p w14:paraId="3C0B258B" w14:textId="77777777" w:rsidR="00337AEA" w:rsidRPr="00ED17D5" w:rsidRDefault="00337AEA" w:rsidP="00337AEA">
      <w:pPr>
        <w:jc w:val="both"/>
        <w:rPr>
          <w:rFonts w:ascii="Arial" w:hAnsi="Arial" w:cs="Arial"/>
        </w:rPr>
      </w:pPr>
      <w:r w:rsidRPr="00ED17D5">
        <w:rPr>
          <w:rFonts w:ascii="Arial" w:hAnsi="Arial" w:cs="Arial"/>
        </w:rPr>
        <w:t>⁸ Department of Molecular Biology and Biotechnology, School of Biological Sciences, University of Cape Coast, Ghana</w:t>
      </w:r>
    </w:p>
    <w:p w14:paraId="12AC1CCA" w14:textId="77777777" w:rsidR="00337AEA" w:rsidRPr="00ED17D5" w:rsidRDefault="00337AEA" w:rsidP="00337AEA">
      <w:pPr>
        <w:jc w:val="both"/>
        <w:rPr>
          <w:rFonts w:ascii="Arial" w:hAnsi="Arial" w:cs="Arial"/>
        </w:rPr>
      </w:pPr>
      <w:r w:rsidRPr="00ED17D5">
        <w:rPr>
          <w:rFonts w:ascii="Arial" w:hAnsi="Arial" w:cs="Arial"/>
        </w:rPr>
        <w:t>⁹ Environmental Research Group, Department of Chemistry, University of Cape Coast, Ghana</w:t>
      </w:r>
    </w:p>
    <w:p w14:paraId="6FD93C4F" w14:textId="77777777" w:rsidR="00337AEA" w:rsidRPr="00ED17D5" w:rsidRDefault="00337AEA" w:rsidP="00337AEA">
      <w:pPr>
        <w:jc w:val="both"/>
        <w:rPr>
          <w:rFonts w:ascii="Arial" w:hAnsi="Arial" w:cs="Arial"/>
        </w:rPr>
      </w:pPr>
      <w:r w:rsidRPr="00ED17D5">
        <w:rPr>
          <w:rFonts w:ascii="Arial" w:hAnsi="Arial" w:cs="Arial"/>
        </w:rPr>
        <w:t>¹⁰ Agriculture and Radiation Processing, School of Nuclear and Allied Sciences, University of Ghana, Ghana</w:t>
      </w:r>
    </w:p>
    <w:p w14:paraId="7BEB951D" w14:textId="77777777" w:rsidR="00337AEA" w:rsidRPr="00ED17D5" w:rsidRDefault="00337AEA" w:rsidP="00337AEA">
      <w:pPr>
        <w:jc w:val="both"/>
        <w:rPr>
          <w:rFonts w:ascii="Arial" w:hAnsi="Arial" w:cs="Arial"/>
        </w:rPr>
      </w:pPr>
      <w:r w:rsidRPr="00ED17D5">
        <w:rPr>
          <w:rFonts w:ascii="Arial" w:hAnsi="Arial" w:cs="Arial"/>
        </w:rPr>
        <w:t xml:space="preserve">¹¹ School of Physical Sciences, Department of Earth Science, P. O. Box 24, </w:t>
      </w:r>
      <w:proofErr w:type="spellStart"/>
      <w:r w:rsidRPr="00ED17D5">
        <w:rPr>
          <w:rFonts w:ascii="Arial" w:hAnsi="Arial" w:cs="Arial"/>
        </w:rPr>
        <w:t>Navrongo</w:t>
      </w:r>
      <w:proofErr w:type="spellEnd"/>
      <w:r w:rsidRPr="00ED17D5">
        <w:rPr>
          <w:rFonts w:ascii="Arial" w:hAnsi="Arial" w:cs="Arial"/>
        </w:rPr>
        <w:t>, Upper East Region, Ghana</w:t>
      </w:r>
    </w:p>
    <w:p w14:paraId="17C46177" w14:textId="77777777" w:rsidR="00337AEA" w:rsidRPr="00ED17D5" w:rsidRDefault="00337AEA" w:rsidP="00337AEA">
      <w:pPr>
        <w:jc w:val="both"/>
        <w:rPr>
          <w:rFonts w:ascii="Arial" w:hAnsi="Arial" w:cs="Arial"/>
        </w:rPr>
      </w:pPr>
      <w:r w:rsidRPr="00ED17D5">
        <w:rPr>
          <w:rFonts w:ascii="Arial" w:hAnsi="Arial" w:cs="Arial"/>
        </w:rPr>
        <w:t>¹² Department of Chemistry, Kwame Nkrumah University of Science and Technology, Kumasi, Ghana</w:t>
      </w:r>
    </w:p>
    <w:p w14:paraId="63DBC34F" w14:textId="77777777" w:rsidR="00337AEA" w:rsidRPr="00ED17D5" w:rsidRDefault="00337AEA" w:rsidP="00337AEA">
      <w:pPr>
        <w:jc w:val="both"/>
        <w:rPr>
          <w:rFonts w:ascii="Arial" w:hAnsi="Arial" w:cs="Arial"/>
        </w:rPr>
      </w:pPr>
      <w:r w:rsidRPr="00ED17D5">
        <w:rPr>
          <w:rFonts w:ascii="Arial" w:hAnsi="Arial" w:cs="Arial"/>
          <w:b/>
          <w:bCs/>
        </w:rPr>
        <w:t>Corresponding author:</w:t>
      </w:r>
      <w:r w:rsidRPr="00ED17D5">
        <w:rPr>
          <w:rFonts w:ascii="Arial" w:hAnsi="Arial" w:cs="Arial"/>
        </w:rPr>
        <w:t xml:space="preserve"> cklutse@gmail.com; +233 (0)54 500 9068</w:t>
      </w:r>
    </w:p>
    <w:p w14:paraId="6006C1A0" w14:textId="77777777" w:rsidR="00BE7E0C" w:rsidRPr="006931E0" w:rsidRDefault="00BE7E0C">
      <w:pPr>
        <w:rPr>
          <w:rFonts w:ascii="Arial" w:hAnsi="Arial" w:cs="Arial"/>
        </w:rPr>
      </w:pPr>
    </w:p>
    <w:p w14:paraId="7E3EFDD9" w14:textId="77777777" w:rsidR="00BE7E0C" w:rsidRPr="006931E0" w:rsidRDefault="00000000">
      <w:pPr>
        <w:rPr>
          <w:rFonts w:ascii="Arial" w:hAnsi="Arial" w:cs="Arial"/>
        </w:rPr>
      </w:pPr>
      <w:r w:rsidRPr="006931E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86218" wp14:editId="62F7F122">
                <wp:simplePos x="0" y="0"/>
                <wp:positionH relativeFrom="column">
                  <wp:posOffset>5715</wp:posOffset>
                </wp:positionH>
                <wp:positionV relativeFrom="paragraph">
                  <wp:posOffset>23495</wp:posOffset>
                </wp:positionV>
                <wp:extent cx="5411470" cy="5015865"/>
                <wp:effectExtent l="0" t="0" r="11430" b="13335"/>
                <wp:wrapNone/>
                <wp:docPr id="21321412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1638" cy="50159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345F3B" w14:textId="77777777" w:rsidR="00BE7E0C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F70A57" wp14:editId="23549A6D">
                                  <wp:extent cx="5152390" cy="4904740"/>
                                  <wp:effectExtent l="0" t="0" r="16510" b="10160"/>
                                  <wp:docPr id="740482483" name="Chart 1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7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1" o:spid="_x0000_s1026" o:spt="202" type="#_x0000_t202" style="position:absolute;left:0pt;margin-left:0.45pt;margin-top:1.85pt;height:394.95pt;width:426.1pt;z-index:251659264;mso-width-relative:page;mso-height-relative:page;" fillcolor="#FFFFFF [3201]" filled="t" stroked="t" coordsize="21600,21600" o:gfxdata="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FoSGu1AAAAAYBAAAPAAAAAAAA&#10;AAEAIAAAACIAAABkcnMvZG93bnJldi54bWxQSwECFAAUAAAACACHTuJAQLOMhk8CAADABAAADgAA&#10;AAAAAAABACAAAAAjAQAAZHJzL2Uyb0RvYy54bWxQSwUGAAAAAAYABgBZAQAA5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437D52D">
                      <w:r>
                        <w:drawing>
                          <wp:inline distT="0" distB="0" distL="0" distR="0">
                            <wp:extent cx="5152390" cy="4904740"/>
                            <wp:effectExtent l="0" t="0" r="16510" b="10160"/>
                            <wp:docPr id="740482483" name="Chart 1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19D6F28" w14:textId="77777777" w:rsidR="00BE7E0C" w:rsidRPr="006931E0" w:rsidRDefault="00BE7E0C">
      <w:pPr>
        <w:rPr>
          <w:rFonts w:ascii="Arial" w:hAnsi="Arial" w:cs="Arial"/>
        </w:rPr>
      </w:pPr>
    </w:p>
    <w:p w14:paraId="1FBE3F01" w14:textId="77777777" w:rsidR="00BE7E0C" w:rsidRPr="006931E0" w:rsidRDefault="00000000">
      <w:pPr>
        <w:rPr>
          <w:rFonts w:ascii="Arial" w:hAnsi="Arial" w:cs="Arial"/>
        </w:rPr>
      </w:pPr>
      <w:r w:rsidRPr="006931E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EA8AF4" wp14:editId="2CE1982C">
                <wp:simplePos x="0" y="0"/>
                <wp:positionH relativeFrom="column">
                  <wp:posOffset>3725545</wp:posOffset>
                </wp:positionH>
                <wp:positionV relativeFrom="paragraph">
                  <wp:posOffset>41275</wp:posOffset>
                </wp:positionV>
                <wp:extent cx="130175" cy="421005"/>
                <wp:effectExtent l="12700" t="12700" r="22225" b="10795"/>
                <wp:wrapNone/>
                <wp:docPr id="45463503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175" cy="42114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2" o:spid="_x0000_s1026" o:spt="20" style="position:absolute;left:0pt;flip:x y;margin-left:293.35pt;margin-top:3.25pt;height:33.15pt;width:10.25pt;z-index:251661312;mso-width-relative:page;mso-height-relative:page;" filled="f" stroked="t" coordsize="21600,21600" o:gfxdata="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Kncd7XXAAAACAEAAA8AAAAAAAAAAQAgAAAAIgAAAGRycy9kb3ducmV2LnhtbFBLAQIUABQA&#10;AAAIAIdO4kB0JzUo8QEAANUDAAAOAAAAAAAAAAEAIAAAACYBAABkcnMvZTJvRG9jLnhtbFBLBQYA&#10;AAAABgAGAFkBAACJBQAAAAA=&#10;">
                <v:fill on="f" focussize="0,0"/>
                <v:stroke weight="1.5pt" color="#156082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083CB4C" w14:textId="77777777" w:rsidR="00BE7E0C" w:rsidRPr="006931E0" w:rsidRDefault="00000000">
      <w:pPr>
        <w:rPr>
          <w:rFonts w:ascii="Arial" w:hAnsi="Arial" w:cs="Arial"/>
        </w:rPr>
      </w:pPr>
      <w:r w:rsidRPr="006931E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97882E" wp14:editId="01502F65">
                <wp:simplePos x="0" y="0"/>
                <wp:positionH relativeFrom="column">
                  <wp:posOffset>2890520</wp:posOffset>
                </wp:positionH>
                <wp:positionV relativeFrom="paragraph">
                  <wp:posOffset>81915</wp:posOffset>
                </wp:positionV>
                <wp:extent cx="146050" cy="265430"/>
                <wp:effectExtent l="12700" t="12700" r="19050" b="13970"/>
                <wp:wrapNone/>
                <wp:docPr id="121798317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353" cy="26559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2" o:spid="_x0000_s1026" o:spt="20" style="position:absolute;left:0pt;flip:x y;margin-left:227.6pt;margin-top:6.45pt;height:20.9pt;width:11.5pt;z-index:251660288;mso-width-relative:page;mso-height-relative:page;" filled="f" stroked="t" coordsize="21600,21600" o:gfxdata="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x1Ma99gAAAAJAQAADwAAAAAAAAABACAAAAAiAAAAZHJzL2Rvd25yZXYueG1sUEsBAhQA&#10;FAAAAAgAh07iQGxyELjyAQAA1gMAAA4AAAAAAAAAAQAgAAAAJwEAAGRycy9lMm9Eb2MueG1sUEsF&#10;BgAAAAAGAAYAWQEAAIsFAAAAAA==&#10;">
                <v:fill on="f" focussize="0,0"/>
                <v:stroke weight="1.5pt" color="#156082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B1B1CD1" w14:textId="77777777" w:rsidR="00BE7E0C" w:rsidRPr="006931E0" w:rsidRDefault="00BE7E0C">
      <w:pPr>
        <w:rPr>
          <w:rFonts w:ascii="Arial" w:hAnsi="Arial" w:cs="Arial"/>
        </w:rPr>
      </w:pPr>
    </w:p>
    <w:p w14:paraId="1A2D6195" w14:textId="77777777" w:rsidR="00BE7E0C" w:rsidRPr="006931E0" w:rsidRDefault="00BE7E0C">
      <w:pPr>
        <w:rPr>
          <w:rFonts w:ascii="Arial" w:hAnsi="Arial" w:cs="Arial"/>
        </w:rPr>
      </w:pPr>
    </w:p>
    <w:p w14:paraId="5A055AEF" w14:textId="77777777" w:rsidR="00BE7E0C" w:rsidRPr="006931E0" w:rsidRDefault="00BE7E0C">
      <w:pPr>
        <w:rPr>
          <w:rFonts w:ascii="Arial" w:hAnsi="Arial" w:cs="Arial"/>
        </w:rPr>
      </w:pPr>
    </w:p>
    <w:p w14:paraId="1A7E5972" w14:textId="77777777" w:rsidR="00BE7E0C" w:rsidRPr="006931E0" w:rsidRDefault="00BE7E0C">
      <w:pPr>
        <w:rPr>
          <w:rFonts w:ascii="Arial" w:hAnsi="Arial" w:cs="Arial"/>
        </w:rPr>
      </w:pPr>
    </w:p>
    <w:p w14:paraId="7C3A1CFD" w14:textId="77777777" w:rsidR="00BE7E0C" w:rsidRPr="006931E0" w:rsidRDefault="00BE7E0C">
      <w:pPr>
        <w:rPr>
          <w:rFonts w:ascii="Arial" w:hAnsi="Arial" w:cs="Arial"/>
        </w:rPr>
      </w:pPr>
    </w:p>
    <w:p w14:paraId="5C77070D" w14:textId="77777777" w:rsidR="00BE7E0C" w:rsidRPr="006931E0" w:rsidRDefault="00BE7E0C">
      <w:pPr>
        <w:rPr>
          <w:rFonts w:ascii="Arial" w:hAnsi="Arial" w:cs="Arial"/>
        </w:rPr>
      </w:pPr>
    </w:p>
    <w:p w14:paraId="5D566233" w14:textId="77777777" w:rsidR="00BE7E0C" w:rsidRPr="006931E0" w:rsidRDefault="00BE7E0C">
      <w:pPr>
        <w:rPr>
          <w:rFonts w:ascii="Arial" w:hAnsi="Arial" w:cs="Arial"/>
        </w:rPr>
      </w:pPr>
    </w:p>
    <w:p w14:paraId="56022E9E" w14:textId="77777777" w:rsidR="00BE7E0C" w:rsidRPr="006931E0" w:rsidRDefault="00BE7E0C">
      <w:pPr>
        <w:rPr>
          <w:rFonts w:ascii="Arial" w:hAnsi="Arial" w:cs="Arial"/>
        </w:rPr>
      </w:pPr>
    </w:p>
    <w:p w14:paraId="2CC35969" w14:textId="77777777" w:rsidR="00BE7E0C" w:rsidRPr="006931E0" w:rsidRDefault="00BE7E0C">
      <w:pPr>
        <w:rPr>
          <w:rFonts w:ascii="Arial" w:hAnsi="Arial" w:cs="Arial"/>
        </w:rPr>
      </w:pPr>
    </w:p>
    <w:p w14:paraId="5D49EE34" w14:textId="77777777" w:rsidR="00BE7E0C" w:rsidRPr="006931E0" w:rsidRDefault="00BE7E0C">
      <w:pPr>
        <w:rPr>
          <w:rFonts w:ascii="Arial" w:hAnsi="Arial" w:cs="Arial"/>
        </w:rPr>
      </w:pPr>
    </w:p>
    <w:p w14:paraId="784431A8" w14:textId="77777777" w:rsidR="00BE7E0C" w:rsidRPr="006931E0" w:rsidRDefault="00BE7E0C">
      <w:pPr>
        <w:rPr>
          <w:rFonts w:ascii="Arial" w:hAnsi="Arial" w:cs="Arial"/>
        </w:rPr>
      </w:pPr>
    </w:p>
    <w:p w14:paraId="6B31E208" w14:textId="77777777" w:rsidR="00BE7E0C" w:rsidRPr="006931E0" w:rsidRDefault="00BE7E0C">
      <w:pPr>
        <w:rPr>
          <w:rFonts w:ascii="Arial" w:hAnsi="Arial" w:cs="Arial"/>
        </w:rPr>
      </w:pPr>
    </w:p>
    <w:p w14:paraId="73B92B3D" w14:textId="77777777" w:rsidR="00BE7E0C" w:rsidRPr="006931E0" w:rsidRDefault="00BE7E0C">
      <w:pPr>
        <w:rPr>
          <w:rFonts w:ascii="Arial" w:hAnsi="Arial" w:cs="Arial"/>
        </w:rPr>
      </w:pPr>
    </w:p>
    <w:p w14:paraId="21BCB760" w14:textId="77777777" w:rsidR="00BE7E0C" w:rsidRPr="006931E0" w:rsidRDefault="00000000">
      <w:pPr>
        <w:spacing w:line="480" w:lineRule="auto"/>
        <w:rPr>
          <w:rFonts w:ascii="Arial" w:hAnsi="Arial" w:cs="Arial"/>
        </w:rPr>
      </w:pPr>
      <w:r w:rsidRPr="006931E0">
        <w:rPr>
          <w:rFonts w:ascii="Arial" w:eastAsia="Times New Roman" w:hAnsi="Arial" w:cs="Arial"/>
          <w:b/>
          <w:bCs/>
        </w:rPr>
        <w:t xml:space="preserve">SMF 1: </w:t>
      </w:r>
      <w:r w:rsidRPr="006931E0">
        <w:rPr>
          <w:rFonts w:ascii="Arial" w:eastAsia="Times New Roman" w:hAnsi="Arial" w:cs="Arial"/>
        </w:rPr>
        <w:t>Freundlich isotherm plots for Na and Pb adsorption using raw and acid-treated kaolin adsorbents; K</w:t>
      </w:r>
      <w:r w:rsidRPr="006931E0">
        <w:rPr>
          <w:rFonts w:ascii="Arial" w:eastAsia="Times New Roman" w:hAnsi="Arial" w:cs="Arial"/>
          <w:vertAlign w:val="subscript"/>
        </w:rPr>
        <w:t>0</w:t>
      </w:r>
      <w:r w:rsidRPr="006931E0">
        <w:rPr>
          <w:rFonts w:ascii="Arial" w:eastAsia="Times New Roman" w:hAnsi="Arial" w:cs="Arial"/>
        </w:rPr>
        <w:t>Na and K</w:t>
      </w:r>
      <w:r w:rsidRPr="006931E0">
        <w:rPr>
          <w:rFonts w:ascii="Arial" w:eastAsia="Times New Roman" w:hAnsi="Arial" w:cs="Arial"/>
          <w:vertAlign w:val="subscript"/>
        </w:rPr>
        <w:t>0</w:t>
      </w:r>
      <w:r w:rsidRPr="006931E0">
        <w:rPr>
          <w:rFonts w:ascii="Arial" w:eastAsia="Times New Roman" w:hAnsi="Arial" w:cs="Arial"/>
        </w:rPr>
        <w:t>Pb are for the raw kaolin used for the adsorption of Na and Pb while K</w:t>
      </w:r>
      <w:r w:rsidRPr="006931E0">
        <w:rPr>
          <w:rFonts w:ascii="Arial" w:eastAsia="Times New Roman" w:hAnsi="Arial" w:cs="Arial"/>
          <w:vertAlign w:val="subscript"/>
        </w:rPr>
        <w:t>3</w:t>
      </w:r>
      <w:r w:rsidRPr="006931E0">
        <w:rPr>
          <w:rFonts w:ascii="Arial" w:eastAsia="Times New Roman" w:hAnsi="Arial" w:cs="Arial"/>
        </w:rPr>
        <w:t>Na and K</w:t>
      </w:r>
      <w:r w:rsidRPr="006931E0">
        <w:rPr>
          <w:rFonts w:ascii="Arial" w:eastAsia="Times New Roman" w:hAnsi="Arial" w:cs="Arial"/>
          <w:vertAlign w:val="subscript"/>
        </w:rPr>
        <w:t>3</w:t>
      </w:r>
      <w:r w:rsidRPr="006931E0">
        <w:rPr>
          <w:rFonts w:ascii="Arial" w:eastAsia="Times New Roman" w:hAnsi="Arial" w:cs="Arial"/>
        </w:rPr>
        <w:t>Pb are for the 3-M acid-treated kaolin used for the adsorption of Na and Pb</w:t>
      </w:r>
    </w:p>
    <w:p w14:paraId="5FD3AD39" w14:textId="77777777" w:rsidR="00BE7E0C" w:rsidRPr="006931E0" w:rsidRDefault="00BE7E0C">
      <w:pPr>
        <w:rPr>
          <w:rFonts w:ascii="Arial" w:hAnsi="Arial" w:cs="Arial"/>
        </w:rPr>
      </w:pPr>
    </w:p>
    <w:p w14:paraId="56A94B42" w14:textId="77777777" w:rsidR="00BE7E0C" w:rsidRPr="006931E0" w:rsidRDefault="00BE7E0C">
      <w:pPr>
        <w:tabs>
          <w:tab w:val="left" w:pos="4224"/>
        </w:tabs>
        <w:jc w:val="both"/>
        <w:rPr>
          <w:rFonts w:ascii="Arial" w:eastAsiaTheme="minorEastAsia" w:hAnsi="Arial" w:cs="Arial"/>
          <w:b/>
          <w:bCs/>
        </w:rPr>
      </w:pPr>
    </w:p>
    <w:p w14:paraId="37B8FDDE" w14:textId="77777777" w:rsidR="00BE7E0C" w:rsidRPr="006931E0" w:rsidRDefault="00BE7E0C">
      <w:pPr>
        <w:tabs>
          <w:tab w:val="left" w:pos="4224"/>
        </w:tabs>
        <w:jc w:val="both"/>
        <w:rPr>
          <w:rFonts w:ascii="Arial" w:eastAsiaTheme="minorEastAsia" w:hAnsi="Arial" w:cs="Arial"/>
          <w:b/>
          <w:bCs/>
        </w:rPr>
      </w:pPr>
    </w:p>
    <w:p w14:paraId="4EEFEDC9" w14:textId="77777777" w:rsidR="00BE7E0C" w:rsidRPr="006931E0" w:rsidRDefault="00BE7E0C">
      <w:pPr>
        <w:tabs>
          <w:tab w:val="left" w:pos="4224"/>
        </w:tabs>
        <w:jc w:val="both"/>
        <w:rPr>
          <w:rFonts w:ascii="Arial" w:eastAsiaTheme="minorEastAsia" w:hAnsi="Arial" w:cs="Arial"/>
          <w:b/>
          <w:bCs/>
        </w:rPr>
      </w:pPr>
    </w:p>
    <w:p w14:paraId="65822470" w14:textId="77777777" w:rsidR="00BE7E0C" w:rsidRPr="006931E0" w:rsidRDefault="00BE7E0C">
      <w:pPr>
        <w:tabs>
          <w:tab w:val="left" w:pos="4224"/>
        </w:tabs>
        <w:jc w:val="both"/>
        <w:rPr>
          <w:rFonts w:ascii="Arial" w:eastAsiaTheme="minorEastAsia" w:hAnsi="Arial" w:cs="Arial"/>
          <w:b/>
          <w:bCs/>
        </w:rPr>
      </w:pPr>
    </w:p>
    <w:p w14:paraId="4CBCD685" w14:textId="77777777" w:rsidR="00BE7E0C" w:rsidRPr="006931E0" w:rsidRDefault="00000000">
      <w:pPr>
        <w:tabs>
          <w:tab w:val="left" w:pos="4224"/>
        </w:tabs>
        <w:spacing w:line="480" w:lineRule="auto"/>
        <w:jc w:val="both"/>
        <w:rPr>
          <w:rFonts w:ascii="Arial" w:eastAsiaTheme="minorEastAsia" w:hAnsi="Arial" w:cs="Arial"/>
        </w:rPr>
      </w:pPr>
      <w:r w:rsidRPr="006931E0">
        <w:rPr>
          <w:rFonts w:ascii="Arial" w:eastAsiaTheme="minorEastAsia" w:hAnsi="Arial" w:cs="Arial"/>
          <w:b/>
          <w:bCs/>
        </w:rPr>
        <w:lastRenderedPageBreak/>
        <w:t>SMT 1</w:t>
      </w:r>
      <w:r w:rsidRPr="006931E0">
        <w:rPr>
          <w:rFonts w:ascii="Arial" w:eastAsiaTheme="minorEastAsia" w:hAnsi="Arial" w:cs="Arial"/>
        </w:rPr>
        <w:t xml:space="preserve">. Adsorption parameters for Freundlich model for the 3 M acid-treated kaolin and raw kaolin adsorbents, where </w:t>
      </w:r>
      <w:proofErr w:type="spellStart"/>
      <w:r w:rsidRPr="006931E0">
        <w:rPr>
          <w:rFonts w:ascii="Arial" w:eastAsiaTheme="minorEastAsia" w:hAnsi="Arial" w:cs="Arial"/>
        </w:rPr>
        <w:t>K</w:t>
      </w:r>
      <w:r w:rsidRPr="006931E0">
        <w:rPr>
          <w:rFonts w:ascii="Arial" w:eastAsiaTheme="minorEastAsia" w:hAnsi="Arial" w:cs="Arial"/>
          <w:vertAlign w:val="subscript"/>
        </w:rPr>
        <w:t>f</w:t>
      </w:r>
      <w:proofErr w:type="spellEnd"/>
      <w:r w:rsidRPr="006931E0">
        <w:rPr>
          <w:rFonts w:ascii="Arial" w:eastAsiaTheme="minorEastAsia" w:hAnsi="Arial" w:cs="Arial"/>
        </w:rPr>
        <w:t xml:space="preserve"> indicates adsorption capacity, n Freundlich exponent with its inverse being the surface heterogeneity factor reflecting adsorption intensity</w:t>
      </w:r>
    </w:p>
    <w:tbl>
      <w:tblPr>
        <w:tblStyle w:val="TableGrid"/>
        <w:tblW w:w="7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1"/>
        <w:gridCol w:w="1928"/>
        <w:gridCol w:w="1954"/>
        <w:gridCol w:w="1943"/>
      </w:tblGrid>
      <w:tr w:rsidR="00BE7E0C" w:rsidRPr="006931E0" w14:paraId="176FAD0A" w14:textId="77777777">
        <w:trPr>
          <w:trHeight w:val="380"/>
        </w:trPr>
        <w:tc>
          <w:tcPr>
            <w:tcW w:w="1431" w:type="dxa"/>
            <w:tcBorders>
              <w:tl2br w:val="nil"/>
              <w:tr2bl w:val="nil"/>
            </w:tcBorders>
            <w:noWrap/>
          </w:tcPr>
          <w:p w14:paraId="037E937F" w14:textId="77777777" w:rsidR="00BE7E0C" w:rsidRPr="006931E0" w:rsidRDefault="00000000">
            <w:pPr>
              <w:spacing w:after="0" w:line="240" w:lineRule="auto"/>
              <w:rPr>
                <w:rFonts w:ascii="Arial" w:hAnsi="Arial" w:cs="Arial"/>
                <w:color w:val="000000"/>
                <w:lang w:val="zh-CN"/>
              </w:rPr>
            </w:pPr>
            <w:r w:rsidRPr="006931E0">
              <w:rPr>
                <w:rFonts w:ascii="Arial" w:hAnsi="Arial" w:cs="Arial"/>
                <w:color w:val="000000"/>
              </w:rPr>
              <w:t>Adsorbents</w:t>
            </w:r>
          </w:p>
        </w:tc>
        <w:tc>
          <w:tcPr>
            <w:tcW w:w="1928" w:type="dxa"/>
            <w:tcBorders>
              <w:tl2br w:val="nil"/>
              <w:tr2bl w:val="nil"/>
            </w:tcBorders>
            <w:noWrap/>
          </w:tcPr>
          <w:p w14:paraId="29ED272F" w14:textId="77777777" w:rsidR="00BE7E0C" w:rsidRPr="006931E0" w:rsidRDefault="00000000">
            <w:pPr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6931E0">
              <w:rPr>
                <w:rFonts w:ascii="Arial" w:hAnsi="Arial" w:cs="Arial"/>
                <w:color w:val="000000"/>
              </w:rPr>
              <w:t>K</w:t>
            </w:r>
            <w:r w:rsidRPr="006931E0">
              <w:rPr>
                <w:rFonts w:ascii="Arial" w:hAnsi="Arial" w:cs="Arial"/>
                <w:color w:val="000000"/>
                <w:vertAlign w:val="subscript"/>
              </w:rPr>
              <w:t>f</w:t>
            </w:r>
            <w:proofErr w:type="spellEnd"/>
            <w:r w:rsidRPr="006931E0">
              <w:rPr>
                <w:rFonts w:ascii="Arial" w:hAnsi="Arial" w:cs="Arial"/>
                <w:color w:val="000000"/>
                <w:vertAlign w:val="subscript"/>
                <w:lang w:val="en-US"/>
              </w:rPr>
              <w:t xml:space="preserve"> </w:t>
            </w:r>
            <w:r w:rsidRPr="006931E0">
              <w:rPr>
                <w:rFonts w:ascii="Arial" w:hAnsi="Arial" w:cs="Arial"/>
                <w:color w:val="000000"/>
                <w:lang w:val="en-US"/>
              </w:rPr>
              <w:t>(L/mg)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/>
          </w:tcPr>
          <w:p w14:paraId="0A050AD2" w14:textId="77777777" w:rsidR="00BE7E0C" w:rsidRPr="006931E0" w:rsidRDefault="0000000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n</w:t>
            </w:r>
          </w:p>
        </w:tc>
        <w:tc>
          <w:tcPr>
            <w:tcW w:w="1943" w:type="dxa"/>
            <w:tcBorders>
              <w:tl2br w:val="nil"/>
              <w:tr2bl w:val="nil"/>
            </w:tcBorders>
            <w:noWrap/>
          </w:tcPr>
          <w:p w14:paraId="7E7CDE78" w14:textId="77777777" w:rsidR="00BE7E0C" w:rsidRPr="006931E0" w:rsidRDefault="0000000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R</w:t>
            </w:r>
            <w:r w:rsidRPr="006931E0">
              <w:rPr>
                <w:rFonts w:ascii="Arial" w:hAnsi="Arial" w:cs="Arial"/>
                <w:color w:val="000000"/>
                <w:vertAlign w:val="superscript"/>
              </w:rPr>
              <w:t>2</w:t>
            </w:r>
          </w:p>
        </w:tc>
      </w:tr>
      <w:tr w:rsidR="00BE7E0C" w:rsidRPr="006931E0" w14:paraId="41BD7A12" w14:textId="77777777">
        <w:trPr>
          <w:trHeight w:val="320"/>
        </w:trPr>
        <w:tc>
          <w:tcPr>
            <w:tcW w:w="1431" w:type="dxa"/>
            <w:tcBorders>
              <w:tl2br w:val="nil"/>
              <w:tr2bl w:val="nil"/>
            </w:tcBorders>
            <w:noWrap/>
          </w:tcPr>
          <w:p w14:paraId="324E0D75" w14:textId="77777777" w:rsidR="00BE7E0C" w:rsidRPr="006931E0" w:rsidRDefault="0000000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K</w:t>
            </w:r>
            <w:r w:rsidRPr="006931E0">
              <w:rPr>
                <w:rFonts w:ascii="Arial" w:hAnsi="Arial" w:cs="Arial"/>
                <w:color w:val="000000"/>
                <w:vertAlign w:val="subscript"/>
              </w:rPr>
              <w:t>0</w:t>
            </w:r>
            <w:r w:rsidRPr="006931E0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928" w:type="dxa"/>
            <w:tcBorders>
              <w:tl2br w:val="nil"/>
              <w:tr2bl w:val="nil"/>
            </w:tcBorders>
            <w:noWrap/>
          </w:tcPr>
          <w:p w14:paraId="77671D83" w14:textId="77777777" w:rsidR="00BE7E0C" w:rsidRPr="006931E0" w:rsidRDefault="00000000" w:rsidP="009851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6.68190043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/>
          </w:tcPr>
          <w:p w14:paraId="49E42CE4" w14:textId="77777777" w:rsidR="00BE7E0C" w:rsidRPr="006931E0" w:rsidRDefault="00000000" w:rsidP="009851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1.56128025</w:t>
            </w:r>
          </w:p>
        </w:tc>
        <w:tc>
          <w:tcPr>
            <w:tcW w:w="1943" w:type="dxa"/>
            <w:tcBorders>
              <w:tl2br w:val="nil"/>
              <w:tr2bl w:val="nil"/>
            </w:tcBorders>
            <w:noWrap/>
          </w:tcPr>
          <w:p w14:paraId="519AFBDF" w14:textId="77777777" w:rsidR="00BE7E0C" w:rsidRPr="006931E0" w:rsidRDefault="00000000" w:rsidP="009851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0.9738</w:t>
            </w:r>
          </w:p>
        </w:tc>
      </w:tr>
      <w:tr w:rsidR="00BE7E0C" w:rsidRPr="006931E0" w14:paraId="6C27FF0F" w14:textId="77777777">
        <w:trPr>
          <w:trHeight w:val="320"/>
        </w:trPr>
        <w:tc>
          <w:tcPr>
            <w:tcW w:w="1431" w:type="dxa"/>
            <w:tcBorders>
              <w:tl2br w:val="nil"/>
              <w:tr2bl w:val="nil"/>
            </w:tcBorders>
            <w:noWrap/>
          </w:tcPr>
          <w:p w14:paraId="1D00D923" w14:textId="77777777" w:rsidR="00BE7E0C" w:rsidRPr="006931E0" w:rsidRDefault="0000000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K</w:t>
            </w:r>
            <w:r w:rsidRPr="006931E0">
              <w:rPr>
                <w:rFonts w:ascii="Arial" w:hAnsi="Arial" w:cs="Arial"/>
                <w:color w:val="000000"/>
                <w:vertAlign w:val="subscript"/>
              </w:rPr>
              <w:t>3</w:t>
            </w:r>
            <w:r w:rsidRPr="006931E0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928" w:type="dxa"/>
            <w:tcBorders>
              <w:tl2br w:val="nil"/>
              <w:tr2bl w:val="nil"/>
            </w:tcBorders>
            <w:noWrap/>
          </w:tcPr>
          <w:p w14:paraId="4496C9F7" w14:textId="77777777" w:rsidR="00BE7E0C" w:rsidRPr="006931E0" w:rsidRDefault="00000000" w:rsidP="009851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13.6678436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/>
          </w:tcPr>
          <w:p w14:paraId="67CECFAF" w14:textId="77777777" w:rsidR="00BE7E0C" w:rsidRPr="006931E0" w:rsidRDefault="00000000" w:rsidP="009851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1.88501414</w:t>
            </w:r>
          </w:p>
        </w:tc>
        <w:tc>
          <w:tcPr>
            <w:tcW w:w="1943" w:type="dxa"/>
            <w:tcBorders>
              <w:tl2br w:val="nil"/>
              <w:tr2bl w:val="nil"/>
            </w:tcBorders>
            <w:noWrap/>
          </w:tcPr>
          <w:p w14:paraId="04026D4E" w14:textId="77777777" w:rsidR="00BE7E0C" w:rsidRPr="006931E0" w:rsidRDefault="00000000" w:rsidP="009851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0.9141</w:t>
            </w:r>
          </w:p>
        </w:tc>
      </w:tr>
      <w:tr w:rsidR="00BE7E0C" w:rsidRPr="006931E0" w14:paraId="7D6598C2" w14:textId="77777777">
        <w:trPr>
          <w:trHeight w:val="320"/>
        </w:trPr>
        <w:tc>
          <w:tcPr>
            <w:tcW w:w="1431" w:type="dxa"/>
            <w:tcBorders>
              <w:tl2br w:val="nil"/>
              <w:tr2bl w:val="nil"/>
            </w:tcBorders>
            <w:noWrap/>
          </w:tcPr>
          <w:p w14:paraId="5570C55B" w14:textId="77777777" w:rsidR="00BE7E0C" w:rsidRPr="006931E0" w:rsidRDefault="0000000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K</w:t>
            </w:r>
            <w:r w:rsidRPr="006931E0">
              <w:rPr>
                <w:rFonts w:ascii="Arial" w:hAnsi="Arial" w:cs="Arial"/>
                <w:color w:val="000000"/>
                <w:vertAlign w:val="subscript"/>
              </w:rPr>
              <w:t>0</w:t>
            </w:r>
            <w:r w:rsidRPr="006931E0">
              <w:rPr>
                <w:rFonts w:ascii="Arial" w:hAnsi="Arial" w:cs="Arial"/>
                <w:color w:val="000000"/>
              </w:rPr>
              <w:t>Pb</w:t>
            </w:r>
          </w:p>
        </w:tc>
        <w:tc>
          <w:tcPr>
            <w:tcW w:w="1928" w:type="dxa"/>
            <w:tcBorders>
              <w:tl2br w:val="nil"/>
              <w:tr2bl w:val="nil"/>
            </w:tcBorders>
            <w:noWrap/>
          </w:tcPr>
          <w:p w14:paraId="625004E8" w14:textId="77777777" w:rsidR="00BE7E0C" w:rsidRPr="006931E0" w:rsidRDefault="00000000" w:rsidP="009851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6.3664891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/>
          </w:tcPr>
          <w:p w14:paraId="32D911BF" w14:textId="77777777" w:rsidR="00BE7E0C" w:rsidRPr="006931E0" w:rsidRDefault="00000000" w:rsidP="009851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1.52788388</w:t>
            </w:r>
          </w:p>
        </w:tc>
        <w:tc>
          <w:tcPr>
            <w:tcW w:w="1943" w:type="dxa"/>
            <w:tcBorders>
              <w:tl2br w:val="nil"/>
              <w:tr2bl w:val="nil"/>
            </w:tcBorders>
            <w:noWrap/>
          </w:tcPr>
          <w:p w14:paraId="4C8AA194" w14:textId="77777777" w:rsidR="00BE7E0C" w:rsidRPr="006931E0" w:rsidRDefault="00000000" w:rsidP="009851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0.9828</w:t>
            </w:r>
          </w:p>
        </w:tc>
      </w:tr>
      <w:tr w:rsidR="00BE7E0C" w:rsidRPr="006931E0" w14:paraId="14D42A8A" w14:textId="77777777">
        <w:trPr>
          <w:trHeight w:val="320"/>
        </w:trPr>
        <w:tc>
          <w:tcPr>
            <w:tcW w:w="1431" w:type="dxa"/>
            <w:tcBorders>
              <w:tl2br w:val="nil"/>
              <w:tr2bl w:val="nil"/>
            </w:tcBorders>
            <w:noWrap/>
          </w:tcPr>
          <w:p w14:paraId="3DA23D31" w14:textId="77777777" w:rsidR="00BE7E0C" w:rsidRPr="006931E0" w:rsidRDefault="0000000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K</w:t>
            </w:r>
            <w:r w:rsidRPr="006931E0">
              <w:rPr>
                <w:rFonts w:ascii="Arial" w:hAnsi="Arial" w:cs="Arial"/>
                <w:color w:val="000000"/>
                <w:vertAlign w:val="subscript"/>
              </w:rPr>
              <w:t>3</w:t>
            </w:r>
            <w:r w:rsidRPr="006931E0">
              <w:rPr>
                <w:rFonts w:ascii="Arial" w:hAnsi="Arial" w:cs="Arial"/>
                <w:color w:val="000000"/>
              </w:rPr>
              <w:t>Pb</w:t>
            </w:r>
          </w:p>
        </w:tc>
        <w:tc>
          <w:tcPr>
            <w:tcW w:w="1928" w:type="dxa"/>
            <w:tcBorders>
              <w:tl2br w:val="nil"/>
              <w:tr2bl w:val="nil"/>
            </w:tcBorders>
            <w:noWrap/>
          </w:tcPr>
          <w:p w14:paraId="14125E3D" w14:textId="77777777" w:rsidR="00BE7E0C" w:rsidRPr="006931E0" w:rsidRDefault="00000000" w:rsidP="009851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17.6522472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/>
          </w:tcPr>
          <w:p w14:paraId="1FB6110B" w14:textId="77777777" w:rsidR="00BE7E0C" w:rsidRPr="006931E0" w:rsidRDefault="00000000" w:rsidP="009851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2.1353833</w:t>
            </w:r>
          </w:p>
        </w:tc>
        <w:tc>
          <w:tcPr>
            <w:tcW w:w="1943" w:type="dxa"/>
            <w:tcBorders>
              <w:tl2br w:val="nil"/>
              <w:tr2bl w:val="nil"/>
            </w:tcBorders>
            <w:noWrap/>
          </w:tcPr>
          <w:p w14:paraId="26B8A665" w14:textId="77777777" w:rsidR="00BE7E0C" w:rsidRPr="006931E0" w:rsidRDefault="00000000" w:rsidP="009851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31E0">
              <w:rPr>
                <w:rFonts w:ascii="Arial" w:hAnsi="Arial" w:cs="Arial"/>
                <w:color w:val="000000"/>
              </w:rPr>
              <w:t>0.8396</w:t>
            </w:r>
          </w:p>
        </w:tc>
      </w:tr>
    </w:tbl>
    <w:p w14:paraId="2A70AC4D" w14:textId="77777777" w:rsidR="00BE7E0C" w:rsidRPr="006931E0" w:rsidRDefault="00BE7E0C">
      <w:pPr>
        <w:tabs>
          <w:tab w:val="left" w:pos="1186"/>
        </w:tabs>
        <w:rPr>
          <w:rFonts w:ascii="Arial" w:hAnsi="Arial" w:cs="Arial"/>
        </w:rPr>
      </w:pPr>
    </w:p>
    <w:p w14:paraId="3F8EDA58" w14:textId="77777777" w:rsidR="00BE7E0C" w:rsidRPr="006931E0" w:rsidRDefault="00BE7E0C">
      <w:pPr>
        <w:tabs>
          <w:tab w:val="left" w:pos="1186"/>
        </w:tabs>
        <w:rPr>
          <w:rFonts w:ascii="Arial" w:hAnsi="Arial" w:cs="Arial"/>
        </w:rPr>
      </w:pPr>
    </w:p>
    <w:p w14:paraId="665B29AC" w14:textId="77777777" w:rsidR="00BE7E0C" w:rsidRPr="006931E0" w:rsidRDefault="00000000">
      <w:pPr>
        <w:tabs>
          <w:tab w:val="left" w:pos="4224"/>
        </w:tabs>
        <w:spacing w:line="480" w:lineRule="auto"/>
        <w:jc w:val="both"/>
        <w:rPr>
          <w:rFonts w:ascii="Arial" w:eastAsiaTheme="minorEastAsia" w:hAnsi="Arial" w:cs="Arial"/>
          <w:lang w:val="en-US"/>
        </w:rPr>
      </w:pPr>
      <w:r w:rsidRPr="006931E0">
        <w:rPr>
          <w:rFonts w:ascii="Arial" w:eastAsiaTheme="minorEastAsia" w:hAnsi="Arial" w:cs="Arial"/>
          <w:b/>
          <w:bCs/>
          <w:lang w:val="en-US"/>
        </w:rPr>
        <w:t>SMT 2</w:t>
      </w:r>
      <w:r w:rsidRPr="006931E0">
        <w:rPr>
          <w:rFonts w:ascii="Arial" w:eastAsiaTheme="minorEastAsia" w:hAnsi="Arial" w:cs="Arial"/>
          <w:lang w:val="en-US"/>
        </w:rPr>
        <w:t xml:space="preserve">. RL values for the Langmuir model </w:t>
      </w:r>
      <w:r w:rsidRPr="006931E0">
        <w:rPr>
          <w:rFonts w:ascii="Arial" w:eastAsiaTheme="minorEastAsia" w:hAnsi="Arial" w:cs="Arial"/>
        </w:rPr>
        <w:t>or the 3 M acid-treated kaolin and raw kaolin adsorbents</w:t>
      </w:r>
    </w:p>
    <w:tbl>
      <w:tblPr>
        <w:tblW w:w="8891" w:type="dxa"/>
        <w:tblInd w:w="-241" w:type="dxa"/>
        <w:tblLayout w:type="fixed"/>
        <w:tblLook w:val="04A0" w:firstRow="1" w:lastRow="0" w:firstColumn="1" w:lastColumn="0" w:noHBand="0" w:noVBand="1"/>
      </w:tblPr>
      <w:tblGrid>
        <w:gridCol w:w="2800"/>
        <w:gridCol w:w="1451"/>
        <w:gridCol w:w="1452"/>
        <w:gridCol w:w="1543"/>
        <w:gridCol w:w="1645"/>
      </w:tblGrid>
      <w:tr w:rsidR="00BE7E0C" w:rsidRPr="006931E0" w14:paraId="7E284D92" w14:textId="77777777" w:rsidTr="009851EA">
        <w:trPr>
          <w:trHeight w:val="440"/>
        </w:trPr>
        <w:tc>
          <w:tcPr>
            <w:tcW w:w="2800" w:type="dxa"/>
            <w:vMerge w:val="restart"/>
            <w:noWrap/>
            <w:vAlign w:val="bottom"/>
          </w:tcPr>
          <w:p w14:paraId="525AA52B" w14:textId="77777777" w:rsidR="00BE7E0C" w:rsidRPr="006931E0" w:rsidRDefault="00000000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Concentration (mg/L)</w:t>
            </w:r>
          </w:p>
        </w:tc>
        <w:tc>
          <w:tcPr>
            <w:tcW w:w="6091" w:type="dxa"/>
            <w:gridSpan w:val="4"/>
            <w:noWrap/>
            <w:vAlign w:val="bottom"/>
          </w:tcPr>
          <w:p w14:paraId="7A7F3BDC" w14:textId="77777777" w:rsidR="00BE7E0C" w:rsidRPr="006931E0" w:rsidRDefault="00000000">
            <w:pPr>
              <w:jc w:val="center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RL Values</w:t>
            </w:r>
          </w:p>
        </w:tc>
      </w:tr>
      <w:tr w:rsidR="00BE7E0C" w:rsidRPr="006931E0" w14:paraId="7C784D58" w14:textId="77777777" w:rsidTr="009851EA">
        <w:trPr>
          <w:trHeight w:val="352"/>
        </w:trPr>
        <w:tc>
          <w:tcPr>
            <w:tcW w:w="2800" w:type="dxa"/>
            <w:vMerge/>
            <w:noWrap/>
            <w:vAlign w:val="bottom"/>
          </w:tcPr>
          <w:p w14:paraId="6B34D465" w14:textId="77777777" w:rsidR="00BE7E0C" w:rsidRPr="006931E0" w:rsidRDefault="00BE7E0C">
            <w:pPr>
              <w:rPr>
                <w:rFonts w:ascii="Arial" w:eastAsia="Aptos Narrow" w:hAnsi="Arial" w:cs="Arial"/>
                <w:color w:val="000000"/>
              </w:rPr>
            </w:pPr>
          </w:p>
        </w:tc>
        <w:tc>
          <w:tcPr>
            <w:tcW w:w="1451" w:type="dxa"/>
            <w:noWrap/>
            <w:vAlign w:val="bottom"/>
          </w:tcPr>
          <w:p w14:paraId="64C5185B" w14:textId="77777777" w:rsidR="00BE7E0C" w:rsidRPr="006931E0" w:rsidRDefault="00000000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K</w:t>
            </w:r>
            <w:r w:rsidRPr="006931E0">
              <w:rPr>
                <w:rFonts w:ascii="Arial" w:eastAsia="Aptos Narrow" w:hAnsi="Arial" w:cs="Arial"/>
                <w:color w:val="000000"/>
                <w:kern w:val="0"/>
                <w:vertAlign w:val="subscript"/>
                <w:lang w:val="en-US" w:eastAsia="zh-CN" w:bidi="ar"/>
              </w:rPr>
              <w:t>0</w:t>
            </w: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Na</w:t>
            </w:r>
          </w:p>
        </w:tc>
        <w:tc>
          <w:tcPr>
            <w:tcW w:w="1452" w:type="dxa"/>
            <w:noWrap/>
            <w:vAlign w:val="bottom"/>
          </w:tcPr>
          <w:p w14:paraId="78444A06" w14:textId="77777777" w:rsidR="00BE7E0C" w:rsidRPr="006931E0" w:rsidRDefault="00000000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K</w:t>
            </w:r>
            <w:r w:rsidRPr="006931E0">
              <w:rPr>
                <w:rFonts w:ascii="Arial" w:eastAsia="Aptos Narrow" w:hAnsi="Arial" w:cs="Arial"/>
                <w:color w:val="000000"/>
                <w:kern w:val="0"/>
                <w:vertAlign w:val="subscript"/>
                <w:lang w:val="en-US" w:eastAsia="zh-CN" w:bidi="ar"/>
              </w:rPr>
              <w:t>0</w:t>
            </w: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Pb</w:t>
            </w:r>
          </w:p>
        </w:tc>
        <w:tc>
          <w:tcPr>
            <w:tcW w:w="1543" w:type="dxa"/>
            <w:noWrap/>
            <w:vAlign w:val="bottom"/>
          </w:tcPr>
          <w:p w14:paraId="6ED8C8C1" w14:textId="77777777" w:rsidR="00BE7E0C" w:rsidRPr="006931E0" w:rsidRDefault="00000000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K</w:t>
            </w:r>
            <w:r w:rsidRPr="006931E0">
              <w:rPr>
                <w:rFonts w:ascii="Arial" w:eastAsia="Aptos Narrow" w:hAnsi="Arial" w:cs="Arial"/>
                <w:color w:val="000000"/>
                <w:kern w:val="0"/>
                <w:vertAlign w:val="subscript"/>
                <w:lang w:val="en-US" w:eastAsia="zh-CN" w:bidi="ar"/>
              </w:rPr>
              <w:t>3</w:t>
            </w: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Na</w:t>
            </w:r>
          </w:p>
        </w:tc>
        <w:tc>
          <w:tcPr>
            <w:tcW w:w="1645" w:type="dxa"/>
            <w:noWrap/>
            <w:vAlign w:val="bottom"/>
          </w:tcPr>
          <w:p w14:paraId="0D9A88A1" w14:textId="77777777" w:rsidR="00BE7E0C" w:rsidRPr="006931E0" w:rsidRDefault="00000000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K</w:t>
            </w:r>
            <w:r w:rsidRPr="006931E0">
              <w:rPr>
                <w:rFonts w:ascii="Arial" w:eastAsia="Aptos Narrow" w:hAnsi="Arial" w:cs="Arial"/>
                <w:color w:val="000000"/>
                <w:kern w:val="0"/>
                <w:vertAlign w:val="subscript"/>
                <w:lang w:val="en-US" w:eastAsia="zh-CN" w:bidi="ar"/>
              </w:rPr>
              <w:t>3</w:t>
            </w: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Pb</w:t>
            </w:r>
          </w:p>
        </w:tc>
      </w:tr>
      <w:tr w:rsidR="00BE7E0C" w:rsidRPr="006931E0" w14:paraId="0A6AB734" w14:textId="77777777" w:rsidTr="009851EA">
        <w:trPr>
          <w:trHeight w:val="352"/>
        </w:trPr>
        <w:tc>
          <w:tcPr>
            <w:tcW w:w="2800" w:type="dxa"/>
            <w:noWrap/>
            <w:vAlign w:val="bottom"/>
          </w:tcPr>
          <w:p w14:paraId="2E3C2666" w14:textId="77777777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5</w:t>
            </w:r>
          </w:p>
        </w:tc>
        <w:tc>
          <w:tcPr>
            <w:tcW w:w="1451" w:type="dxa"/>
            <w:noWrap/>
            <w:vAlign w:val="bottom"/>
          </w:tcPr>
          <w:p w14:paraId="5499F371" w14:textId="7AAC4440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0.6581</w:t>
            </w:r>
          </w:p>
        </w:tc>
        <w:tc>
          <w:tcPr>
            <w:tcW w:w="1452" w:type="dxa"/>
            <w:noWrap/>
            <w:vAlign w:val="bottom"/>
          </w:tcPr>
          <w:p w14:paraId="311D0E78" w14:textId="3DC354AB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0.6752</w:t>
            </w:r>
          </w:p>
        </w:tc>
        <w:tc>
          <w:tcPr>
            <w:tcW w:w="1543" w:type="dxa"/>
            <w:noWrap/>
            <w:vAlign w:val="bottom"/>
          </w:tcPr>
          <w:p w14:paraId="42C0D1F5" w14:textId="099402E9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0.4747</w:t>
            </w:r>
          </w:p>
        </w:tc>
        <w:tc>
          <w:tcPr>
            <w:tcW w:w="1645" w:type="dxa"/>
            <w:noWrap/>
            <w:vAlign w:val="bottom"/>
          </w:tcPr>
          <w:p w14:paraId="7A437EF7" w14:textId="0E404F82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0.4747</w:t>
            </w:r>
          </w:p>
        </w:tc>
      </w:tr>
      <w:tr w:rsidR="00BE7E0C" w:rsidRPr="006931E0" w14:paraId="55E6F6C4" w14:textId="77777777" w:rsidTr="009851EA">
        <w:trPr>
          <w:trHeight w:val="352"/>
        </w:trPr>
        <w:tc>
          <w:tcPr>
            <w:tcW w:w="2800" w:type="dxa"/>
            <w:noWrap/>
            <w:vAlign w:val="bottom"/>
          </w:tcPr>
          <w:p w14:paraId="3B0307E7" w14:textId="77777777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10</w:t>
            </w:r>
          </w:p>
        </w:tc>
        <w:tc>
          <w:tcPr>
            <w:tcW w:w="1451" w:type="dxa"/>
            <w:noWrap/>
            <w:vAlign w:val="bottom"/>
          </w:tcPr>
          <w:p w14:paraId="7E5303BA" w14:textId="5436DDCE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0.4904</w:t>
            </w:r>
          </w:p>
        </w:tc>
        <w:tc>
          <w:tcPr>
            <w:tcW w:w="1452" w:type="dxa"/>
            <w:noWrap/>
            <w:vAlign w:val="bottom"/>
          </w:tcPr>
          <w:p w14:paraId="51C2FC77" w14:textId="57E80EC9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0.5097</w:t>
            </w:r>
          </w:p>
        </w:tc>
        <w:tc>
          <w:tcPr>
            <w:tcW w:w="1543" w:type="dxa"/>
            <w:noWrap/>
            <w:vAlign w:val="bottom"/>
          </w:tcPr>
          <w:p w14:paraId="405C51D9" w14:textId="7C8C24E2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0.3589</w:t>
            </w:r>
          </w:p>
        </w:tc>
        <w:tc>
          <w:tcPr>
            <w:tcW w:w="1645" w:type="dxa"/>
            <w:noWrap/>
            <w:vAlign w:val="bottom"/>
          </w:tcPr>
          <w:p w14:paraId="30BCCBE6" w14:textId="276FF993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0.3112</w:t>
            </w:r>
          </w:p>
        </w:tc>
      </w:tr>
      <w:tr w:rsidR="00BE7E0C" w:rsidRPr="006931E0" w14:paraId="5F75FD48" w14:textId="77777777" w:rsidTr="009851EA">
        <w:trPr>
          <w:trHeight w:val="352"/>
        </w:trPr>
        <w:tc>
          <w:tcPr>
            <w:tcW w:w="2800" w:type="dxa"/>
            <w:noWrap/>
            <w:vAlign w:val="bottom"/>
          </w:tcPr>
          <w:p w14:paraId="1895B098" w14:textId="77777777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15</w:t>
            </w:r>
          </w:p>
        </w:tc>
        <w:tc>
          <w:tcPr>
            <w:tcW w:w="1451" w:type="dxa"/>
            <w:noWrap/>
            <w:vAlign w:val="bottom"/>
          </w:tcPr>
          <w:p w14:paraId="41A48691" w14:textId="0DC63F77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0.3909</w:t>
            </w:r>
          </w:p>
        </w:tc>
        <w:tc>
          <w:tcPr>
            <w:tcW w:w="1452" w:type="dxa"/>
            <w:noWrap/>
            <w:vAlign w:val="bottom"/>
          </w:tcPr>
          <w:p w14:paraId="5FCB503A" w14:textId="097D8184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0.4094</w:t>
            </w:r>
          </w:p>
        </w:tc>
        <w:tc>
          <w:tcPr>
            <w:tcW w:w="1543" w:type="dxa"/>
            <w:noWrap/>
            <w:vAlign w:val="bottom"/>
          </w:tcPr>
          <w:p w14:paraId="15D19BF6" w14:textId="2EDE4ACB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0.2718</w:t>
            </w:r>
          </w:p>
        </w:tc>
        <w:tc>
          <w:tcPr>
            <w:tcW w:w="1645" w:type="dxa"/>
            <w:noWrap/>
            <w:vAlign w:val="bottom"/>
          </w:tcPr>
          <w:p w14:paraId="2558EC82" w14:textId="20E81D2C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0.2315</w:t>
            </w:r>
          </w:p>
        </w:tc>
      </w:tr>
      <w:tr w:rsidR="00BE7E0C" w:rsidRPr="006931E0" w14:paraId="68A75A20" w14:textId="77777777" w:rsidTr="009851EA">
        <w:trPr>
          <w:trHeight w:val="352"/>
        </w:trPr>
        <w:tc>
          <w:tcPr>
            <w:tcW w:w="2800" w:type="dxa"/>
            <w:noWrap/>
            <w:vAlign w:val="bottom"/>
          </w:tcPr>
          <w:p w14:paraId="4C82ACFD" w14:textId="77777777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20</w:t>
            </w:r>
          </w:p>
        </w:tc>
        <w:tc>
          <w:tcPr>
            <w:tcW w:w="1451" w:type="dxa"/>
            <w:noWrap/>
            <w:vAlign w:val="bottom"/>
          </w:tcPr>
          <w:p w14:paraId="4C334D16" w14:textId="03B3E925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0.3249</w:t>
            </w:r>
          </w:p>
        </w:tc>
        <w:tc>
          <w:tcPr>
            <w:tcW w:w="1452" w:type="dxa"/>
            <w:noWrap/>
            <w:vAlign w:val="bottom"/>
          </w:tcPr>
          <w:p w14:paraId="67212366" w14:textId="2803E0D9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0.3420</w:t>
            </w:r>
          </w:p>
        </w:tc>
        <w:tc>
          <w:tcPr>
            <w:tcW w:w="1543" w:type="dxa"/>
            <w:noWrap/>
            <w:vAlign w:val="bottom"/>
          </w:tcPr>
          <w:p w14:paraId="7D57FB29" w14:textId="37D5A559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0.2187</w:t>
            </w:r>
          </w:p>
        </w:tc>
        <w:tc>
          <w:tcPr>
            <w:tcW w:w="1645" w:type="dxa"/>
            <w:noWrap/>
            <w:vAlign w:val="bottom"/>
          </w:tcPr>
          <w:p w14:paraId="334B3E72" w14:textId="1A3509DF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0.1843</w:t>
            </w:r>
          </w:p>
        </w:tc>
      </w:tr>
      <w:tr w:rsidR="00BE7E0C" w:rsidRPr="006931E0" w14:paraId="10724DC7" w14:textId="77777777" w:rsidTr="009851EA">
        <w:trPr>
          <w:trHeight w:val="352"/>
        </w:trPr>
        <w:tc>
          <w:tcPr>
            <w:tcW w:w="2800" w:type="dxa"/>
            <w:noWrap/>
            <w:vAlign w:val="bottom"/>
          </w:tcPr>
          <w:p w14:paraId="77397F19" w14:textId="77777777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25</w:t>
            </w:r>
          </w:p>
        </w:tc>
        <w:tc>
          <w:tcPr>
            <w:tcW w:w="1451" w:type="dxa"/>
            <w:noWrap/>
            <w:vAlign w:val="bottom"/>
          </w:tcPr>
          <w:p w14:paraId="73CDDD7C" w14:textId="7FC86EDF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0.2780</w:t>
            </w:r>
          </w:p>
        </w:tc>
        <w:tc>
          <w:tcPr>
            <w:tcW w:w="1452" w:type="dxa"/>
            <w:noWrap/>
            <w:vAlign w:val="bottom"/>
          </w:tcPr>
          <w:p w14:paraId="3BB6E48B" w14:textId="4752706D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0.2937</w:t>
            </w:r>
          </w:p>
        </w:tc>
        <w:tc>
          <w:tcPr>
            <w:tcW w:w="1543" w:type="dxa"/>
            <w:noWrap/>
            <w:vAlign w:val="bottom"/>
          </w:tcPr>
          <w:p w14:paraId="726A8421" w14:textId="40AFD266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0.1830</w:t>
            </w:r>
          </w:p>
        </w:tc>
        <w:tc>
          <w:tcPr>
            <w:tcW w:w="1645" w:type="dxa"/>
            <w:noWrap/>
            <w:vAlign w:val="bottom"/>
          </w:tcPr>
          <w:p w14:paraId="7B5BEBCF" w14:textId="342773DD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0.1530</w:t>
            </w:r>
          </w:p>
        </w:tc>
      </w:tr>
      <w:tr w:rsidR="00BE7E0C" w:rsidRPr="006931E0" w14:paraId="0C011A91" w14:textId="77777777" w:rsidTr="009851EA">
        <w:trPr>
          <w:trHeight w:val="352"/>
        </w:trPr>
        <w:tc>
          <w:tcPr>
            <w:tcW w:w="2800" w:type="dxa"/>
            <w:noWrap/>
            <w:vAlign w:val="bottom"/>
          </w:tcPr>
          <w:p w14:paraId="0C1E7C3A" w14:textId="77777777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30</w:t>
            </w:r>
          </w:p>
        </w:tc>
        <w:tc>
          <w:tcPr>
            <w:tcW w:w="1451" w:type="dxa"/>
            <w:noWrap/>
            <w:vAlign w:val="bottom"/>
          </w:tcPr>
          <w:p w14:paraId="089061A4" w14:textId="6894B2D5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0.2429</w:t>
            </w:r>
          </w:p>
        </w:tc>
        <w:tc>
          <w:tcPr>
            <w:tcW w:w="1452" w:type="dxa"/>
            <w:noWrap/>
            <w:vAlign w:val="bottom"/>
          </w:tcPr>
          <w:p w14:paraId="25FE7645" w14:textId="2B9D9582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0.2574</w:t>
            </w:r>
          </w:p>
        </w:tc>
        <w:tc>
          <w:tcPr>
            <w:tcW w:w="1543" w:type="dxa"/>
            <w:noWrap/>
            <w:vAlign w:val="bottom"/>
          </w:tcPr>
          <w:p w14:paraId="2E0BF68E" w14:textId="577D66EE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0.1573</w:t>
            </w:r>
          </w:p>
        </w:tc>
        <w:tc>
          <w:tcPr>
            <w:tcW w:w="1645" w:type="dxa"/>
            <w:noWrap/>
            <w:vAlign w:val="bottom"/>
          </w:tcPr>
          <w:p w14:paraId="1BFE75FD" w14:textId="00E295FA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0.1309</w:t>
            </w:r>
          </w:p>
        </w:tc>
      </w:tr>
      <w:tr w:rsidR="00BE7E0C" w:rsidRPr="006931E0" w14:paraId="68EC2809" w14:textId="77777777" w:rsidTr="009851EA">
        <w:trPr>
          <w:trHeight w:val="352"/>
        </w:trPr>
        <w:tc>
          <w:tcPr>
            <w:tcW w:w="2800" w:type="dxa"/>
            <w:noWrap/>
            <w:vAlign w:val="bottom"/>
          </w:tcPr>
          <w:p w14:paraId="2164F43C" w14:textId="77777777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35</w:t>
            </w:r>
          </w:p>
        </w:tc>
        <w:tc>
          <w:tcPr>
            <w:tcW w:w="1451" w:type="dxa"/>
            <w:noWrap/>
            <w:vAlign w:val="bottom"/>
          </w:tcPr>
          <w:p w14:paraId="38FA672E" w14:textId="0FA03F50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0.0279</w:t>
            </w:r>
          </w:p>
        </w:tc>
        <w:tc>
          <w:tcPr>
            <w:tcW w:w="1452" w:type="dxa"/>
            <w:noWrap/>
            <w:vAlign w:val="bottom"/>
          </w:tcPr>
          <w:p w14:paraId="79553131" w14:textId="11A988FA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0.2290</w:t>
            </w:r>
          </w:p>
        </w:tc>
        <w:tc>
          <w:tcPr>
            <w:tcW w:w="1543" w:type="dxa"/>
            <w:noWrap/>
            <w:vAlign w:val="bottom"/>
          </w:tcPr>
          <w:p w14:paraId="544D0AB4" w14:textId="2FF8A48B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0.1379</w:t>
            </w:r>
          </w:p>
        </w:tc>
        <w:tc>
          <w:tcPr>
            <w:tcW w:w="1645" w:type="dxa"/>
            <w:noWrap/>
            <w:vAlign w:val="bottom"/>
          </w:tcPr>
          <w:p w14:paraId="2AA0766E" w14:textId="70CD2FCA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0.1143</w:t>
            </w:r>
          </w:p>
        </w:tc>
      </w:tr>
      <w:tr w:rsidR="00BE7E0C" w:rsidRPr="006931E0" w14:paraId="1EC1CF05" w14:textId="77777777" w:rsidTr="009851EA">
        <w:trPr>
          <w:trHeight w:val="352"/>
        </w:trPr>
        <w:tc>
          <w:tcPr>
            <w:tcW w:w="2800" w:type="dxa"/>
            <w:noWrap/>
            <w:vAlign w:val="bottom"/>
          </w:tcPr>
          <w:p w14:paraId="46C8C573" w14:textId="77777777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40</w:t>
            </w:r>
          </w:p>
        </w:tc>
        <w:tc>
          <w:tcPr>
            <w:tcW w:w="1451" w:type="dxa"/>
            <w:noWrap/>
            <w:vAlign w:val="bottom"/>
          </w:tcPr>
          <w:p w14:paraId="1F4BA100" w14:textId="0AAF3EED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0.1940</w:t>
            </w:r>
          </w:p>
        </w:tc>
        <w:tc>
          <w:tcPr>
            <w:tcW w:w="1452" w:type="dxa"/>
            <w:noWrap/>
            <w:vAlign w:val="bottom"/>
          </w:tcPr>
          <w:p w14:paraId="336C36C5" w14:textId="000DC06D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0.2063</w:t>
            </w:r>
          </w:p>
        </w:tc>
        <w:tc>
          <w:tcPr>
            <w:tcW w:w="1543" w:type="dxa"/>
            <w:noWrap/>
            <w:vAlign w:val="bottom"/>
          </w:tcPr>
          <w:p w14:paraId="597DFF21" w14:textId="2A9BBD29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0.1228</w:t>
            </w:r>
          </w:p>
        </w:tc>
        <w:tc>
          <w:tcPr>
            <w:tcW w:w="1645" w:type="dxa"/>
            <w:noWrap/>
            <w:vAlign w:val="bottom"/>
          </w:tcPr>
          <w:p w14:paraId="51B16D7A" w14:textId="33B4A424" w:rsidR="00BE7E0C" w:rsidRPr="006931E0" w:rsidRDefault="00000000" w:rsidP="009851EA">
            <w:pPr>
              <w:textAlignment w:val="bottom"/>
              <w:rPr>
                <w:rFonts w:ascii="Arial" w:eastAsia="Aptos Narrow" w:hAnsi="Arial" w:cs="Arial"/>
                <w:color w:val="000000"/>
              </w:rPr>
            </w:pPr>
            <w:r w:rsidRPr="006931E0">
              <w:rPr>
                <w:rFonts w:ascii="Arial" w:eastAsia="Aptos Narrow" w:hAnsi="Arial" w:cs="Arial"/>
                <w:color w:val="000000"/>
                <w:kern w:val="0"/>
                <w:lang w:val="en-US" w:eastAsia="zh-CN" w:bidi="ar"/>
              </w:rPr>
              <w:t>0.1015</w:t>
            </w:r>
          </w:p>
        </w:tc>
      </w:tr>
    </w:tbl>
    <w:p w14:paraId="0C2FA34C" w14:textId="77777777" w:rsidR="00BE7E0C" w:rsidRPr="006931E0" w:rsidRDefault="00BE7E0C">
      <w:pPr>
        <w:tabs>
          <w:tab w:val="left" w:pos="1186"/>
        </w:tabs>
        <w:rPr>
          <w:rFonts w:ascii="Arial" w:hAnsi="Arial" w:cs="Arial"/>
          <w:lang w:val="en-US"/>
        </w:rPr>
      </w:pPr>
    </w:p>
    <w:sectPr w:rsidR="00BE7E0C" w:rsidRPr="006931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1F4542" w14:textId="77777777" w:rsidR="00923ECC" w:rsidRDefault="00923ECC">
      <w:pPr>
        <w:spacing w:line="240" w:lineRule="auto"/>
      </w:pPr>
      <w:r>
        <w:separator/>
      </w:r>
    </w:p>
  </w:endnote>
  <w:endnote w:type="continuationSeparator" w:id="0">
    <w:p w14:paraId="288F9953" w14:textId="77777777" w:rsidR="00923ECC" w:rsidRDefault="00923E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宋体-简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altName w:val="Helvetica Neue"/>
    <w:panose1 w:val="020B00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E2DB85" w14:textId="77777777" w:rsidR="00923ECC" w:rsidRDefault="00923ECC">
      <w:pPr>
        <w:spacing w:after="0"/>
      </w:pPr>
      <w:r>
        <w:separator/>
      </w:r>
    </w:p>
  </w:footnote>
  <w:footnote w:type="continuationSeparator" w:id="0">
    <w:p w14:paraId="5BCBC774" w14:textId="77777777" w:rsidR="00923ECC" w:rsidRDefault="00923E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409"/>
    <w:rsid w:val="00227409"/>
    <w:rsid w:val="00247360"/>
    <w:rsid w:val="00290DBC"/>
    <w:rsid w:val="002B4AA0"/>
    <w:rsid w:val="002F731B"/>
    <w:rsid w:val="003362F1"/>
    <w:rsid w:val="00337AEA"/>
    <w:rsid w:val="004B7588"/>
    <w:rsid w:val="004C579F"/>
    <w:rsid w:val="005C3FD0"/>
    <w:rsid w:val="005E2B79"/>
    <w:rsid w:val="006931E0"/>
    <w:rsid w:val="008966A1"/>
    <w:rsid w:val="008F028E"/>
    <w:rsid w:val="00923ECC"/>
    <w:rsid w:val="009851EA"/>
    <w:rsid w:val="00A248F7"/>
    <w:rsid w:val="00AE6D9B"/>
    <w:rsid w:val="00B34AEB"/>
    <w:rsid w:val="00B356F1"/>
    <w:rsid w:val="00BE7E0C"/>
    <w:rsid w:val="00D01979"/>
    <w:rsid w:val="00D22F60"/>
    <w:rsid w:val="00D53672"/>
    <w:rsid w:val="00D856D1"/>
    <w:rsid w:val="00DB73C6"/>
    <w:rsid w:val="00E123AA"/>
    <w:rsid w:val="00E740C0"/>
    <w:rsid w:val="00ED0E65"/>
    <w:rsid w:val="00EF1184"/>
    <w:rsid w:val="00F96358"/>
    <w:rsid w:val="00FB06E8"/>
    <w:rsid w:val="00FD24DB"/>
    <w:rsid w:val="2ECD919E"/>
    <w:rsid w:val="2EFBE8CD"/>
    <w:rsid w:val="59DB72D6"/>
    <w:rsid w:val="BE5FD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C84EC4"/>
  <w15:docId w15:val="{541E60BB-CC9F-DA4E-9E6E-5C5AA72C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GH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val="en-GB"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  <w:lang w:val="en-GB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  <w:lang w:val="en-GB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nanabrowne/Documents/KALESEA/GAEC%2520Research/Kwarteng/Juliet/Adsorption%2520data_JA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Style" Target="style10.xml"/><Relationship Id="rId2" Type="http://schemas.openxmlformats.org/officeDocument/2006/relationships/chartUserShapes" Target="../drawings/drawing10.xml"/><Relationship Id="rId1" Type="http://schemas.openxmlformats.org/officeDocument/2006/relationships/oleObject" Target="/Users/nanabrowne/Documents/KALESEA/GAEC%20Research/Kwarteng/Juliet/Adsorption%20data_JA.xlsx" TargetMode="External"/><Relationship Id="rId4" Type="http://schemas.microsoft.com/office/2011/relationships/chartColorStyle" Target="colors10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409667541557299E-2"/>
          <c:y val="5.6814428491622403E-2"/>
          <c:w val="0.90322922134733197"/>
          <c:h val="0.86002662730338397"/>
        </c:manualLayout>
      </c:layout>
      <c:scatterChart>
        <c:scatterStyle val="lineMarker"/>
        <c:varyColors val="0"/>
        <c:ser>
          <c:idx val="0"/>
          <c:order val="0"/>
          <c:tx>
            <c:strRef>
              <c:f>K0 Na</c:f>
              <c:strCache>
                <c:ptCount val="1"/>
                <c:pt idx="0">
                  <c:v>K0 Na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tx1"/>
              </a:solidFill>
              <a:ln w="38100">
                <a:solidFill>
                  <a:schemeClr val="tx1"/>
                </a:solidFill>
              </a:ln>
              <a:effectLst/>
            </c:spPr>
          </c:marker>
          <c:trendline>
            <c:spPr>
              <a:ln w="15875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15875" cap="rnd">
                <a:solidFill>
                  <a:schemeClr val="accent1"/>
                </a:solidFill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28594768641349"/>
                  <c:y val="0.437293108299319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en-US" sz="12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Helvetica" charset="0"/>
                      <a:ea typeface="+mn-ea"/>
                      <a:cs typeface="Times New Roman" panose="02020603050405020304" charset="0"/>
                    </a:defRPr>
                  </a:pPr>
                  <a:endParaRPr lang="en-GH"/>
                </a:p>
              </c:txPr>
            </c:trendlineLbl>
          </c:trendline>
          <c:xVal>
            <c:numRef>
              <c:f>Sheet1!$B$59:$B$66</c:f>
              <c:numCache>
                <c:formatCode>General</c:formatCode>
                <c:ptCount val="8"/>
                <c:pt idx="0">
                  <c:v>0.12721694882003701</c:v>
                </c:pt>
                <c:pt idx="1">
                  <c:v>0.47835453005502199</c:v>
                </c:pt>
                <c:pt idx="2">
                  <c:v>0.73129492772702698</c:v>
                </c:pt>
                <c:pt idx="3">
                  <c:v>0.82406087540199302</c:v>
                </c:pt>
                <c:pt idx="4">
                  <c:v>0.99602928139438895</c:v>
                </c:pt>
                <c:pt idx="5">
                  <c:v>1.0911790948042399</c:v>
                </c:pt>
                <c:pt idx="6">
                  <c:v>1.2057412668385401</c:v>
                </c:pt>
                <c:pt idx="7">
                  <c:v>1.30180117392688</c:v>
                </c:pt>
              </c:numCache>
            </c:numRef>
          </c:xVal>
          <c:yVal>
            <c:numRef>
              <c:f>Sheet1!$C$59:$C$66</c:f>
              <c:numCache>
                <c:formatCode>General</c:formatCode>
                <c:ptCount val="8"/>
                <c:pt idx="0">
                  <c:v>0.86420370409319502</c:v>
                </c:pt>
                <c:pt idx="1">
                  <c:v>1.1454677042616099</c:v>
                </c:pt>
                <c:pt idx="2">
                  <c:v>1.2838961228886701</c:v>
                </c:pt>
                <c:pt idx="3">
                  <c:v>1.4258439552905899</c:v>
                </c:pt>
                <c:pt idx="4">
                  <c:v>1.4795422121510999</c:v>
                </c:pt>
                <c:pt idx="5">
                  <c:v>1.5480935705235599</c:v>
                </c:pt>
                <c:pt idx="6">
                  <c:v>1.5784069083918999</c:v>
                </c:pt>
                <c:pt idx="7">
                  <c:v>1.6010949899375699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9EF-2B41-9D56-E7E363C9BD7E}"/>
            </c:ext>
          </c:extLst>
        </c:ser>
        <c:ser>
          <c:idx val="1"/>
          <c:order val="1"/>
          <c:tx>
            <c:strRef>
              <c:f>K3 Na</c:f>
              <c:strCache>
                <c:ptCount val="1"/>
                <c:pt idx="0">
                  <c:v>K3 Na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3"/>
            <c:spPr>
              <a:solidFill>
                <a:schemeClr val="tx1"/>
              </a:solidFill>
              <a:ln w="38100">
                <a:solidFill>
                  <a:schemeClr val="tx1"/>
                </a:solidFill>
              </a:ln>
              <a:effectLst/>
            </c:spPr>
          </c:marker>
          <c:trendline>
            <c:spPr>
              <a:ln w="15875" cap="rnd">
                <a:solidFill>
                  <a:schemeClr val="accent2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15875" cap="rnd">
                <a:solidFill>
                  <a:schemeClr val="tx1"/>
                </a:solidFill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22526600158586699"/>
                  <c:y val="3.4900932567271697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en-US" sz="12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Helvetica" charset="0"/>
                      <a:ea typeface="+mn-ea"/>
                      <a:cs typeface="Times New Roman" panose="02020603050405020304" charset="0"/>
                    </a:defRPr>
                  </a:pPr>
                  <a:endParaRPr lang="en-GH"/>
                </a:p>
              </c:txPr>
            </c:trendlineLbl>
          </c:trendline>
          <c:xVal>
            <c:numRef>
              <c:f>Sheet1!$D$59:$D$66</c:f>
              <c:numCache>
                <c:formatCode>General</c:formatCode>
                <c:ptCount val="8"/>
                <c:pt idx="0">
                  <c:v>-0.135769944895588</c:v>
                </c:pt>
                <c:pt idx="1">
                  <c:v>0.13001952416083801</c:v>
                </c:pt>
                <c:pt idx="2">
                  <c:v>0.28989749098541701</c:v>
                </c:pt>
                <c:pt idx="3">
                  <c:v>0.61548859097212605</c:v>
                </c:pt>
                <c:pt idx="4">
                  <c:v>0.78364331514393204</c:v>
                </c:pt>
                <c:pt idx="5">
                  <c:v>0.94068126352449999</c:v>
                </c:pt>
                <c:pt idx="6">
                  <c:v>1.0797731262066199</c:v>
                </c:pt>
                <c:pt idx="7">
                  <c:v>1.15965730571574</c:v>
                </c:pt>
              </c:numCache>
            </c:numRef>
          </c:xVal>
          <c:yVal>
            <c:numRef>
              <c:f>Sheet1!$E$59:$E$66</c:f>
              <c:numCache>
                <c:formatCode>General</c:formatCode>
                <c:ptCount val="8"/>
                <c:pt idx="0">
                  <c:v>0.93128587277549901</c:v>
                </c:pt>
                <c:pt idx="1">
                  <c:v>1.2380385729611001</c:v>
                </c:pt>
                <c:pt idx="2">
                  <c:v>1.41663744714312</c:v>
                </c:pt>
                <c:pt idx="3">
                  <c:v>1.5016907152582499</c:v>
                </c:pt>
                <c:pt idx="4">
                  <c:v>1.5780253581841199</c:v>
                </c:pt>
                <c:pt idx="5">
                  <c:v>1.6289333828133401</c:v>
                </c:pt>
                <c:pt idx="6">
                  <c:v>1.66244004636575</c:v>
                </c:pt>
                <c:pt idx="7">
                  <c:v>1.70853095598987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19EF-2B41-9D56-E7E363C9BD7E}"/>
            </c:ext>
          </c:extLst>
        </c:ser>
        <c:ser>
          <c:idx val="2"/>
          <c:order val="2"/>
          <c:tx>
            <c:strRef>
              <c:f>K0 Pb</c:f>
              <c:strCache>
                <c:ptCount val="1"/>
                <c:pt idx="0">
                  <c:v>K0 Pb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3"/>
            <c:spPr>
              <a:solidFill>
                <a:schemeClr val="tx1"/>
              </a:solidFill>
              <a:ln w="38100">
                <a:solidFill>
                  <a:schemeClr val="tx1"/>
                </a:solidFill>
              </a:ln>
              <a:effectLst/>
            </c:spPr>
          </c:marker>
          <c:trendline>
            <c:spPr>
              <a:ln w="15875" cap="rnd">
                <a:solidFill>
                  <a:schemeClr val="accent3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15875" cap="rnd">
                <a:solidFill>
                  <a:schemeClr val="accent3"/>
                </a:solidFill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1.2477704521590999E-3"/>
                  <c:y val="0.2515721526523320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en-US" sz="12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Helvetica" charset="0"/>
                      <a:ea typeface="+mn-ea"/>
                      <a:cs typeface="Times New Roman" panose="02020603050405020304" charset="0"/>
                    </a:defRPr>
                  </a:pPr>
                  <a:endParaRPr lang="en-GH"/>
                </a:p>
              </c:txPr>
            </c:trendlineLbl>
          </c:trendline>
          <c:xVal>
            <c:numRef>
              <c:f>Sheet1!$F$59:$F$66</c:f>
              <c:numCache>
                <c:formatCode>General</c:formatCode>
                <c:ptCount val="8"/>
                <c:pt idx="0">
                  <c:v>0.14373000387113299</c:v>
                </c:pt>
                <c:pt idx="1">
                  <c:v>0.48448964690513102</c:v>
                </c:pt>
                <c:pt idx="2">
                  <c:v>0.72988822809299003</c:v>
                </c:pt>
                <c:pt idx="3">
                  <c:v>0.851623287967058</c:v>
                </c:pt>
                <c:pt idx="4">
                  <c:v>0.99759660643333203</c:v>
                </c:pt>
                <c:pt idx="5">
                  <c:v>1.1194278380145399</c:v>
                </c:pt>
                <c:pt idx="6">
                  <c:v>1.1898546908568599</c:v>
                </c:pt>
                <c:pt idx="7">
                  <c:v>1.2993317316589701</c:v>
                </c:pt>
              </c:numCache>
            </c:numRef>
          </c:xVal>
          <c:yVal>
            <c:numRef>
              <c:f>Sheet1!$G$59:$G$66</c:f>
              <c:numCache>
                <c:formatCode>General</c:formatCode>
                <c:ptCount val="8"/>
                <c:pt idx="0">
                  <c:v>0.85753118825019503</c:v>
                </c:pt>
                <c:pt idx="1">
                  <c:v>1.14275270970369</c:v>
                </c:pt>
                <c:pt idx="2">
                  <c:v>1.2846293761538601</c:v>
                </c:pt>
                <c:pt idx="3">
                  <c:v>1.4113821757809999</c:v>
                </c:pt>
                <c:pt idx="4">
                  <c:v>1.47846995140347</c:v>
                </c:pt>
                <c:pt idx="5">
                  <c:v>1.52279483102071</c:v>
                </c:pt>
                <c:pt idx="6">
                  <c:v>1.59142945551155</c:v>
                </c:pt>
                <c:pt idx="7">
                  <c:v>1.6036920498023099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8-19EF-2B41-9D56-E7E363C9BD7E}"/>
            </c:ext>
          </c:extLst>
        </c:ser>
        <c:ser>
          <c:idx val="3"/>
          <c:order val="3"/>
          <c:tx>
            <c:strRef>
              <c:f>K3 Pb</c:f>
              <c:strCache>
                <c:ptCount val="1"/>
                <c:pt idx="0">
                  <c:v>K3 Pb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x"/>
            <c:size val="3"/>
            <c:spPr>
              <a:noFill/>
              <a:ln w="38100">
                <a:solidFill>
                  <a:schemeClr val="tx1"/>
                </a:solidFill>
              </a:ln>
              <a:effectLst/>
            </c:spPr>
          </c:marker>
          <c:trendline>
            <c:spPr>
              <a:ln w="15875" cap="rnd">
                <a:solidFill>
                  <a:schemeClr val="accent4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15875" cap="rnd">
                <a:solidFill>
                  <a:schemeClr val="tx1"/>
                </a:solidFill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75261207103211"/>
                  <c:y val="-3.5692615714594499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en-US" sz="12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Helvetica" charset="0"/>
                      <a:ea typeface="+mn-ea"/>
                      <a:cs typeface="Times New Roman" panose="02020603050405020304" charset="0"/>
                    </a:defRPr>
                  </a:pPr>
                  <a:endParaRPr lang="en-GH"/>
                </a:p>
              </c:txPr>
            </c:trendlineLbl>
          </c:trendline>
          <c:xVal>
            <c:numRef>
              <c:f>Sheet1!$H$59:$H$66</c:f>
              <c:numCache>
                <c:formatCode>General</c:formatCode>
                <c:ptCount val="8"/>
                <c:pt idx="0">
                  <c:v>-0.24357353674269999</c:v>
                </c:pt>
                <c:pt idx="1">
                  <c:v>-8.8804000378674298E-3</c:v>
                </c:pt>
                <c:pt idx="2">
                  <c:v>0.117466537027864</c:v>
                </c:pt>
                <c:pt idx="3">
                  <c:v>0.36066500842409899</c:v>
                </c:pt>
                <c:pt idx="4">
                  <c:v>0.73930359687422398</c:v>
                </c:pt>
                <c:pt idx="5">
                  <c:v>0.85972581576495</c:v>
                </c:pt>
                <c:pt idx="6">
                  <c:v>1.0101198800406599</c:v>
                </c:pt>
                <c:pt idx="7">
                  <c:v>1.15020618781724</c:v>
                </c:pt>
              </c:numCache>
            </c:numRef>
          </c:xVal>
          <c:yVal>
            <c:numRef>
              <c:f>Sheet1!$I$59:$I$66</c:f>
              <c:numCache>
                <c:formatCode>General</c:formatCode>
                <c:ptCount val="8"/>
                <c:pt idx="0">
                  <c:v>0.94707242297521899</c:v>
                </c:pt>
                <c:pt idx="1">
                  <c:v>1.2560566550543799</c:v>
                </c:pt>
                <c:pt idx="2">
                  <c:v>1.4372039023265399</c:v>
                </c:pt>
                <c:pt idx="3">
                  <c:v>1.5490776194206799</c:v>
                </c:pt>
                <c:pt idx="4">
                  <c:v>1.59136106640132</c:v>
                </c:pt>
                <c:pt idx="5">
                  <c:v>1.6581172539559801</c:v>
                </c:pt>
                <c:pt idx="6">
                  <c:v>1.6924836394880201</c:v>
                </c:pt>
                <c:pt idx="7">
                  <c:v>1.70913515313369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19EF-2B41-9D56-E7E363C9BD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73861471"/>
        <c:axId val="1673842271"/>
      </c:scatterChart>
      <c:valAx>
        <c:axId val="1673861471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cross"/>
        <c:minorTickMark val="none"/>
        <c:tickLblPos val="nextTo"/>
        <c:spPr>
          <a:noFill/>
          <a:ln w="254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2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Helvetica" charset="0"/>
                <a:ea typeface="+mn-ea"/>
                <a:cs typeface="Times New Roman" panose="02020603050405020304" charset="0"/>
              </a:defRPr>
            </a:pPr>
            <a:endParaRPr lang="en-GH"/>
          </a:p>
        </c:txPr>
        <c:crossAx val="1673842271"/>
        <c:crosses val="autoZero"/>
        <c:crossBetween val="midCat"/>
        <c:majorUnit val="0.2"/>
      </c:valAx>
      <c:valAx>
        <c:axId val="1673842271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cross"/>
        <c:minorTickMark val="none"/>
        <c:tickLblPos val="nextTo"/>
        <c:spPr>
          <a:noFill/>
          <a:ln w="254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2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Helvetica" charset="0"/>
                <a:ea typeface="+mn-ea"/>
                <a:cs typeface="Times New Roman" panose="02020603050405020304" charset="0"/>
              </a:defRPr>
            </a:pPr>
            <a:endParaRPr lang="en-GH"/>
          </a:p>
        </c:txPr>
        <c:crossAx val="167386147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ayout>
        <c:manualLayout>
          <c:xMode val="edge"/>
          <c:yMode val="edge"/>
          <c:x val="0.75198731306127697"/>
          <c:y val="0.55179071673524005"/>
          <c:w val="0.20047346254585"/>
          <c:h val="0.186906975488783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Helvetica" charset="0"/>
              <a:ea typeface="+mn-ea"/>
              <a:cs typeface="Times New Roman" panose="02020603050405020304" charset="0"/>
            </a:defRPr>
          </a:pPr>
          <a:endParaRPr lang="en-GH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960d472-1a12-43f4-bfb8-f21b90b1baf2}"/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 sz="1200">
          <a:latin typeface="Helvetica" charset="0"/>
          <a:cs typeface="Times New Roman" panose="02020603050405020304" charset="0"/>
        </a:defRPr>
      </a:pPr>
      <a:endParaRPr lang="en-GH"/>
    </a:p>
  </c:txPr>
  <c:externalData r:id="rId3">
    <c:autoUpdate val="0"/>
  </c:externalData>
  <c:userShapes r:id="rId4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364096675415573"/>
          <c:y val="0.0568144284916224"/>
          <c:w val="0.903229221347332"/>
          <c:h val="0.860026627303384"/>
        </c:manualLayout>
      </c:layout>
      <c:scatterChart>
        <c:scatterStyle val="lineMarker"/>
        <c:varyColors val="0"/>
        <c:ser>
          <c:idx val="0"/>
          <c:order val="0"/>
          <c:tx>
            <c:strRef>
              <c:f>K0 Na</c:f>
              <c:strCache>
                <c:ptCount val="1"/>
                <c:pt idx="0">
                  <c:v>K0 Na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tx1"/>
              </a:solidFill>
              <a:ln w="38100">
                <a:solidFill>
                  <a:schemeClr val="tx1"/>
                </a:solidFill>
              </a:ln>
              <a:effectLst/>
            </c:spPr>
          </c:marker>
          <c:dLbls>
            <c:delete val="1"/>
          </c:dLbls>
          <c:trendline>
            <c:spPr>
              <a:ln w="15875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15875" cap="rnd">
                <a:solidFill>
                  <a:schemeClr val="accent1"/>
                </a:solidFill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28594768641349"/>
                  <c:y val="0.437293108299319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en-US" sz="12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Helvetica" charset="0"/>
                      <a:ea typeface="+mn-ea"/>
                      <a:cs typeface="Times New Roman" panose="02020603050405020304" charset="0"/>
                    </a:defRPr>
                  </a:pPr>
                </a:p>
              </c:txPr>
            </c:trendlineLbl>
          </c:trendline>
          <c:xVal>
            <c:numRef>
              <c:f>Sheet1!$B$59:$B$66</c:f>
              <c:numCache>
                <c:formatCode>General</c:formatCode>
                <c:ptCount val="8"/>
                <c:pt idx="0">
                  <c:v>0.127216948820037</c:v>
                </c:pt>
                <c:pt idx="1">
                  <c:v>0.478354530055022</c:v>
                </c:pt>
                <c:pt idx="2">
                  <c:v>0.731294927727027</c:v>
                </c:pt>
                <c:pt idx="3">
                  <c:v>0.824060875401993</c:v>
                </c:pt>
                <c:pt idx="4">
                  <c:v>0.996029281394389</c:v>
                </c:pt>
                <c:pt idx="5">
                  <c:v>1.09117909480424</c:v>
                </c:pt>
                <c:pt idx="6">
                  <c:v>1.20574126683854</c:v>
                </c:pt>
                <c:pt idx="7">
                  <c:v>1.30180117392688</c:v>
                </c:pt>
              </c:numCache>
            </c:numRef>
          </c:xVal>
          <c:yVal>
            <c:numRef>
              <c:f>Sheet1!$C$59:$C$66</c:f>
              <c:numCache>
                <c:formatCode>General</c:formatCode>
                <c:ptCount val="8"/>
                <c:pt idx="0">
                  <c:v>0.864203704093195</c:v>
                </c:pt>
                <c:pt idx="1">
                  <c:v>1.14546770426161</c:v>
                </c:pt>
                <c:pt idx="2">
                  <c:v>1.28389612288867</c:v>
                </c:pt>
                <c:pt idx="3">
                  <c:v>1.42584395529059</c:v>
                </c:pt>
                <c:pt idx="4">
                  <c:v>1.4795422121511</c:v>
                </c:pt>
                <c:pt idx="5">
                  <c:v>1.54809357052356</c:v>
                </c:pt>
                <c:pt idx="6">
                  <c:v>1.5784069083919</c:v>
                </c:pt>
                <c:pt idx="7">
                  <c:v>1.60109498993757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K3 Na</c:f>
              <c:strCache>
                <c:ptCount val="1"/>
                <c:pt idx="0">
                  <c:v>K3 Na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3"/>
            <c:spPr>
              <a:solidFill>
                <a:schemeClr val="tx1"/>
              </a:solidFill>
              <a:ln w="38100">
                <a:solidFill>
                  <a:schemeClr val="tx1"/>
                </a:solidFill>
              </a:ln>
              <a:effectLst/>
            </c:spPr>
          </c:marker>
          <c:dLbls>
            <c:delete val="1"/>
          </c:dLbls>
          <c:trendline>
            <c:spPr>
              <a:ln w="15875" cap="rnd">
                <a:solidFill>
                  <a:schemeClr val="accent2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15875" cap="rnd">
                <a:solidFill>
                  <a:schemeClr val="tx1"/>
                </a:solidFill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225266001585867"/>
                  <c:y val="0.0349009325672717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en-US" sz="12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Helvetica" charset="0"/>
                      <a:ea typeface="+mn-ea"/>
                      <a:cs typeface="Times New Roman" panose="02020603050405020304" charset="0"/>
                    </a:defRPr>
                  </a:pPr>
                </a:p>
              </c:txPr>
            </c:trendlineLbl>
          </c:trendline>
          <c:xVal>
            <c:numRef>
              <c:f>Sheet1!$D$59:$D$66</c:f>
              <c:numCache>
                <c:formatCode>General</c:formatCode>
                <c:ptCount val="8"/>
                <c:pt idx="0">
                  <c:v>-0.135769944895588</c:v>
                </c:pt>
                <c:pt idx="1">
                  <c:v>0.130019524160838</c:v>
                </c:pt>
                <c:pt idx="2">
                  <c:v>0.289897490985417</c:v>
                </c:pt>
                <c:pt idx="3">
                  <c:v>0.615488590972126</c:v>
                </c:pt>
                <c:pt idx="4">
                  <c:v>0.783643315143932</c:v>
                </c:pt>
                <c:pt idx="5">
                  <c:v>0.9406812635245</c:v>
                </c:pt>
                <c:pt idx="6">
                  <c:v>1.07977312620662</c:v>
                </c:pt>
                <c:pt idx="7">
                  <c:v>1.15965730571574</c:v>
                </c:pt>
              </c:numCache>
            </c:numRef>
          </c:xVal>
          <c:yVal>
            <c:numRef>
              <c:f>Sheet1!$E$59:$E$66</c:f>
              <c:numCache>
                <c:formatCode>General</c:formatCode>
                <c:ptCount val="8"/>
                <c:pt idx="0">
                  <c:v>0.931285872775499</c:v>
                </c:pt>
                <c:pt idx="1">
                  <c:v>1.2380385729611</c:v>
                </c:pt>
                <c:pt idx="2">
                  <c:v>1.41663744714312</c:v>
                </c:pt>
                <c:pt idx="3">
                  <c:v>1.50169071525825</c:v>
                </c:pt>
                <c:pt idx="4">
                  <c:v>1.57802535818412</c:v>
                </c:pt>
                <c:pt idx="5">
                  <c:v>1.62893338281334</c:v>
                </c:pt>
                <c:pt idx="6">
                  <c:v>1.66244004636575</c:v>
                </c:pt>
                <c:pt idx="7">
                  <c:v>1.70853095598987</c:v>
                </c:pt>
              </c:numCache>
            </c:numRef>
          </c:yVal>
          <c:smooth val="0"/>
        </c:ser>
        <c:ser>
          <c:idx val="2"/>
          <c:order val="2"/>
          <c:tx>
            <c:strRef>
              <c:f>K0 Pb</c:f>
              <c:strCache>
                <c:ptCount val="1"/>
                <c:pt idx="0">
                  <c:v>K0 Pb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3"/>
            <c:spPr>
              <a:solidFill>
                <a:schemeClr val="tx1"/>
              </a:solidFill>
              <a:ln w="38100">
                <a:solidFill>
                  <a:schemeClr val="tx1"/>
                </a:solidFill>
              </a:ln>
              <a:effectLst/>
            </c:spPr>
          </c:marker>
          <c:dLbls>
            <c:delete val="1"/>
          </c:dLbls>
          <c:trendline>
            <c:spPr>
              <a:ln w="15875" cap="rnd">
                <a:solidFill>
                  <a:schemeClr val="accent3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15875" cap="rnd">
                <a:solidFill>
                  <a:schemeClr val="accent3"/>
                </a:solidFill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0012477704521591"/>
                  <c:y val="0.25157215265233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en-US" sz="12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Helvetica" charset="0"/>
                      <a:ea typeface="+mn-ea"/>
                      <a:cs typeface="Times New Roman" panose="02020603050405020304" charset="0"/>
                    </a:defRPr>
                  </a:pPr>
                </a:p>
              </c:txPr>
            </c:trendlineLbl>
          </c:trendline>
          <c:xVal>
            <c:numRef>
              <c:f>Sheet1!$F$59:$F$66</c:f>
              <c:numCache>
                <c:formatCode>General</c:formatCode>
                <c:ptCount val="8"/>
                <c:pt idx="0">
                  <c:v>0.143730003871133</c:v>
                </c:pt>
                <c:pt idx="1">
                  <c:v>0.484489646905131</c:v>
                </c:pt>
                <c:pt idx="2">
                  <c:v>0.72988822809299</c:v>
                </c:pt>
                <c:pt idx="3">
                  <c:v>0.851623287967058</c:v>
                </c:pt>
                <c:pt idx="4">
                  <c:v>0.997596606433332</c:v>
                </c:pt>
                <c:pt idx="5">
                  <c:v>1.11942783801454</c:v>
                </c:pt>
                <c:pt idx="6">
                  <c:v>1.18985469085686</c:v>
                </c:pt>
                <c:pt idx="7">
                  <c:v>1.29933173165897</c:v>
                </c:pt>
              </c:numCache>
            </c:numRef>
          </c:xVal>
          <c:yVal>
            <c:numRef>
              <c:f>Sheet1!$G$59:$G$66</c:f>
              <c:numCache>
                <c:formatCode>General</c:formatCode>
                <c:ptCount val="8"/>
                <c:pt idx="0">
                  <c:v>0.857531188250195</c:v>
                </c:pt>
                <c:pt idx="1">
                  <c:v>1.14275270970369</c:v>
                </c:pt>
                <c:pt idx="2">
                  <c:v>1.28462937615386</c:v>
                </c:pt>
                <c:pt idx="3">
                  <c:v>1.411382175781</c:v>
                </c:pt>
                <c:pt idx="4">
                  <c:v>1.47846995140347</c:v>
                </c:pt>
                <c:pt idx="5">
                  <c:v>1.52279483102071</c:v>
                </c:pt>
                <c:pt idx="6">
                  <c:v>1.59142945551155</c:v>
                </c:pt>
                <c:pt idx="7">
                  <c:v>1.60369204980231</c:v>
                </c:pt>
              </c:numCache>
            </c:numRef>
          </c:yVal>
          <c:smooth val="0"/>
        </c:ser>
        <c:ser>
          <c:idx val="3"/>
          <c:order val="3"/>
          <c:tx>
            <c:strRef>
              <c:f>K3 Pb</c:f>
              <c:strCache>
                <c:ptCount val="1"/>
                <c:pt idx="0">
                  <c:v>K3 Pb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x"/>
            <c:size val="3"/>
            <c:spPr>
              <a:noFill/>
              <a:ln w="38100">
                <a:solidFill>
                  <a:schemeClr val="tx1"/>
                </a:solidFill>
              </a:ln>
              <a:effectLst/>
            </c:spPr>
          </c:marker>
          <c:dLbls>
            <c:delete val="1"/>
          </c:dLbls>
          <c:trendline>
            <c:spPr>
              <a:ln w="15875" cap="rnd">
                <a:solidFill>
                  <a:schemeClr val="accent4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15875" cap="rnd">
                <a:solidFill>
                  <a:schemeClr val="tx1"/>
                </a:solidFill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75261207103211"/>
                  <c:y val="-0.035692615714594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en-US" sz="12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Helvetica" charset="0"/>
                      <a:ea typeface="+mn-ea"/>
                      <a:cs typeface="Times New Roman" panose="02020603050405020304" charset="0"/>
                    </a:defRPr>
                  </a:pPr>
                </a:p>
              </c:txPr>
            </c:trendlineLbl>
          </c:trendline>
          <c:xVal>
            <c:numRef>
              <c:f>Sheet1!$H$59:$H$66</c:f>
              <c:numCache>
                <c:formatCode>General</c:formatCode>
                <c:ptCount val="8"/>
                <c:pt idx="0">
                  <c:v>-0.2435735367427</c:v>
                </c:pt>
                <c:pt idx="1">
                  <c:v>-0.00888040003786743</c:v>
                </c:pt>
                <c:pt idx="2">
                  <c:v>0.117466537027864</c:v>
                </c:pt>
                <c:pt idx="3">
                  <c:v>0.360665008424099</c:v>
                </c:pt>
                <c:pt idx="4">
                  <c:v>0.739303596874224</c:v>
                </c:pt>
                <c:pt idx="5">
                  <c:v>0.85972581576495</c:v>
                </c:pt>
                <c:pt idx="6">
                  <c:v>1.01011988004066</c:v>
                </c:pt>
                <c:pt idx="7">
                  <c:v>1.15020618781724</c:v>
                </c:pt>
              </c:numCache>
            </c:numRef>
          </c:xVal>
          <c:yVal>
            <c:numRef>
              <c:f>Sheet1!$I$59:$I$66</c:f>
              <c:numCache>
                <c:formatCode>General</c:formatCode>
                <c:ptCount val="8"/>
                <c:pt idx="0">
                  <c:v>0.947072422975219</c:v>
                </c:pt>
                <c:pt idx="1">
                  <c:v>1.25605665505438</c:v>
                </c:pt>
                <c:pt idx="2">
                  <c:v>1.43720390232654</c:v>
                </c:pt>
                <c:pt idx="3">
                  <c:v>1.54907761942068</c:v>
                </c:pt>
                <c:pt idx="4">
                  <c:v>1.59136106640132</c:v>
                </c:pt>
                <c:pt idx="5">
                  <c:v>1.65811725395598</c:v>
                </c:pt>
                <c:pt idx="6">
                  <c:v>1.69248363948802</c:v>
                </c:pt>
                <c:pt idx="7">
                  <c:v>1.70913515313369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73861471"/>
        <c:axId val="1673842271"/>
      </c:scatterChart>
      <c:valAx>
        <c:axId val="1673861471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cross"/>
        <c:minorTickMark val="none"/>
        <c:tickLblPos val="nextTo"/>
        <c:spPr>
          <a:noFill/>
          <a:ln w="254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2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Helvetica" charset="0"/>
                <a:ea typeface="+mn-ea"/>
                <a:cs typeface="Times New Roman" panose="02020603050405020304" charset="0"/>
              </a:defRPr>
            </a:pPr>
          </a:p>
        </c:txPr>
        <c:crossAx val="1673842271"/>
        <c:crosses val="autoZero"/>
        <c:crossBetween val="midCat"/>
        <c:majorUnit val="0.2"/>
      </c:valAx>
      <c:valAx>
        <c:axId val="1673842271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cross"/>
        <c:minorTickMark val="none"/>
        <c:tickLblPos val="nextTo"/>
        <c:spPr>
          <a:noFill/>
          <a:ln w="254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2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Helvetica" charset="0"/>
                <a:ea typeface="+mn-ea"/>
                <a:cs typeface="Times New Roman" panose="02020603050405020304" charset="0"/>
              </a:defRPr>
            </a:pPr>
          </a:p>
        </c:txPr>
        <c:crossAx val="167386147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ayout>
        <c:manualLayout>
          <c:xMode val="edge"/>
          <c:yMode val="edge"/>
          <c:x val="0.751987313061277"/>
          <c:y val="0.55179071673524"/>
          <c:w val="0.20047346254585"/>
          <c:h val="0.1869069754887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Helvetica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960d472-1a12-43f4-bfb8-f21b90b1baf2}"/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 sz="1200">
          <a:latin typeface="Helvetica" charset="0"/>
          <a:cs typeface="Times New Roman" panose="02020603050405020304" charset="0"/>
        </a:defRPr>
      </a:pPr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>
        <a:solidFill>
          <a:schemeClr val="tx1">
            <a:lumMod val="15000"/>
            <a:lumOff val="85000"/>
          </a:schemeClr>
        </a:solidFill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>
            <a:alpha val="6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38100">
        <a:solidFill>
          <a:schemeClr val="phClr">
            <a:alpha val="60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>
        <a:solidFill>
          <a:schemeClr val="tx1">
            <a:lumMod val="15000"/>
            <a:lumOff val="85000"/>
          </a:schemeClr>
        </a:solidFill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>
        <a:solidFill>
          <a:schemeClr val="tx1">
            <a:lumMod val="25000"/>
            <a:lumOff val="75000"/>
          </a:schemeClr>
        </a:solidFill>
      </a:ln>
    </cs:spPr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4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>
        <a:solidFill>
          <a:schemeClr val="tx1">
            <a:lumMod val="15000"/>
            <a:lumOff val="85000"/>
          </a:schemeClr>
        </a:solidFill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>
            <a:alpha val="6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38100">
        <a:solidFill>
          <a:schemeClr val="phClr">
            <a:alpha val="60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>
        <a:solidFill>
          <a:schemeClr val="tx1">
            <a:lumMod val="15000"/>
            <a:lumOff val="85000"/>
          </a:schemeClr>
        </a:solidFill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>
        <a:solidFill>
          <a:schemeClr val="tx1">
            <a:lumMod val="25000"/>
            <a:lumOff val="75000"/>
          </a:schemeClr>
        </a:solidFill>
      </a:ln>
    </cs:spPr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0.31778</cdr:x>
      <cdr:y>0.51706</cdr:y>
    </cdr:from>
    <cdr:to>
      <cdr:x>0.41513</cdr:x>
      <cdr:y>0.60469</cdr:y>
    </cdr:to>
    <cdr:cxnSp macro="">
      <cdr:nvCxnSpPr>
        <cdr:cNvPr id="2" name="Straight Connector 1"/>
        <cdr:cNvCxnSpPr/>
      </cdr:nvCxnSpPr>
      <cdr:spPr>
        <a:xfrm xmlns:a="http://schemas.openxmlformats.org/drawingml/2006/main" flipH="1" flipV="1">
          <a:off x="1637306" y="2536024"/>
          <a:ext cx="501595" cy="429813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0.43753</cdr:x>
      <cdr:y>0.44744</cdr:y>
    </cdr:from>
    <cdr:to>
      <cdr:x>0.56723</cdr:x>
      <cdr:y>0.46032</cdr:y>
    </cdr:to>
    <cdr:cxnSp macro="">
      <cdr:nvCxnSpPr>
        <cdr:cNvPr id="3" name="Straight Connector 2"/>
        <cdr:cNvCxnSpPr/>
      </cdr:nvCxnSpPr>
      <cdr:spPr>
        <a:xfrm xmlns:a="http://schemas.openxmlformats.org/drawingml/2006/main" flipH="1">
          <a:off x="2254305" y="2194561"/>
          <a:ext cx="668296" cy="63168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0.31778</cdr:x>
      <cdr:y>0.51706</cdr:y>
    </cdr:from>
    <cdr:to>
      <cdr:x>0.41513</cdr:x>
      <cdr:y>0.60469</cdr:y>
    </cdr:to>
    <cdr:cxnSp>
      <cdr:nvCxnSpPr>
        <cdr:cNvPr id="2" name="Straight Connector 1"/>
        <cdr:cNvCxnSpPr/>
      </cdr:nvCxnSpPr>
      <cdr:spPr xmlns:a="http://schemas.openxmlformats.org/drawingml/2006/main">
        <a:xfrm xmlns:a="http://schemas.openxmlformats.org/drawingml/2006/main" flipH="1" flipV="1">
          <a:off x="1637306" y="2536024"/>
          <a:ext cx="501595" cy="429813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0.43753</cdr:x>
      <cdr:y>0.44744</cdr:y>
    </cdr:from>
    <cdr:to>
      <cdr:x>0.56723</cdr:x>
      <cdr:y>0.46032</cdr:y>
    </cdr:to>
    <cdr:cxnSp>
      <cdr:nvCxnSpPr>
        <cdr:cNvPr id="3" name="Straight Connector 2"/>
        <cdr:cNvCxnSpPr/>
      </cdr:nvCxnSpPr>
      <cdr:spPr xmlns:a="http://schemas.openxmlformats.org/drawingml/2006/main">
        <a:xfrm xmlns:a="http://schemas.openxmlformats.org/drawingml/2006/main" flipH="1">
          <a:off x="2254305" y="2194561"/>
          <a:ext cx="668296" cy="63168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Kofi Klutse</dc:creator>
  <cp:lastModifiedBy>Charles Kofi Klutse</cp:lastModifiedBy>
  <cp:revision>9</cp:revision>
  <dcterms:created xsi:type="dcterms:W3CDTF">2026-04-29T12:36:00Z</dcterms:created>
  <dcterms:modified xsi:type="dcterms:W3CDTF">2026-07-19T15:43:00Z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1033-12.1.25898.25898</vt:lpwstr>
  </property>
  <property fmtid="{D5CDD505-2E9C-101B-9397-08002B2CF9AE}" pid="3" name="ICV">
    <vt:lpwstr>FA19A7DE092D8747BFF2506A72A8FDE4_42</vt:lpwstr>
  </property>
</Properties>
</file>