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AB9EEE2" w14:textId="2CDA3EE5" w:rsidR="00C36ABD" w:rsidRDefault="00C36ABD" w:rsidP="00C91DB1">
      <w:pPr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Supplementary Information</w:t>
      </w:r>
    </w:p>
    <w:p w14:paraId="132F613A" w14:textId="77777777" w:rsidR="00C36ABD" w:rsidRDefault="00C36ABD" w:rsidP="00C91DB1">
      <w:pPr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53BBF3F9" w14:textId="77777777" w:rsidR="00101B93" w:rsidRPr="000F78A3" w:rsidRDefault="00101B93" w:rsidP="00101B93">
      <w:pPr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F78A3">
        <w:rPr>
          <w:rFonts w:ascii="Arial" w:hAnsi="Arial" w:cs="Arial"/>
          <w:b/>
          <w:bCs/>
          <w:color w:val="000000" w:themeColor="text1"/>
          <w:sz w:val="28"/>
          <w:szCs w:val="28"/>
        </w:rPr>
        <w:t>Single-cell foundation models predict durable CAR T response despite imperfect cell annotation</w:t>
      </w:r>
    </w:p>
    <w:p w14:paraId="6C8444BC" w14:textId="77777777" w:rsidR="00101B93" w:rsidRDefault="00101B93" w:rsidP="00AF342A">
      <w:pPr>
        <w:rPr>
          <w:sz w:val="18"/>
          <w:szCs w:val="18"/>
        </w:rPr>
      </w:pPr>
    </w:p>
    <w:p w14:paraId="3D219FA7" w14:textId="77777777" w:rsidR="00101B93" w:rsidRPr="000F78A3" w:rsidRDefault="00101B93" w:rsidP="00101B93">
      <w:pPr>
        <w:rPr>
          <w:sz w:val="18"/>
          <w:szCs w:val="18"/>
        </w:rPr>
      </w:pPr>
      <w:r w:rsidRPr="000F78A3">
        <w:rPr>
          <w:sz w:val="18"/>
          <w:szCs w:val="18"/>
        </w:rPr>
        <w:t>K. Leo Shen</w:t>
      </w:r>
      <w:r w:rsidRPr="000F78A3">
        <w:rPr>
          <w:rFonts w:cs="Arial"/>
          <w:color w:val="000000"/>
          <w:sz w:val="18"/>
          <w:szCs w:val="18"/>
          <w:vertAlign w:val="superscript"/>
          <w:lang w:eastAsia="zh-CN"/>
        </w:rPr>
        <w:t>1</w:t>
      </w:r>
      <w:r w:rsidRPr="000F78A3">
        <w:rPr>
          <w:sz w:val="18"/>
          <w:szCs w:val="18"/>
        </w:rPr>
        <w:t xml:space="preserve">, </w:t>
      </w:r>
      <w:r w:rsidRPr="000F78A3">
        <w:rPr>
          <w:color w:val="000000" w:themeColor="text1"/>
          <w:sz w:val="18"/>
          <w:szCs w:val="18"/>
        </w:rPr>
        <w:t>Zhiliang Bai</w:t>
      </w:r>
      <w:r w:rsidRPr="000F78A3">
        <w:rPr>
          <w:rFonts w:cs="Arial"/>
          <w:color w:val="000000" w:themeColor="text1"/>
          <w:sz w:val="18"/>
          <w:szCs w:val="18"/>
          <w:vertAlign w:val="superscript"/>
          <w:lang w:eastAsia="zh-CN"/>
        </w:rPr>
        <w:t>1,2</w:t>
      </w:r>
      <w:r>
        <w:rPr>
          <w:rFonts w:cs="Arial"/>
          <w:color w:val="000000" w:themeColor="text1"/>
          <w:sz w:val="18"/>
          <w:szCs w:val="18"/>
          <w:vertAlign w:val="superscript"/>
          <w:lang w:eastAsia="zh-CN"/>
        </w:rPr>
        <w:t>,3</w:t>
      </w:r>
      <w:r w:rsidRPr="000F78A3">
        <w:rPr>
          <w:color w:val="000000" w:themeColor="text1"/>
          <w:sz w:val="18"/>
          <w:szCs w:val="18"/>
        </w:rPr>
        <w:t>,</w:t>
      </w:r>
      <w:r w:rsidRPr="000F78A3">
        <w:rPr>
          <w:sz w:val="18"/>
          <w:szCs w:val="18"/>
        </w:rPr>
        <w:t xml:space="preserve"> Mingyu Yang</w:t>
      </w:r>
      <w:r w:rsidRPr="000F78A3">
        <w:rPr>
          <w:rFonts w:cs="Arial"/>
          <w:color w:val="000000" w:themeColor="text1"/>
          <w:sz w:val="18"/>
          <w:szCs w:val="18"/>
          <w:vertAlign w:val="superscript"/>
          <w:lang w:eastAsia="zh-CN"/>
        </w:rPr>
        <w:t>1</w:t>
      </w:r>
      <w:r w:rsidRPr="000F78A3">
        <w:rPr>
          <w:sz w:val="18"/>
          <w:szCs w:val="18"/>
        </w:rPr>
        <w:t>, Na Li</w:t>
      </w:r>
      <w:r>
        <w:rPr>
          <w:sz w:val="18"/>
          <w:szCs w:val="18"/>
          <w:vertAlign w:val="superscript"/>
        </w:rPr>
        <w:t>4</w:t>
      </w:r>
      <w:r w:rsidRPr="000F78A3">
        <w:rPr>
          <w:sz w:val="18"/>
          <w:szCs w:val="18"/>
        </w:rPr>
        <w:t>, Rong Fan</w:t>
      </w:r>
      <w:r w:rsidRPr="000F78A3">
        <w:rPr>
          <w:sz w:val="18"/>
          <w:szCs w:val="18"/>
          <w:vertAlign w:val="superscript"/>
        </w:rPr>
        <w:t>1,</w:t>
      </w:r>
      <w:r>
        <w:rPr>
          <w:sz w:val="18"/>
          <w:szCs w:val="18"/>
          <w:vertAlign w:val="superscript"/>
        </w:rPr>
        <w:t>5</w:t>
      </w:r>
      <w:r w:rsidRPr="000F78A3">
        <w:rPr>
          <w:sz w:val="18"/>
          <w:szCs w:val="18"/>
          <w:vertAlign w:val="superscript"/>
        </w:rPr>
        <w:t>,</w:t>
      </w:r>
      <w:r>
        <w:rPr>
          <w:sz w:val="18"/>
          <w:szCs w:val="18"/>
          <w:vertAlign w:val="superscript"/>
        </w:rPr>
        <w:t>6</w:t>
      </w:r>
      <w:r w:rsidRPr="000F78A3">
        <w:rPr>
          <w:sz w:val="18"/>
          <w:szCs w:val="18"/>
          <w:vertAlign w:val="superscript"/>
        </w:rPr>
        <w:t xml:space="preserve"> </w:t>
      </w:r>
      <w:r w:rsidRPr="000F78A3">
        <w:rPr>
          <w:sz w:val="18"/>
          <w:szCs w:val="18"/>
        </w:rPr>
        <w:t>*</w:t>
      </w:r>
    </w:p>
    <w:p w14:paraId="4DF6A6F4" w14:textId="77777777" w:rsidR="00101B93" w:rsidRPr="000F78A3" w:rsidRDefault="00101B93" w:rsidP="00101B93">
      <w:pPr>
        <w:rPr>
          <w:rFonts w:ascii="Arial" w:hAnsi="Arial" w:cs="Arial"/>
        </w:rPr>
      </w:pPr>
    </w:p>
    <w:p w14:paraId="0A6FBDF4" w14:textId="77777777" w:rsidR="00101B93" w:rsidRDefault="00101B93" w:rsidP="00101B93">
      <w:pPr>
        <w:adjustRightInd w:val="0"/>
        <w:spacing w:line="276" w:lineRule="auto"/>
        <w:rPr>
          <w:rFonts w:cs="Arial"/>
          <w:color w:val="000000"/>
          <w:sz w:val="18"/>
          <w:szCs w:val="18"/>
          <w:lang w:eastAsia="zh-CN"/>
        </w:rPr>
      </w:pPr>
      <w:r w:rsidRPr="000F78A3">
        <w:rPr>
          <w:rFonts w:cs="Arial"/>
          <w:color w:val="000000"/>
          <w:sz w:val="18"/>
          <w:szCs w:val="18"/>
          <w:vertAlign w:val="superscript"/>
          <w:lang w:eastAsia="zh-CN"/>
        </w:rPr>
        <w:t>1</w:t>
      </w:r>
      <w:r w:rsidRPr="000F78A3">
        <w:rPr>
          <w:rFonts w:cs="Arial"/>
          <w:color w:val="000000"/>
          <w:sz w:val="18"/>
          <w:szCs w:val="18"/>
          <w:lang w:eastAsia="zh-CN"/>
        </w:rPr>
        <w:t xml:space="preserve"> Department of Biomedical Engineering, Yale University; New Haven, CT, USA.</w:t>
      </w:r>
    </w:p>
    <w:p w14:paraId="7BD6EEE9" w14:textId="77777777" w:rsidR="00101B93" w:rsidRPr="000F78A3" w:rsidRDefault="00101B93" w:rsidP="00101B93">
      <w:pPr>
        <w:adjustRightInd w:val="0"/>
        <w:spacing w:line="276" w:lineRule="auto"/>
        <w:rPr>
          <w:rFonts w:cs="Arial"/>
          <w:color w:val="000000"/>
          <w:sz w:val="18"/>
          <w:szCs w:val="18"/>
          <w:lang w:eastAsia="zh-CN"/>
        </w:rPr>
      </w:pPr>
      <w:r w:rsidRPr="007770C1">
        <w:rPr>
          <w:rFonts w:cs="Arial"/>
          <w:color w:val="000000"/>
          <w:sz w:val="18"/>
          <w:szCs w:val="18"/>
          <w:vertAlign w:val="superscript"/>
          <w:lang w:eastAsia="zh-CN"/>
        </w:rPr>
        <w:t>2</w:t>
      </w:r>
      <w:r>
        <w:rPr>
          <w:rFonts w:cs="Arial"/>
          <w:color w:val="000000"/>
          <w:sz w:val="18"/>
          <w:szCs w:val="18"/>
          <w:lang w:eastAsia="zh-CN"/>
        </w:rPr>
        <w:t xml:space="preserve"> </w:t>
      </w:r>
      <w:r w:rsidRPr="003F6506">
        <w:rPr>
          <w:rFonts w:cs="Arial"/>
          <w:color w:val="000000"/>
          <w:sz w:val="18"/>
          <w:szCs w:val="18"/>
          <w:lang w:eastAsia="zh-CN"/>
        </w:rPr>
        <w:t>Koch Institute for Integrative Cancer Research, Massachusetts Institute of Technology</w:t>
      </w:r>
      <w:r>
        <w:rPr>
          <w:rFonts w:cs="Arial"/>
          <w:color w:val="000000"/>
          <w:sz w:val="18"/>
          <w:szCs w:val="18"/>
          <w:lang w:eastAsia="zh-CN"/>
        </w:rPr>
        <w:t>;</w:t>
      </w:r>
      <w:r w:rsidRPr="003F6506">
        <w:rPr>
          <w:rFonts w:cs="Arial"/>
          <w:color w:val="000000"/>
          <w:sz w:val="18"/>
          <w:szCs w:val="18"/>
          <w:lang w:eastAsia="zh-CN"/>
        </w:rPr>
        <w:t xml:space="preserve"> Cambridge, MA, USA</w:t>
      </w:r>
      <w:r>
        <w:rPr>
          <w:rFonts w:cs="Arial"/>
          <w:color w:val="000000"/>
          <w:sz w:val="18"/>
          <w:szCs w:val="18"/>
          <w:lang w:eastAsia="zh-CN"/>
        </w:rPr>
        <w:t>.</w:t>
      </w:r>
    </w:p>
    <w:p w14:paraId="7F986677" w14:textId="77777777" w:rsidR="00101B93" w:rsidRPr="000F78A3" w:rsidRDefault="00101B93" w:rsidP="00101B93">
      <w:pPr>
        <w:adjustRightInd w:val="0"/>
        <w:spacing w:line="276" w:lineRule="auto"/>
        <w:rPr>
          <w:rFonts w:cs="Arial"/>
          <w:color w:val="000000"/>
          <w:sz w:val="18"/>
          <w:szCs w:val="18"/>
          <w:lang w:eastAsia="zh-CN"/>
        </w:rPr>
      </w:pPr>
      <w:r>
        <w:rPr>
          <w:rFonts w:cs="Arial"/>
          <w:color w:val="000000"/>
          <w:sz w:val="18"/>
          <w:szCs w:val="18"/>
          <w:vertAlign w:val="superscript"/>
          <w:lang w:eastAsia="zh-CN"/>
        </w:rPr>
        <w:t>3</w:t>
      </w:r>
      <w:r w:rsidRPr="000F78A3">
        <w:rPr>
          <w:rFonts w:cs="Arial"/>
          <w:color w:val="000000"/>
          <w:sz w:val="18"/>
          <w:szCs w:val="18"/>
          <w:lang w:eastAsia="zh-CN"/>
        </w:rPr>
        <w:t xml:space="preserve"> Department of Biological Engineering, Massachusetts Institute of Technology; Cambridge, MA, USA.</w:t>
      </w:r>
    </w:p>
    <w:p w14:paraId="149FCCCF" w14:textId="77777777" w:rsidR="00101B93" w:rsidRPr="000F78A3" w:rsidRDefault="00101B93" w:rsidP="00101B93">
      <w:pPr>
        <w:adjustRightInd w:val="0"/>
        <w:spacing w:line="276" w:lineRule="auto"/>
        <w:rPr>
          <w:rFonts w:cs="Arial"/>
          <w:color w:val="000000"/>
          <w:sz w:val="18"/>
          <w:szCs w:val="18"/>
          <w:lang w:eastAsia="zh-CN"/>
        </w:rPr>
      </w:pPr>
      <w:r>
        <w:rPr>
          <w:rFonts w:cs="Arial"/>
          <w:color w:val="000000"/>
          <w:sz w:val="18"/>
          <w:szCs w:val="18"/>
          <w:vertAlign w:val="superscript"/>
          <w:lang w:eastAsia="zh-CN"/>
        </w:rPr>
        <w:t>4</w:t>
      </w:r>
      <w:r w:rsidRPr="000F78A3">
        <w:rPr>
          <w:rFonts w:cs="Arial"/>
          <w:color w:val="000000"/>
          <w:sz w:val="18"/>
          <w:szCs w:val="18"/>
          <w:lang w:eastAsia="zh-CN"/>
        </w:rPr>
        <w:t xml:space="preserve"> School of Engineering and Applied Science, Harvard University; Cambridge, MA, USA.</w:t>
      </w:r>
    </w:p>
    <w:p w14:paraId="5180D220" w14:textId="77777777" w:rsidR="00101B93" w:rsidRPr="000F78A3" w:rsidRDefault="00101B93" w:rsidP="00101B93">
      <w:pPr>
        <w:adjustRightInd w:val="0"/>
        <w:spacing w:line="276" w:lineRule="auto"/>
        <w:rPr>
          <w:rFonts w:cs="Arial"/>
          <w:color w:val="000000"/>
          <w:sz w:val="18"/>
          <w:szCs w:val="18"/>
          <w:lang w:eastAsia="zh-CN"/>
        </w:rPr>
      </w:pPr>
      <w:r>
        <w:rPr>
          <w:rFonts w:cs="Arial"/>
          <w:color w:val="000000"/>
          <w:sz w:val="18"/>
          <w:szCs w:val="18"/>
          <w:vertAlign w:val="superscript"/>
          <w:lang w:eastAsia="zh-CN"/>
        </w:rPr>
        <w:t>5</w:t>
      </w:r>
      <w:r w:rsidRPr="000F78A3">
        <w:rPr>
          <w:rFonts w:cs="Arial"/>
          <w:color w:val="000000"/>
          <w:sz w:val="18"/>
          <w:szCs w:val="18"/>
          <w:lang w:eastAsia="zh-CN"/>
        </w:rPr>
        <w:t xml:space="preserve"> Department of Pathology, Yale School of Medicine; New Haven, CT, USA.</w:t>
      </w:r>
    </w:p>
    <w:p w14:paraId="560A06EA" w14:textId="77777777" w:rsidR="00101B93" w:rsidRPr="000F78A3" w:rsidRDefault="00101B93" w:rsidP="00101B93">
      <w:pPr>
        <w:adjustRightInd w:val="0"/>
        <w:spacing w:line="276" w:lineRule="auto"/>
        <w:rPr>
          <w:rFonts w:cs="Arial"/>
          <w:color w:val="000000"/>
          <w:sz w:val="18"/>
          <w:szCs w:val="18"/>
          <w:lang w:eastAsia="zh-CN"/>
        </w:rPr>
      </w:pPr>
      <w:r>
        <w:rPr>
          <w:rFonts w:cs="Arial"/>
          <w:color w:val="000000"/>
          <w:sz w:val="18"/>
          <w:szCs w:val="18"/>
          <w:vertAlign w:val="superscript"/>
          <w:lang w:eastAsia="zh-CN"/>
        </w:rPr>
        <w:t>6</w:t>
      </w:r>
      <w:r w:rsidRPr="000F78A3">
        <w:rPr>
          <w:rFonts w:cs="Arial"/>
          <w:color w:val="000000"/>
          <w:sz w:val="18"/>
          <w:szCs w:val="18"/>
          <w:lang w:eastAsia="zh-CN"/>
        </w:rPr>
        <w:t xml:space="preserve"> Yale Cancer Center, Yale Stem Cell Center, Yale Center for Research on Aging; New Haven, CT, USA.</w:t>
      </w:r>
    </w:p>
    <w:p w14:paraId="59B8316C" w14:textId="77777777" w:rsidR="00101B93" w:rsidRPr="000F78A3" w:rsidRDefault="00101B93" w:rsidP="00101B93">
      <w:pPr>
        <w:adjustRightInd w:val="0"/>
        <w:spacing w:line="276" w:lineRule="auto"/>
        <w:rPr>
          <w:rFonts w:cs="Arial"/>
          <w:color w:val="000000"/>
          <w:sz w:val="18"/>
          <w:szCs w:val="18"/>
          <w:lang w:eastAsia="zh-CN"/>
        </w:rPr>
      </w:pPr>
    </w:p>
    <w:p w14:paraId="0A4CE417" w14:textId="77777777" w:rsidR="00101B93" w:rsidRPr="000F78A3" w:rsidRDefault="00101B93" w:rsidP="00101B93">
      <w:pPr>
        <w:rPr>
          <w:sz w:val="20"/>
          <w:szCs w:val="20"/>
        </w:rPr>
      </w:pPr>
      <w:r w:rsidRPr="000F78A3">
        <w:rPr>
          <w:color w:val="000000"/>
          <w:sz w:val="20"/>
          <w:szCs w:val="20"/>
          <w:lang w:eastAsia="zh-CN"/>
        </w:rPr>
        <w:t xml:space="preserve">* Correspondence: </w:t>
      </w:r>
      <w:hyperlink r:id="rId8" w:history="1">
        <w:r w:rsidRPr="000F78A3">
          <w:rPr>
            <w:rStyle w:val="Hyperlink"/>
            <w:rFonts w:eastAsiaTheme="majorEastAsia"/>
            <w:sz w:val="20"/>
            <w:szCs w:val="20"/>
            <w:lang w:eastAsia="zh-CN"/>
          </w:rPr>
          <w:t>rong.fan@yale.edu</w:t>
        </w:r>
      </w:hyperlink>
      <w:r w:rsidRPr="000F78A3">
        <w:rPr>
          <w:color w:val="000000"/>
          <w:sz w:val="20"/>
          <w:szCs w:val="20"/>
          <w:lang w:eastAsia="zh-CN"/>
        </w:rPr>
        <w:t xml:space="preserve"> (R.F.)</w:t>
      </w:r>
    </w:p>
    <w:p w14:paraId="1B4FB092" w14:textId="77777777" w:rsidR="00AF342A" w:rsidRPr="00207421" w:rsidRDefault="00AF342A" w:rsidP="00AF342A">
      <w:pPr>
        <w:rPr>
          <w:rFonts w:ascii="Arial" w:hAnsi="Arial" w:cs="Arial"/>
          <w:b/>
          <w:bCs/>
        </w:rPr>
      </w:pPr>
    </w:p>
    <w:p w14:paraId="48E79BC2" w14:textId="23A0DA3A" w:rsidR="0043109F" w:rsidRDefault="0043759E" w:rsidP="00DA3087">
      <w:pPr>
        <w:pStyle w:val="EndNoteBibliography"/>
        <w:jc w:val="center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14:ligatures w14:val="standardContextual"/>
        </w:rPr>
        <w:drawing>
          <wp:inline distT="0" distB="0" distL="0" distR="0" wp14:anchorId="6CE0A800" wp14:editId="189B5A65">
            <wp:extent cx="3187250" cy="5367130"/>
            <wp:effectExtent l="0" t="0" r="635" b="5080"/>
            <wp:docPr id="1586574185" name="Picture 3" descr="A chart of a number of cell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6574185" name="Picture 3" descr="A chart of a number of cells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5429" cy="5481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BB9202" w14:textId="77777777" w:rsidR="00E20A19" w:rsidRDefault="00E20A19" w:rsidP="00330468">
      <w:pPr>
        <w:pStyle w:val="EndNoteBibliography"/>
        <w:jc w:val="both"/>
        <w:rPr>
          <w:rFonts w:ascii="Arial" w:hAnsi="Arial" w:cs="Arial"/>
          <w:b/>
          <w:bCs/>
          <w:noProof/>
          <w:sz w:val="22"/>
          <w:szCs w:val="22"/>
        </w:rPr>
      </w:pPr>
    </w:p>
    <w:p w14:paraId="477A3D54" w14:textId="304F7D0E" w:rsidR="003B37C2" w:rsidRPr="00ED72E6" w:rsidRDefault="0043109F" w:rsidP="00ED72E6">
      <w:pPr>
        <w:pStyle w:val="EndNoteBibliography"/>
        <w:jc w:val="both"/>
        <w:rPr>
          <w:rFonts w:ascii="Arial" w:hAnsi="Arial" w:cs="Arial"/>
          <w:b/>
          <w:bCs/>
          <w:noProof/>
          <w:sz w:val="22"/>
          <w:szCs w:val="22"/>
        </w:rPr>
      </w:pPr>
      <w:r w:rsidRPr="00555AF9">
        <w:rPr>
          <w:rFonts w:ascii="Arial" w:hAnsi="Arial" w:cs="Arial"/>
          <w:b/>
          <w:bCs/>
          <w:noProof/>
          <w:sz w:val="22"/>
          <w:szCs w:val="22"/>
        </w:rPr>
        <w:t xml:space="preserve">Supplementary Fig. </w:t>
      </w:r>
      <w:r w:rsidR="003B37C2">
        <w:rPr>
          <w:rFonts w:ascii="Arial" w:hAnsi="Arial" w:cs="Arial"/>
          <w:b/>
          <w:bCs/>
          <w:noProof/>
          <w:sz w:val="22"/>
          <w:szCs w:val="22"/>
        </w:rPr>
        <w:t>1</w:t>
      </w:r>
      <w:r w:rsidRPr="00555AF9">
        <w:rPr>
          <w:rFonts w:ascii="Arial" w:hAnsi="Arial" w:cs="Arial"/>
          <w:b/>
          <w:bCs/>
          <w:noProof/>
          <w:sz w:val="22"/>
          <w:szCs w:val="22"/>
        </w:rPr>
        <w:t xml:space="preserve">: </w:t>
      </w:r>
      <w:r w:rsidRPr="00DA3087">
        <w:rPr>
          <w:rFonts w:ascii="Arial" w:hAnsi="Arial" w:cs="Arial"/>
          <w:noProof/>
          <w:sz w:val="22"/>
          <w:szCs w:val="22"/>
        </w:rPr>
        <w:t xml:space="preserve">AUC heatmap </w:t>
      </w:r>
      <w:r w:rsidR="00BF6860">
        <w:rPr>
          <w:rFonts w:ascii="Arial" w:hAnsi="Arial" w:cs="Arial"/>
          <w:noProof/>
          <w:sz w:val="22"/>
          <w:szCs w:val="22"/>
        </w:rPr>
        <w:t xml:space="preserve">for discrimination between BCA1 and BCA2 using </w:t>
      </w:r>
      <w:r w:rsidRPr="00DA3087">
        <w:rPr>
          <w:rFonts w:ascii="Arial" w:hAnsi="Arial" w:cs="Arial"/>
          <w:noProof/>
          <w:sz w:val="22"/>
          <w:szCs w:val="22"/>
        </w:rPr>
        <w:t xml:space="preserve">cell type proportions derived from scGPT and scFoundation fine-tuned annotations under </w:t>
      </w:r>
      <w:r w:rsidR="00AD76CF">
        <w:rPr>
          <w:rFonts w:ascii="Arial" w:hAnsi="Arial" w:cs="Arial"/>
          <w:noProof/>
          <w:sz w:val="22"/>
          <w:szCs w:val="22"/>
        </w:rPr>
        <w:t>CD19</w:t>
      </w:r>
      <w:r w:rsidRPr="00DA3087">
        <w:rPr>
          <w:rFonts w:ascii="Arial" w:hAnsi="Arial" w:cs="Arial"/>
          <w:noProof/>
          <w:sz w:val="22"/>
          <w:szCs w:val="22"/>
        </w:rPr>
        <w:t xml:space="preserve"> </w:t>
      </w:r>
      <w:r w:rsidR="00AD76CF">
        <w:rPr>
          <w:rFonts w:ascii="Arial" w:hAnsi="Arial" w:cs="Arial"/>
          <w:noProof/>
          <w:sz w:val="22"/>
          <w:szCs w:val="22"/>
        </w:rPr>
        <w:t>stimulat</w:t>
      </w:r>
      <w:r w:rsidR="00B35636">
        <w:rPr>
          <w:rFonts w:ascii="Arial" w:hAnsi="Arial" w:cs="Arial"/>
          <w:noProof/>
          <w:sz w:val="22"/>
          <w:szCs w:val="22"/>
        </w:rPr>
        <w:t>ion</w:t>
      </w:r>
      <w:r w:rsidRPr="00DA3087">
        <w:rPr>
          <w:rFonts w:ascii="Arial" w:hAnsi="Arial" w:cs="Arial"/>
          <w:noProof/>
          <w:sz w:val="22"/>
          <w:szCs w:val="22"/>
        </w:rPr>
        <w:t xml:space="preserve"> condition. Asterisks denote permutation-test significance (p&lt;0.05).</w:t>
      </w:r>
      <w:r w:rsidRPr="0043109F">
        <w:rPr>
          <w:rFonts w:ascii="Arial" w:hAnsi="Arial" w:cs="Arial"/>
          <w:noProof/>
          <w:sz w:val="22"/>
          <w:szCs w:val="22"/>
        </w:rPr>
        <w:t xml:space="preserve"> </w:t>
      </w:r>
    </w:p>
    <w:p w14:paraId="3C52B0EF" w14:textId="3FDFAD4E" w:rsidR="00DA3087" w:rsidRDefault="0043759E" w:rsidP="0043759E">
      <w:pPr>
        <w:pStyle w:val="EndNoteBibliography"/>
        <w:jc w:val="center"/>
        <w:rPr>
          <w:rFonts w:ascii="Arial" w:hAnsi="Arial" w:cs="Arial"/>
          <w:b/>
          <w:bCs/>
          <w:noProof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  <w14:ligatures w14:val="standardContextual"/>
        </w:rPr>
        <w:lastRenderedPageBreak/>
        <w:drawing>
          <wp:inline distT="0" distB="0" distL="0" distR="0" wp14:anchorId="0308528C" wp14:editId="3CAB7459">
            <wp:extent cx="4713668" cy="7027257"/>
            <wp:effectExtent l="0" t="0" r="0" b="0"/>
            <wp:docPr id="467866029" name="Picture 4" descr="A group of different colored vas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866029" name="Picture 4" descr="A group of different colored vases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8310" cy="7049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2EED85" w14:textId="77777777" w:rsidR="004E0DCA" w:rsidRDefault="004E0DCA" w:rsidP="00330468">
      <w:pPr>
        <w:pStyle w:val="EndNoteBibliography"/>
        <w:jc w:val="both"/>
        <w:rPr>
          <w:rFonts w:ascii="Arial" w:hAnsi="Arial" w:cs="Arial"/>
          <w:b/>
          <w:bCs/>
          <w:noProof/>
          <w:sz w:val="22"/>
          <w:szCs w:val="22"/>
        </w:rPr>
      </w:pPr>
    </w:p>
    <w:p w14:paraId="4A1D35B7" w14:textId="2D83B120" w:rsidR="0043759E" w:rsidRDefault="003B37C2" w:rsidP="00330468">
      <w:pPr>
        <w:pStyle w:val="EndNoteBibliography"/>
        <w:jc w:val="both"/>
        <w:rPr>
          <w:rFonts w:ascii="Arial" w:hAnsi="Arial" w:cs="Arial"/>
          <w:b/>
          <w:bCs/>
          <w:noProof/>
          <w:sz w:val="22"/>
          <w:szCs w:val="22"/>
        </w:rPr>
      </w:pPr>
      <w:r w:rsidRPr="00555AF9">
        <w:rPr>
          <w:rFonts w:ascii="Arial" w:hAnsi="Arial" w:cs="Arial"/>
          <w:b/>
          <w:bCs/>
          <w:noProof/>
          <w:sz w:val="22"/>
          <w:szCs w:val="22"/>
        </w:rPr>
        <w:t xml:space="preserve">Supplementary Fig. </w:t>
      </w:r>
      <w:r w:rsidR="00DA3087">
        <w:rPr>
          <w:rFonts w:ascii="Arial" w:hAnsi="Arial" w:cs="Arial"/>
          <w:b/>
          <w:bCs/>
          <w:noProof/>
          <w:sz w:val="22"/>
          <w:szCs w:val="22"/>
        </w:rPr>
        <w:t>2</w:t>
      </w:r>
      <w:r w:rsidRPr="00555AF9">
        <w:rPr>
          <w:rFonts w:ascii="Arial" w:hAnsi="Arial" w:cs="Arial"/>
          <w:b/>
          <w:bCs/>
          <w:noProof/>
          <w:sz w:val="22"/>
          <w:szCs w:val="22"/>
        </w:rPr>
        <w:t xml:space="preserve">: </w:t>
      </w:r>
      <w:r w:rsidRPr="0043109F">
        <w:rPr>
          <w:rFonts w:ascii="Arial" w:hAnsi="Arial" w:cs="Arial"/>
          <w:noProof/>
          <w:sz w:val="22"/>
          <w:szCs w:val="22"/>
        </w:rPr>
        <w:t xml:space="preserve">Violin plots showing distributions of the four most discriminative cell type proportions across BCA groups (BCA1, BCA2, BCA-L) for scGPT and scFoundation fine-tuned annotations under </w:t>
      </w:r>
      <w:r w:rsidR="00153105">
        <w:rPr>
          <w:rFonts w:ascii="Arial" w:hAnsi="Arial" w:cs="Arial"/>
          <w:noProof/>
          <w:sz w:val="22"/>
          <w:szCs w:val="22"/>
        </w:rPr>
        <w:t>b</w:t>
      </w:r>
      <w:r w:rsidR="00153105" w:rsidRPr="0043109F">
        <w:rPr>
          <w:rFonts w:ascii="Arial" w:hAnsi="Arial" w:cs="Arial"/>
          <w:noProof/>
          <w:sz w:val="22"/>
          <w:szCs w:val="22"/>
        </w:rPr>
        <w:t xml:space="preserve">asal </w:t>
      </w:r>
      <w:r w:rsidR="00E27144" w:rsidRPr="00DA3087">
        <w:rPr>
          <w:rFonts w:ascii="Arial" w:hAnsi="Arial" w:cs="Arial"/>
          <w:noProof/>
          <w:sz w:val="22"/>
          <w:szCs w:val="22"/>
        </w:rPr>
        <w:t>(unstimulated)</w:t>
      </w:r>
      <w:r w:rsidR="00E27144">
        <w:rPr>
          <w:rFonts w:ascii="Arial" w:hAnsi="Arial" w:cs="Arial"/>
          <w:noProof/>
          <w:sz w:val="22"/>
          <w:szCs w:val="22"/>
        </w:rPr>
        <w:t xml:space="preserve"> condition</w:t>
      </w:r>
      <w:r w:rsidRPr="0043109F">
        <w:rPr>
          <w:rFonts w:ascii="Arial" w:hAnsi="Arial" w:cs="Arial"/>
          <w:noProof/>
          <w:sz w:val="22"/>
          <w:szCs w:val="22"/>
        </w:rPr>
        <w:t xml:space="preserve">; FDR values from Mann-Whitney tests are shown. </w:t>
      </w:r>
    </w:p>
    <w:p w14:paraId="56998C30" w14:textId="135AD971" w:rsidR="003B37C2" w:rsidRPr="004E0DCA" w:rsidRDefault="0043759E" w:rsidP="004E0DCA">
      <w:pPr>
        <w:spacing w:after="160" w:line="278" w:lineRule="auto"/>
        <w:rPr>
          <w:rFonts w:ascii="Arial" w:eastAsiaTheme="minorHAnsi" w:hAnsi="Arial" w:cs="Arial"/>
          <w:b/>
          <w:bCs/>
          <w:noProof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w:br w:type="page"/>
      </w:r>
    </w:p>
    <w:p w14:paraId="40C933F8" w14:textId="5B7952F0" w:rsidR="003B37C2" w:rsidRDefault="0043759E" w:rsidP="00DA3087">
      <w:pPr>
        <w:pStyle w:val="EndNoteBibliography"/>
        <w:jc w:val="center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14:ligatures w14:val="standardContextual"/>
        </w:rPr>
        <w:lastRenderedPageBreak/>
        <w:drawing>
          <wp:inline distT="0" distB="0" distL="0" distR="0" wp14:anchorId="586FB301" wp14:editId="69E2CBA5">
            <wp:extent cx="4211391" cy="3600740"/>
            <wp:effectExtent l="0" t="0" r="5080" b="6350"/>
            <wp:docPr id="1607013545" name="Picture 5" descr="A graph of positive and negative resul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013545" name="Picture 5" descr="A graph of positive and negative results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6878" cy="3631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ED428C" w14:textId="77777777" w:rsidR="004E0DCA" w:rsidRDefault="004E0DCA" w:rsidP="00DA3087">
      <w:pPr>
        <w:pStyle w:val="EndNoteBibliography"/>
        <w:jc w:val="both"/>
        <w:rPr>
          <w:rFonts w:ascii="Arial" w:hAnsi="Arial" w:cs="Arial"/>
          <w:b/>
          <w:bCs/>
          <w:noProof/>
          <w:sz w:val="22"/>
          <w:szCs w:val="22"/>
        </w:rPr>
      </w:pPr>
    </w:p>
    <w:p w14:paraId="36EA509C" w14:textId="1F547A87" w:rsidR="0043759E" w:rsidRDefault="003B37C2" w:rsidP="00DA3087">
      <w:pPr>
        <w:pStyle w:val="EndNoteBibliography"/>
        <w:jc w:val="both"/>
        <w:rPr>
          <w:rFonts w:ascii="Arial" w:hAnsi="Arial" w:cs="Arial"/>
          <w:noProof/>
          <w:sz w:val="22"/>
          <w:szCs w:val="22"/>
        </w:rPr>
      </w:pPr>
      <w:r w:rsidRPr="00555AF9">
        <w:rPr>
          <w:rFonts w:ascii="Arial" w:hAnsi="Arial" w:cs="Arial"/>
          <w:b/>
          <w:bCs/>
          <w:noProof/>
          <w:sz w:val="22"/>
          <w:szCs w:val="22"/>
        </w:rPr>
        <w:t xml:space="preserve">Supplementary Fig. </w:t>
      </w:r>
      <w:r w:rsidR="00DA3087">
        <w:rPr>
          <w:rFonts w:ascii="Arial" w:hAnsi="Arial" w:cs="Arial"/>
          <w:b/>
          <w:bCs/>
          <w:noProof/>
          <w:sz w:val="22"/>
          <w:szCs w:val="22"/>
        </w:rPr>
        <w:t>3</w:t>
      </w:r>
      <w:r w:rsidRPr="00555AF9">
        <w:rPr>
          <w:rFonts w:ascii="Arial" w:hAnsi="Arial" w:cs="Arial"/>
          <w:b/>
          <w:bCs/>
          <w:noProof/>
          <w:sz w:val="22"/>
          <w:szCs w:val="22"/>
        </w:rPr>
        <w:t xml:space="preserve">: </w:t>
      </w:r>
      <w:r w:rsidR="00DA3087" w:rsidRPr="00DA3087">
        <w:rPr>
          <w:rFonts w:ascii="Arial" w:hAnsi="Arial" w:cs="Arial"/>
          <w:noProof/>
          <w:sz w:val="22"/>
          <w:szCs w:val="22"/>
        </w:rPr>
        <w:t>Receiver Operati</w:t>
      </w:r>
      <w:r w:rsidR="00DA3087">
        <w:rPr>
          <w:rFonts w:ascii="Arial" w:hAnsi="Arial" w:cs="Arial"/>
          <w:noProof/>
          <w:sz w:val="22"/>
          <w:szCs w:val="22"/>
        </w:rPr>
        <w:t>ng</w:t>
      </w:r>
      <w:r w:rsidR="00DA3087" w:rsidRPr="00DA3087">
        <w:rPr>
          <w:rFonts w:ascii="Arial" w:hAnsi="Arial" w:cs="Arial"/>
          <w:noProof/>
          <w:sz w:val="22"/>
          <w:szCs w:val="22"/>
        </w:rPr>
        <w:t xml:space="preserve"> Curve (ROC) analysis of </w:t>
      </w:r>
      <w:r w:rsidR="00DA3087">
        <w:rPr>
          <w:rFonts w:ascii="Arial" w:hAnsi="Arial" w:cs="Arial"/>
          <w:noProof/>
          <w:sz w:val="22"/>
          <w:szCs w:val="22"/>
        </w:rPr>
        <w:t xml:space="preserve">association between </w:t>
      </w:r>
      <w:r w:rsidR="00DA3087" w:rsidRPr="00DA3087">
        <w:rPr>
          <w:rFonts w:ascii="Arial" w:hAnsi="Arial" w:cs="Arial"/>
          <w:noProof/>
          <w:sz w:val="22"/>
          <w:szCs w:val="22"/>
        </w:rPr>
        <w:t xml:space="preserve">CAR T cell </w:t>
      </w:r>
      <w:r w:rsidR="00DA3087">
        <w:rPr>
          <w:rFonts w:ascii="Arial" w:hAnsi="Arial" w:cs="Arial"/>
          <w:noProof/>
          <w:sz w:val="22"/>
          <w:szCs w:val="22"/>
        </w:rPr>
        <w:t xml:space="preserve">basal </w:t>
      </w:r>
      <w:r w:rsidR="00DA3087" w:rsidRPr="00DA3087">
        <w:rPr>
          <w:rFonts w:ascii="Arial" w:hAnsi="Arial" w:cs="Arial"/>
          <w:noProof/>
          <w:sz w:val="22"/>
          <w:szCs w:val="22"/>
        </w:rPr>
        <w:t>states</w:t>
      </w:r>
      <w:r w:rsidR="00DA3087">
        <w:rPr>
          <w:rFonts w:ascii="Arial" w:hAnsi="Arial" w:cs="Arial"/>
          <w:noProof/>
          <w:sz w:val="22"/>
          <w:szCs w:val="22"/>
        </w:rPr>
        <w:t xml:space="preserve"> and clinical response</w:t>
      </w:r>
      <w:r w:rsidR="00DA3087" w:rsidRPr="00DA3087">
        <w:rPr>
          <w:rFonts w:ascii="Arial" w:hAnsi="Arial" w:cs="Arial"/>
          <w:noProof/>
          <w:sz w:val="22"/>
          <w:szCs w:val="22"/>
        </w:rPr>
        <w:t>.</w:t>
      </w:r>
      <w:r w:rsidRPr="00DA3087">
        <w:rPr>
          <w:rFonts w:ascii="Arial" w:hAnsi="Arial" w:cs="Arial"/>
          <w:noProof/>
          <w:sz w:val="22"/>
          <w:szCs w:val="22"/>
        </w:rPr>
        <w:t xml:space="preserve"> ROC curves for BCA-L vs. BCA1+BCA2 classification using proportions of the four top-performing cell types under basal (unstimulated) condition, for scGPT and scFoundation fine-tuned models.</w:t>
      </w:r>
    </w:p>
    <w:p w14:paraId="250EEA8B" w14:textId="3ACA9CC3" w:rsidR="003B37C2" w:rsidRPr="00AE462E" w:rsidRDefault="0043759E" w:rsidP="00AE462E">
      <w:pPr>
        <w:spacing w:after="160" w:line="278" w:lineRule="auto"/>
        <w:rPr>
          <w:rFonts w:ascii="Arial" w:eastAsiaTheme="minorHAnsi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br w:type="page"/>
      </w:r>
    </w:p>
    <w:p w14:paraId="336AD625" w14:textId="2DBCC221" w:rsidR="00DA3087" w:rsidRDefault="0043759E" w:rsidP="0043759E">
      <w:pPr>
        <w:pStyle w:val="EndNoteBibliography"/>
        <w:jc w:val="center"/>
        <w:rPr>
          <w:rFonts w:ascii="Arial" w:hAnsi="Arial" w:cs="Arial"/>
          <w:b/>
          <w:bCs/>
          <w:noProof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  <w14:ligatures w14:val="standardContextual"/>
        </w:rPr>
        <w:lastRenderedPageBreak/>
        <w:drawing>
          <wp:inline distT="0" distB="0" distL="0" distR="0" wp14:anchorId="3D703472" wp14:editId="76CE781C">
            <wp:extent cx="6068695" cy="3747752"/>
            <wp:effectExtent l="0" t="0" r="1905" b="0"/>
            <wp:docPr id="1863302755" name="Picture 6" descr="A group of graphs showing different types of data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302755" name="Picture 6" descr="A group of graphs showing different types of data&#10;&#10;AI-generated content may be incorrec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9858" cy="3760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1DBADA" w14:textId="77777777" w:rsidR="00AE462E" w:rsidRDefault="00AE462E" w:rsidP="00DA3087">
      <w:pPr>
        <w:pStyle w:val="EndNoteBibliography"/>
        <w:jc w:val="both"/>
        <w:rPr>
          <w:rFonts w:ascii="Arial" w:hAnsi="Arial" w:cs="Arial"/>
          <w:b/>
          <w:bCs/>
          <w:noProof/>
          <w:sz w:val="22"/>
          <w:szCs w:val="22"/>
        </w:rPr>
      </w:pPr>
    </w:p>
    <w:p w14:paraId="2C38F411" w14:textId="178756E8" w:rsidR="003B37C2" w:rsidRPr="00F53619" w:rsidRDefault="003B37C2" w:rsidP="00DA3087">
      <w:pPr>
        <w:pStyle w:val="EndNoteBibliography"/>
        <w:jc w:val="both"/>
        <w:rPr>
          <w:rFonts w:ascii="Arial" w:hAnsi="Arial" w:cs="Arial"/>
          <w:noProof/>
          <w:sz w:val="22"/>
          <w:szCs w:val="22"/>
        </w:rPr>
      </w:pPr>
      <w:r w:rsidRPr="00555AF9">
        <w:rPr>
          <w:rFonts w:ascii="Arial" w:hAnsi="Arial" w:cs="Arial"/>
          <w:b/>
          <w:bCs/>
          <w:noProof/>
          <w:sz w:val="22"/>
          <w:szCs w:val="22"/>
        </w:rPr>
        <w:t>Supplementary Fig.</w:t>
      </w:r>
      <w:r w:rsidR="00DA3087">
        <w:rPr>
          <w:rFonts w:ascii="Arial" w:hAnsi="Arial" w:cs="Arial"/>
          <w:b/>
          <w:bCs/>
          <w:noProof/>
          <w:sz w:val="22"/>
          <w:szCs w:val="22"/>
        </w:rPr>
        <w:t xml:space="preserve"> 4</w:t>
      </w:r>
      <w:r w:rsidRPr="00555AF9">
        <w:rPr>
          <w:rFonts w:ascii="Arial" w:hAnsi="Arial" w:cs="Arial"/>
          <w:b/>
          <w:bCs/>
          <w:noProof/>
          <w:sz w:val="22"/>
          <w:szCs w:val="22"/>
        </w:rPr>
        <w:t xml:space="preserve">: </w:t>
      </w:r>
      <w:r w:rsidR="00DA3087" w:rsidRPr="00DA3087">
        <w:rPr>
          <w:rFonts w:ascii="Arial" w:hAnsi="Arial" w:cs="Arial"/>
          <w:noProof/>
          <w:sz w:val="22"/>
          <w:szCs w:val="22"/>
        </w:rPr>
        <w:t>Receiver Operati</w:t>
      </w:r>
      <w:r w:rsidR="00DA3087">
        <w:rPr>
          <w:rFonts w:ascii="Arial" w:hAnsi="Arial" w:cs="Arial"/>
          <w:noProof/>
          <w:sz w:val="22"/>
          <w:szCs w:val="22"/>
        </w:rPr>
        <w:t>ng</w:t>
      </w:r>
      <w:r w:rsidR="00DA3087" w:rsidRPr="00DA3087">
        <w:rPr>
          <w:rFonts w:ascii="Arial" w:hAnsi="Arial" w:cs="Arial"/>
          <w:noProof/>
          <w:sz w:val="22"/>
          <w:szCs w:val="22"/>
        </w:rPr>
        <w:t xml:space="preserve"> Curve (ROC) analysis of </w:t>
      </w:r>
      <w:r w:rsidR="00DA3087">
        <w:rPr>
          <w:rFonts w:ascii="Arial" w:hAnsi="Arial" w:cs="Arial"/>
          <w:noProof/>
          <w:sz w:val="22"/>
          <w:szCs w:val="22"/>
        </w:rPr>
        <w:t xml:space="preserve">association between </w:t>
      </w:r>
      <w:r w:rsidR="00DA3087" w:rsidRPr="00DA3087">
        <w:rPr>
          <w:rFonts w:ascii="Arial" w:hAnsi="Arial" w:cs="Arial"/>
          <w:noProof/>
          <w:sz w:val="22"/>
          <w:szCs w:val="22"/>
        </w:rPr>
        <w:t xml:space="preserve">CAR T cell </w:t>
      </w:r>
      <w:r w:rsidR="00DA3087">
        <w:rPr>
          <w:rFonts w:ascii="Arial" w:hAnsi="Arial" w:cs="Arial"/>
          <w:noProof/>
          <w:sz w:val="22"/>
          <w:szCs w:val="22"/>
        </w:rPr>
        <w:t xml:space="preserve">activation </w:t>
      </w:r>
      <w:r w:rsidR="00DA3087" w:rsidRPr="00DA3087">
        <w:rPr>
          <w:rFonts w:ascii="Arial" w:hAnsi="Arial" w:cs="Arial"/>
          <w:noProof/>
          <w:sz w:val="22"/>
          <w:szCs w:val="22"/>
        </w:rPr>
        <w:t>states</w:t>
      </w:r>
      <w:r w:rsidR="00DA3087">
        <w:rPr>
          <w:rFonts w:ascii="Arial" w:hAnsi="Arial" w:cs="Arial"/>
          <w:noProof/>
          <w:sz w:val="22"/>
          <w:szCs w:val="22"/>
        </w:rPr>
        <w:t xml:space="preserve"> and clinical response</w:t>
      </w:r>
      <w:r w:rsidR="00DA3087" w:rsidRPr="00DA3087">
        <w:rPr>
          <w:rFonts w:ascii="Arial" w:hAnsi="Arial" w:cs="Arial"/>
          <w:noProof/>
          <w:sz w:val="22"/>
          <w:szCs w:val="22"/>
        </w:rPr>
        <w:t xml:space="preserve">. </w:t>
      </w:r>
      <w:r w:rsidRPr="0043109F">
        <w:rPr>
          <w:rFonts w:ascii="Arial" w:hAnsi="Arial" w:cs="Arial"/>
          <w:noProof/>
          <w:sz w:val="22"/>
          <w:szCs w:val="22"/>
        </w:rPr>
        <w:t>ROC curves for BCA-L vs. BCA1+BCA2 classification under CD19 stimulation</w:t>
      </w:r>
      <w:r w:rsidR="000D0C59">
        <w:rPr>
          <w:rFonts w:ascii="Arial" w:hAnsi="Arial" w:cs="Arial"/>
          <w:noProof/>
          <w:sz w:val="22"/>
          <w:szCs w:val="22"/>
        </w:rPr>
        <w:t xml:space="preserve"> condition</w:t>
      </w:r>
      <w:r w:rsidRPr="0043109F">
        <w:rPr>
          <w:rFonts w:ascii="Arial" w:hAnsi="Arial" w:cs="Arial"/>
          <w:noProof/>
          <w:sz w:val="22"/>
          <w:szCs w:val="22"/>
        </w:rPr>
        <w:t xml:space="preserve"> comparing cell type proportions derived from scGPT fine-tuned, scFoundation fine-tuned, and ground-truth annotations, for the five cell types with highest discriminative performance. AUC values and permutation p-values are shown in each panel.</w:t>
      </w:r>
    </w:p>
    <w:p w14:paraId="718295FA" w14:textId="77777777" w:rsidR="003B37C2" w:rsidRPr="00F53619" w:rsidRDefault="003B37C2" w:rsidP="00330468">
      <w:pPr>
        <w:pStyle w:val="EndNoteBibliography"/>
        <w:jc w:val="both"/>
        <w:rPr>
          <w:rFonts w:ascii="Arial" w:hAnsi="Arial" w:cs="Arial"/>
          <w:noProof/>
          <w:sz w:val="22"/>
          <w:szCs w:val="22"/>
        </w:rPr>
      </w:pPr>
    </w:p>
    <w:sectPr w:rsidR="003B37C2" w:rsidRPr="00F53619" w:rsidSect="00E20A19">
      <w:footerReference w:type="even" r:id="rId13"/>
      <w:footerReference w:type="default" r:id="rId14"/>
      <w:pgSz w:w="12240" w:h="15840"/>
      <w:pgMar w:top="1080" w:right="1080" w:bottom="108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885492E" w14:textId="77777777" w:rsidR="00791642" w:rsidRDefault="00791642" w:rsidP="00AF342A">
      <w:r>
        <w:separator/>
      </w:r>
    </w:p>
  </w:endnote>
  <w:endnote w:type="continuationSeparator" w:id="0">
    <w:p w14:paraId="650379C9" w14:textId="77777777" w:rsidR="00791642" w:rsidRDefault="00791642" w:rsidP="00AF3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1075046289"/>
      <w:docPartObj>
        <w:docPartGallery w:val="Page Numbers (Bottom of Page)"/>
        <w:docPartUnique/>
      </w:docPartObj>
    </w:sdtPr>
    <w:sdtContent>
      <w:p w14:paraId="4AF37D38" w14:textId="76957D57" w:rsidR="00AF342A" w:rsidRDefault="00AF342A" w:rsidP="0017563F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68582B1" w14:textId="77777777" w:rsidR="00AF342A" w:rsidRDefault="00AF342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2081741893"/>
      <w:docPartObj>
        <w:docPartGallery w:val="Page Numbers (Bottom of Page)"/>
        <w:docPartUnique/>
      </w:docPartObj>
    </w:sdtPr>
    <w:sdtContent>
      <w:p w14:paraId="5EC7599C" w14:textId="6C3E26FE" w:rsidR="00AF342A" w:rsidRDefault="00AF342A" w:rsidP="0017563F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BD7543D" w14:textId="77777777" w:rsidR="00AF342A" w:rsidRDefault="00AF34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EA9120B" w14:textId="77777777" w:rsidR="00791642" w:rsidRDefault="00791642" w:rsidP="00AF342A">
      <w:r>
        <w:separator/>
      </w:r>
    </w:p>
  </w:footnote>
  <w:footnote w:type="continuationSeparator" w:id="0">
    <w:p w14:paraId="520A9C59" w14:textId="77777777" w:rsidR="00791642" w:rsidRDefault="00791642" w:rsidP="00AF34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FD430FA"/>
    <w:multiLevelType w:val="hybridMultilevel"/>
    <w:tmpl w:val="DA7E91BA"/>
    <w:lvl w:ilvl="0" w:tplc="2CECD876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61535B"/>
    <w:multiLevelType w:val="hybridMultilevel"/>
    <w:tmpl w:val="D0108306"/>
    <w:lvl w:ilvl="0" w:tplc="2822066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84527"/>
    <w:multiLevelType w:val="hybridMultilevel"/>
    <w:tmpl w:val="9BCC74A6"/>
    <w:lvl w:ilvl="0" w:tplc="7ADE28DA">
      <w:start w:val="1"/>
      <w:numFmt w:val="lowerRoman"/>
      <w:lvlText w:val="(%1)"/>
      <w:lvlJc w:val="left"/>
      <w:pPr>
        <w:ind w:left="1260" w:hanging="720"/>
      </w:pPr>
      <w:rPr>
        <w:rFonts w:eastAsia="Times New Roman" w:hint="default"/>
        <w:color w:val="212121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2E4A1B5F"/>
    <w:multiLevelType w:val="hybridMultilevel"/>
    <w:tmpl w:val="8C842D46"/>
    <w:lvl w:ilvl="0" w:tplc="07C0CBCA">
      <w:start w:val="1"/>
      <w:numFmt w:val="upperLetter"/>
      <w:lvlText w:val="(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171975"/>
    <w:multiLevelType w:val="hybridMultilevel"/>
    <w:tmpl w:val="28A80E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D06CE"/>
    <w:multiLevelType w:val="multilevel"/>
    <w:tmpl w:val="832EF9FC"/>
    <w:lvl w:ilvl="0">
      <w:start w:val="1"/>
      <w:numFmt w:val="bullet"/>
      <w:lvlText w:val=""/>
      <w:lvlJc w:val="left"/>
      <w:pPr>
        <w:tabs>
          <w:tab w:val="num" w:pos="630"/>
        </w:tabs>
        <w:ind w:left="63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6E5489"/>
    <w:multiLevelType w:val="hybridMultilevel"/>
    <w:tmpl w:val="5380EA92"/>
    <w:lvl w:ilvl="0" w:tplc="E79A7FA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5C7335"/>
    <w:multiLevelType w:val="hybridMultilevel"/>
    <w:tmpl w:val="1CFA2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290079"/>
    <w:multiLevelType w:val="hybridMultilevel"/>
    <w:tmpl w:val="ED4863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4F44AD"/>
    <w:multiLevelType w:val="hybridMultilevel"/>
    <w:tmpl w:val="9774B4B6"/>
    <w:lvl w:ilvl="0" w:tplc="976ED04C">
      <w:start w:val="1"/>
      <w:numFmt w:val="upperLetter"/>
      <w:lvlText w:val="(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D3A1FC1"/>
    <w:multiLevelType w:val="hybridMultilevel"/>
    <w:tmpl w:val="92A089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E6660D"/>
    <w:multiLevelType w:val="hybridMultilevel"/>
    <w:tmpl w:val="C74AFD52"/>
    <w:lvl w:ilvl="0" w:tplc="E66C66D8">
      <w:start w:val="1"/>
      <w:numFmt w:val="upperLetter"/>
      <w:lvlText w:val="(%1)"/>
      <w:lvlJc w:val="left"/>
      <w:pPr>
        <w:ind w:left="380" w:hanging="38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24971574">
    <w:abstractNumId w:val="6"/>
  </w:num>
  <w:num w:numId="2" w16cid:durableId="49692147">
    <w:abstractNumId w:val="1"/>
  </w:num>
  <w:num w:numId="3" w16cid:durableId="1948342583">
    <w:abstractNumId w:val="10"/>
  </w:num>
  <w:num w:numId="4" w16cid:durableId="201752228">
    <w:abstractNumId w:val="7"/>
  </w:num>
  <w:num w:numId="5" w16cid:durableId="891887796">
    <w:abstractNumId w:val="5"/>
  </w:num>
  <w:num w:numId="6" w16cid:durableId="2142455445">
    <w:abstractNumId w:val="8"/>
  </w:num>
  <w:num w:numId="7" w16cid:durableId="1216698167">
    <w:abstractNumId w:val="4"/>
  </w:num>
  <w:num w:numId="8" w16cid:durableId="536550202">
    <w:abstractNumId w:val="0"/>
  </w:num>
  <w:num w:numId="9" w16cid:durableId="637228981">
    <w:abstractNumId w:val="9"/>
  </w:num>
  <w:num w:numId="10" w16cid:durableId="1222987211">
    <w:abstractNumId w:val="3"/>
  </w:num>
  <w:num w:numId="11" w16cid:durableId="1851986904">
    <w:abstractNumId w:val="11"/>
  </w:num>
  <w:num w:numId="12" w16cid:durableId="351884211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42A"/>
    <w:rsid w:val="0002512D"/>
    <w:rsid w:val="00026C58"/>
    <w:rsid w:val="000437C0"/>
    <w:rsid w:val="00060BE8"/>
    <w:rsid w:val="00070CDF"/>
    <w:rsid w:val="00071CB1"/>
    <w:rsid w:val="00086008"/>
    <w:rsid w:val="000A38DA"/>
    <w:rsid w:val="000A3BD4"/>
    <w:rsid w:val="000B0EDC"/>
    <w:rsid w:val="000C31A8"/>
    <w:rsid w:val="000D0C59"/>
    <w:rsid w:val="000D3D25"/>
    <w:rsid w:val="00101B93"/>
    <w:rsid w:val="001110FD"/>
    <w:rsid w:val="00111C04"/>
    <w:rsid w:val="00153105"/>
    <w:rsid w:val="00156609"/>
    <w:rsid w:val="001A19CE"/>
    <w:rsid w:val="001D1C3B"/>
    <w:rsid w:val="001D5771"/>
    <w:rsid w:val="001E612E"/>
    <w:rsid w:val="001E744A"/>
    <w:rsid w:val="00205F71"/>
    <w:rsid w:val="00214B57"/>
    <w:rsid w:val="00237094"/>
    <w:rsid w:val="00245B56"/>
    <w:rsid w:val="00262BDF"/>
    <w:rsid w:val="00295437"/>
    <w:rsid w:val="002A41ED"/>
    <w:rsid w:val="002C1E4A"/>
    <w:rsid w:val="002F4FED"/>
    <w:rsid w:val="00301F98"/>
    <w:rsid w:val="00330468"/>
    <w:rsid w:val="0033130E"/>
    <w:rsid w:val="003421F5"/>
    <w:rsid w:val="0035111D"/>
    <w:rsid w:val="003B37C2"/>
    <w:rsid w:val="003D705D"/>
    <w:rsid w:val="003E039D"/>
    <w:rsid w:val="00415483"/>
    <w:rsid w:val="0043109F"/>
    <w:rsid w:val="0043759E"/>
    <w:rsid w:val="00443D25"/>
    <w:rsid w:val="00446EFF"/>
    <w:rsid w:val="004852E8"/>
    <w:rsid w:val="004A15AE"/>
    <w:rsid w:val="004B15C8"/>
    <w:rsid w:val="004E0DCA"/>
    <w:rsid w:val="004E374A"/>
    <w:rsid w:val="004F2B57"/>
    <w:rsid w:val="004F6BE7"/>
    <w:rsid w:val="00540934"/>
    <w:rsid w:val="0054153F"/>
    <w:rsid w:val="00544408"/>
    <w:rsid w:val="00555AF9"/>
    <w:rsid w:val="00556336"/>
    <w:rsid w:val="0056518F"/>
    <w:rsid w:val="00576460"/>
    <w:rsid w:val="005A3074"/>
    <w:rsid w:val="005A5A64"/>
    <w:rsid w:val="005C0D23"/>
    <w:rsid w:val="005C6596"/>
    <w:rsid w:val="005D3FEB"/>
    <w:rsid w:val="005D5131"/>
    <w:rsid w:val="005D76F2"/>
    <w:rsid w:val="005F221B"/>
    <w:rsid w:val="00600453"/>
    <w:rsid w:val="0060147B"/>
    <w:rsid w:val="006403EE"/>
    <w:rsid w:val="006539C5"/>
    <w:rsid w:val="00653F29"/>
    <w:rsid w:val="00661327"/>
    <w:rsid w:val="006A1D47"/>
    <w:rsid w:val="006B6B8F"/>
    <w:rsid w:val="006C17B0"/>
    <w:rsid w:val="006C7BE4"/>
    <w:rsid w:val="00702764"/>
    <w:rsid w:val="00712617"/>
    <w:rsid w:val="00735CBC"/>
    <w:rsid w:val="00745005"/>
    <w:rsid w:val="00774A82"/>
    <w:rsid w:val="00780047"/>
    <w:rsid w:val="007807C8"/>
    <w:rsid w:val="00782333"/>
    <w:rsid w:val="00791642"/>
    <w:rsid w:val="007942DB"/>
    <w:rsid w:val="007B21A3"/>
    <w:rsid w:val="007E5AE2"/>
    <w:rsid w:val="00812A9D"/>
    <w:rsid w:val="00826CBA"/>
    <w:rsid w:val="0083767F"/>
    <w:rsid w:val="00854EF2"/>
    <w:rsid w:val="008766E1"/>
    <w:rsid w:val="00892E6E"/>
    <w:rsid w:val="00896CF2"/>
    <w:rsid w:val="008A2F53"/>
    <w:rsid w:val="008F476B"/>
    <w:rsid w:val="0092008F"/>
    <w:rsid w:val="00931A4A"/>
    <w:rsid w:val="00932C5B"/>
    <w:rsid w:val="00950E5E"/>
    <w:rsid w:val="009771C9"/>
    <w:rsid w:val="00990951"/>
    <w:rsid w:val="00992446"/>
    <w:rsid w:val="009B1F3A"/>
    <w:rsid w:val="009C70D8"/>
    <w:rsid w:val="009F5C63"/>
    <w:rsid w:val="009F718B"/>
    <w:rsid w:val="00A05FC8"/>
    <w:rsid w:val="00A117A9"/>
    <w:rsid w:val="00A2694A"/>
    <w:rsid w:val="00A42B45"/>
    <w:rsid w:val="00A50ECE"/>
    <w:rsid w:val="00A521E0"/>
    <w:rsid w:val="00AA2AB6"/>
    <w:rsid w:val="00AD76CF"/>
    <w:rsid w:val="00AE3102"/>
    <w:rsid w:val="00AE462E"/>
    <w:rsid w:val="00AF17D9"/>
    <w:rsid w:val="00AF342A"/>
    <w:rsid w:val="00B025B6"/>
    <w:rsid w:val="00B06CA8"/>
    <w:rsid w:val="00B3388B"/>
    <w:rsid w:val="00B35636"/>
    <w:rsid w:val="00B40AAC"/>
    <w:rsid w:val="00B45277"/>
    <w:rsid w:val="00B47D49"/>
    <w:rsid w:val="00B56213"/>
    <w:rsid w:val="00B8681E"/>
    <w:rsid w:val="00B9258A"/>
    <w:rsid w:val="00BC77AC"/>
    <w:rsid w:val="00BD742C"/>
    <w:rsid w:val="00BD7C57"/>
    <w:rsid w:val="00BF03FD"/>
    <w:rsid w:val="00BF6860"/>
    <w:rsid w:val="00C064D4"/>
    <w:rsid w:val="00C16507"/>
    <w:rsid w:val="00C25D26"/>
    <w:rsid w:val="00C36ABD"/>
    <w:rsid w:val="00C609AA"/>
    <w:rsid w:val="00C736BC"/>
    <w:rsid w:val="00C91DB1"/>
    <w:rsid w:val="00C9317F"/>
    <w:rsid w:val="00C96C03"/>
    <w:rsid w:val="00CB01E1"/>
    <w:rsid w:val="00CB1002"/>
    <w:rsid w:val="00CC1A50"/>
    <w:rsid w:val="00CF341C"/>
    <w:rsid w:val="00CF41E6"/>
    <w:rsid w:val="00CF5194"/>
    <w:rsid w:val="00D3457B"/>
    <w:rsid w:val="00D46FEA"/>
    <w:rsid w:val="00D57CE7"/>
    <w:rsid w:val="00DA3087"/>
    <w:rsid w:val="00DB4241"/>
    <w:rsid w:val="00DF564F"/>
    <w:rsid w:val="00E014CE"/>
    <w:rsid w:val="00E0634D"/>
    <w:rsid w:val="00E17156"/>
    <w:rsid w:val="00E20A19"/>
    <w:rsid w:val="00E27144"/>
    <w:rsid w:val="00E34BA5"/>
    <w:rsid w:val="00E60A9A"/>
    <w:rsid w:val="00E63252"/>
    <w:rsid w:val="00E91B41"/>
    <w:rsid w:val="00EA3BAB"/>
    <w:rsid w:val="00EA62EC"/>
    <w:rsid w:val="00EB188A"/>
    <w:rsid w:val="00ED72E6"/>
    <w:rsid w:val="00EE73EE"/>
    <w:rsid w:val="00EF0826"/>
    <w:rsid w:val="00F15865"/>
    <w:rsid w:val="00F22848"/>
    <w:rsid w:val="00F35F8A"/>
    <w:rsid w:val="00F36678"/>
    <w:rsid w:val="00F36BB9"/>
    <w:rsid w:val="00F53619"/>
    <w:rsid w:val="00F6282C"/>
    <w:rsid w:val="00F678C0"/>
    <w:rsid w:val="00F853DE"/>
    <w:rsid w:val="00F93A67"/>
    <w:rsid w:val="00FA613A"/>
    <w:rsid w:val="00FF2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A3E74B"/>
  <w15:chartTrackingRefBased/>
  <w15:docId w15:val="{58EEAEE2-A70E-4B4E-AE1B-D93C4E09C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342A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34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34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34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34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34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342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342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342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342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34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34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34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34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34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34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34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34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34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34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34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34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34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34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34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34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34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34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34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342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F342A"/>
    <w:rPr>
      <w:color w:val="467886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AF34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342A"/>
    <w:rPr>
      <w:rFonts w:ascii="Times New Roman" w:eastAsia="Times New Roman" w:hAnsi="Times New Roman" w:cs="Times New Roman"/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AF342A"/>
  </w:style>
  <w:style w:type="paragraph" w:customStyle="1" w:styleId="EndNoteBibliographyTitle">
    <w:name w:val="EndNote Bibliography Title"/>
    <w:basedOn w:val="Normal"/>
    <w:link w:val="EndNoteBibliographyTitleChar"/>
    <w:rsid w:val="00AF342A"/>
    <w:pPr>
      <w:jc w:val="center"/>
    </w:pPr>
    <w:rPr>
      <w:rFonts w:ascii="Calibri" w:eastAsiaTheme="minorHAnsi" w:hAnsi="Calibri" w:cs="Calibri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F342A"/>
    <w:rPr>
      <w:rFonts w:ascii="Calibri" w:hAnsi="Calibri" w:cs="Calibri"/>
      <w:kern w:val="0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AF342A"/>
    <w:rPr>
      <w:rFonts w:ascii="Calibri" w:eastAsiaTheme="minorHAnsi" w:hAnsi="Calibri" w:cs="Calibri"/>
    </w:rPr>
  </w:style>
  <w:style w:type="character" w:customStyle="1" w:styleId="EndNoteBibliographyChar">
    <w:name w:val="EndNote Bibliography Char"/>
    <w:basedOn w:val="DefaultParagraphFont"/>
    <w:link w:val="EndNoteBibliography"/>
    <w:rsid w:val="00AF342A"/>
    <w:rPr>
      <w:rFonts w:ascii="Calibri" w:hAnsi="Calibri" w:cs="Calibri"/>
      <w:kern w:val="0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F342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F342A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AF342A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AF34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342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342A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34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342A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table" w:styleId="TableGrid">
    <w:name w:val="Table Grid"/>
    <w:basedOn w:val="TableNormal"/>
    <w:uiPriority w:val="39"/>
    <w:rsid w:val="00AF342A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AF342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F342A"/>
    <w:rPr>
      <w:color w:val="96607D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F342A"/>
  </w:style>
  <w:style w:type="character" w:customStyle="1" w:styleId="c-timestamplabel">
    <w:name w:val="c-timestamp__label"/>
    <w:basedOn w:val="DefaultParagraphFont"/>
    <w:rsid w:val="00AF342A"/>
  </w:style>
  <w:style w:type="character" w:customStyle="1" w:styleId="offscreen">
    <w:name w:val="offscreen"/>
    <w:basedOn w:val="DefaultParagraphFont"/>
    <w:rsid w:val="00AF342A"/>
  </w:style>
  <w:style w:type="character" w:styleId="PlaceholderText">
    <w:name w:val="Placeholder Text"/>
    <w:basedOn w:val="DefaultParagraphFont"/>
    <w:uiPriority w:val="99"/>
    <w:semiHidden/>
    <w:rsid w:val="00AF342A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AF34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342A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s4">
    <w:name w:val="s4"/>
    <w:basedOn w:val="Normal"/>
    <w:rsid w:val="00AF342A"/>
    <w:pPr>
      <w:spacing w:before="100" w:beforeAutospacing="1" w:after="100" w:afterAutospacing="1"/>
    </w:pPr>
  </w:style>
  <w:style w:type="character" w:customStyle="1" w:styleId="s2">
    <w:name w:val="s2"/>
    <w:basedOn w:val="DefaultParagraphFont"/>
    <w:rsid w:val="00AF342A"/>
  </w:style>
  <w:style w:type="character" w:customStyle="1" w:styleId="apple-converted-space">
    <w:name w:val="apple-converted-space"/>
    <w:basedOn w:val="DefaultParagraphFont"/>
    <w:rsid w:val="00AF342A"/>
  </w:style>
  <w:style w:type="character" w:customStyle="1" w:styleId="s3">
    <w:name w:val="s3"/>
    <w:basedOn w:val="DefaultParagraphFont"/>
    <w:rsid w:val="00AF342A"/>
  </w:style>
  <w:style w:type="character" w:customStyle="1" w:styleId="s5">
    <w:name w:val="s5"/>
    <w:basedOn w:val="DefaultParagraphFont"/>
    <w:rsid w:val="00AF342A"/>
  </w:style>
  <w:style w:type="character" w:customStyle="1" w:styleId="s6">
    <w:name w:val="s6"/>
    <w:basedOn w:val="DefaultParagraphFont"/>
    <w:rsid w:val="00AF342A"/>
  </w:style>
  <w:style w:type="character" w:customStyle="1" w:styleId="s7">
    <w:name w:val="s7"/>
    <w:basedOn w:val="DefaultParagraphFont"/>
    <w:rsid w:val="00AF342A"/>
  </w:style>
  <w:style w:type="character" w:customStyle="1" w:styleId="c-mrkdwnhighlight">
    <w:name w:val="c-mrkdwn__highlight"/>
    <w:basedOn w:val="DefaultParagraphFont"/>
    <w:rsid w:val="00AF342A"/>
  </w:style>
  <w:style w:type="paragraph" w:styleId="Revision">
    <w:name w:val="Revision"/>
    <w:hidden/>
    <w:uiPriority w:val="99"/>
    <w:semiHidden/>
    <w:rsid w:val="00AF342A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AF342A"/>
  </w:style>
  <w:style w:type="character" w:customStyle="1" w:styleId="anchor-text">
    <w:name w:val="anchor-text"/>
    <w:basedOn w:val="DefaultParagraphFont"/>
    <w:rsid w:val="00AF342A"/>
  </w:style>
  <w:style w:type="character" w:styleId="Emphasis">
    <w:name w:val="Emphasis"/>
    <w:basedOn w:val="DefaultParagraphFont"/>
    <w:uiPriority w:val="20"/>
    <w:qFormat/>
    <w:rsid w:val="00AF342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734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ng.fan@yale.edu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7E18FC2-0C70-784F-940D-E8FD98A4A13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d8cbebb-2139-4df8-b411-4e3e87abeb5c}" enabled="0" method="" siteId="{dd8cbebb-2139-4df8-b411-4e3e87abeb5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Shen, Leo</dc:creator>
  <cp:keywords/>
  <dc:description/>
  <cp:lastModifiedBy>Zhiliang Bai</cp:lastModifiedBy>
  <cp:revision>17</cp:revision>
  <cp:lastPrinted>2026-05-21T06:04:00Z</cp:lastPrinted>
  <dcterms:created xsi:type="dcterms:W3CDTF">2026-07-18T16:59:00Z</dcterms:created>
  <dcterms:modified xsi:type="dcterms:W3CDTF">2026-07-19T02:30:00Z</dcterms:modified>
</cp:coreProperties>
</file>