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0771" w14:textId="77777777" w:rsidR="00D64350" w:rsidRPr="001613E0" w:rsidRDefault="00D64350">
      <w:pPr>
        <w:rPr>
          <w:rFonts w:ascii="Calibri" w:hAnsi="Calibri" w:cs="Calibri"/>
          <w:b/>
          <w:bCs/>
          <w:sz w:val="20"/>
          <w:szCs w:val="20"/>
        </w:rPr>
      </w:pPr>
    </w:p>
    <w:p w14:paraId="56D28ADB" w14:textId="21F8D68D" w:rsidR="001613E0" w:rsidRPr="001613E0" w:rsidRDefault="001613E0">
      <w:pPr>
        <w:rPr>
          <w:rFonts w:ascii="Calibri" w:hAnsi="Calibri" w:cs="Calibri"/>
          <w:b/>
          <w:bCs/>
          <w:sz w:val="20"/>
          <w:szCs w:val="20"/>
          <w:lang w:val="en-US"/>
        </w:rPr>
      </w:pPr>
      <w:r w:rsidRPr="001613E0">
        <w:rPr>
          <w:rFonts w:ascii="Calibri" w:hAnsi="Calibri" w:cs="Calibri"/>
          <w:b/>
          <w:bCs/>
          <w:sz w:val="20"/>
          <w:szCs w:val="20"/>
          <w:lang w:val="en-US"/>
        </w:rPr>
        <w:t xml:space="preserve">Supplementary table 1. </w:t>
      </w:r>
      <w:r w:rsidRPr="001613E0">
        <w:rPr>
          <w:rFonts w:ascii="Calibri" w:hAnsi="Calibri" w:cs="Calibri"/>
          <w:b/>
          <w:bCs/>
          <w:sz w:val="20"/>
          <w:szCs w:val="20"/>
        </w:rPr>
        <w:t>Exploratory baseline predictors of flow deterioration following acute MAP augmentation</w:t>
      </w:r>
    </w:p>
    <w:p w14:paraId="527C5CC7" w14:textId="77777777" w:rsidR="001613E0" w:rsidRDefault="001613E0">
      <w:pPr>
        <w:rPr>
          <w:rFonts w:ascii="Calibri" w:hAnsi="Calibri" w:cs="Calibri"/>
          <w:sz w:val="20"/>
          <w:szCs w:val="20"/>
        </w:rPr>
      </w:pPr>
    </w:p>
    <w:p w14:paraId="09960067" w14:textId="77777777" w:rsidR="001613E0" w:rsidRDefault="001613E0">
      <w:pPr>
        <w:rPr>
          <w:rFonts w:ascii="Calibri" w:hAnsi="Calibri" w:cs="Calibri"/>
          <w:sz w:val="20"/>
          <w:szCs w:val="20"/>
        </w:rPr>
      </w:pPr>
    </w:p>
    <w:tbl>
      <w:tblPr>
        <w:tblW w:w="81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2103"/>
        <w:gridCol w:w="2192"/>
        <w:gridCol w:w="819"/>
        <w:gridCol w:w="1011"/>
      </w:tblGrid>
      <w:tr w:rsidR="001613E0" w:rsidRPr="001613E0" w14:paraId="44AFF8E2" w14:textId="77777777" w:rsidTr="009F4D76">
        <w:trPr>
          <w:trHeight w:val="23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B86C65" w14:textId="5D7EC5C4" w:rsidR="001613E0" w:rsidRPr="001613E0" w:rsidRDefault="001613E0" w:rsidP="009F4D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Baseline parameter</w:t>
            </w:r>
          </w:p>
        </w:tc>
        <w:tc>
          <w:tcPr>
            <w:tcW w:w="0" w:type="auto"/>
            <w:vAlign w:val="center"/>
            <w:hideMark/>
          </w:tcPr>
          <w:p w14:paraId="0556F64D" w14:textId="77777777" w:rsidR="001613E0" w:rsidRPr="002C50A6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C50A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Flow recruitment /</w:t>
            </w:r>
          </w:p>
          <w:p w14:paraId="472E5AEF" w14:textId="77777777" w:rsidR="001613E0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C50A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stable flow</w:t>
            </w:r>
          </w:p>
          <w:p w14:paraId="68233827" w14:textId="74C76FDF" w:rsidR="001613E0" w:rsidRPr="001613E0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</w:t>
            </w:r>
            <w:r w:rsidRPr="002C50A6">
              <w:rPr>
                <w:rFonts w:ascii="Calibri" w:hAnsi="Calibri" w:cs="Calibri"/>
                <w:b/>
                <w:bCs/>
                <w:sz w:val="20"/>
                <w:szCs w:val="20"/>
              </w:rPr>
              <w:t>n=27)</w:t>
            </w:r>
          </w:p>
        </w:tc>
        <w:tc>
          <w:tcPr>
            <w:tcW w:w="0" w:type="auto"/>
            <w:vAlign w:val="center"/>
            <w:hideMark/>
          </w:tcPr>
          <w:p w14:paraId="17D64323" w14:textId="77777777" w:rsidR="001613E0" w:rsidRPr="002C50A6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2C50A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Flow deterioration</w:t>
            </w:r>
          </w:p>
          <w:p w14:paraId="11DA59E7" w14:textId="77777777" w:rsidR="001613E0" w:rsidRPr="002C50A6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A2E2BBA" w14:textId="00B7B1A3" w:rsidR="001613E0" w:rsidRPr="001613E0" w:rsidRDefault="001613E0" w:rsidP="00161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C50A6">
              <w:rPr>
                <w:rFonts w:ascii="Calibri" w:hAnsi="Calibri" w:cs="Calibri"/>
                <w:b/>
                <w:bCs/>
                <w:sz w:val="20"/>
                <w:szCs w:val="20"/>
              </w:rPr>
              <w:t>(n=5)</w:t>
            </w:r>
          </w:p>
        </w:tc>
        <w:tc>
          <w:tcPr>
            <w:tcW w:w="0" w:type="auto"/>
            <w:vAlign w:val="center"/>
            <w:hideMark/>
          </w:tcPr>
          <w:p w14:paraId="48504634" w14:textId="77777777" w:rsidR="001613E0" w:rsidRPr="001613E0" w:rsidRDefault="001613E0" w:rsidP="009F4D7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13E0">
              <w:rPr>
                <w:rFonts w:ascii="Calibri" w:hAnsi="Calibri" w:cs="Calibr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0" w:type="auto"/>
            <w:vAlign w:val="center"/>
            <w:hideMark/>
          </w:tcPr>
          <w:p w14:paraId="4AA2053E" w14:textId="77777777" w:rsidR="001613E0" w:rsidRPr="001613E0" w:rsidRDefault="001613E0" w:rsidP="009F4D76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13E0">
              <w:rPr>
                <w:rFonts w:ascii="Calibri" w:hAnsi="Calibri" w:cs="Calibri"/>
                <w:b/>
                <w:bCs/>
                <w:sz w:val="20"/>
                <w:szCs w:val="20"/>
              </w:rPr>
              <w:t>Effect size</w:t>
            </w:r>
          </w:p>
        </w:tc>
      </w:tr>
      <w:tr w:rsidR="001613E0" w:rsidRPr="001613E0" w14:paraId="067DD597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2DEBDC61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Style w:val="Strong"/>
                <w:rFonts w:ascii="Calibri" w:eastAsiaTheme="majorEastAsia" w:hAnsi="Calibri" w:cs="Calibri"/>
                <w:sz w:val="20"/>
                <w:szCs w:val="20"/>
              </w:rPr>
              <w:t>Vasopressin use, n (%)</w:t>
            </w:r>
          </w:p>
        </w:tc>
        <w:tc>
          <w:tcPr>
            <w:tcW w:w="0" w:type="auto"/>
            <w:vAlign w:val="center"/>
            <w:hideMark/>
          </w:tcPr>
          <w:p w14:paraId="4C724CC1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8 (29.6%)</w:t>
            </w:r>
          </w:p>
        </w:tc>
        <w:tc>
          <w:tcPr>
            <w:tcW w:w="0" w:type="auto"/>
            <w:vAlign w:val="center"/>
            <w:hideMark/>
          </w:tcPr>
          <w:p w14:paraId="57F767F2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4 (80.0%)</w:t>
            </w:r>
          </w:p>
        </w:tc>
        <w:tc>
          <w:tcPr>
            <w:tcW w:w="0" w:type="auto"/>
            <w:vAlign w:val="center"/>
            <w:hideMark/>
          </w:tcPr>
          <w:p w14:paraId="495B94F7" w14:textId="77777777" w:rsidR="001613E0" w:rsidRPr="001613E0" w:rsidRDefault="001613E0" w:rsidP="001613E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13E0">
              <w:rPr>
                <w:rStyle w:val="Strong"/>
                <w:rFonts w:ascii="Calibri" w:eastAsiaTheme="majorEastAsia" w:hAnsi="Calibri" w:cs="Calibri"/>
                <w:sz w:val="20"/>
                <w:szCs w:val="20"/>
              </w:rPr>
              <w:t>0.053</w:t>
            </w:r>
          </w:p>
        </w:tc>
        <w:tc>
          <w:tcPr>
            <w:tcW w:w="0" w:type="auto"/>
            <w:vAlign w:val="center"/>
            <w:hideMark/>
          </w:tcPr>
          <w:p w14:paraId="596EB0B4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OR 9.5</w:t>
            </w:r>
          </w:p>
        </w:tc>
      </w:tr>
      <w:tr w:rsidR="001613E0" w:rsidRPr="001613E0" w14:paraId="393DEEED" w14:textId="77777777" w:rsidTr="009F4D76">
        <w:trPr>
          <w:trHeight w:val="200"/>
          <w:tblCellSpacing w:w="15" w:type="dxa"/>
        </w:trPr>
        <w:tc>
          <w:tcPr>
            <w:tcW w:w="0" w:type="auto"/>
            <w:vAlign w:val="center"/>
            <w:hideMark/>
          </w:tcPr>
          <w:p w14:paraId="2477C06C" w14:textId="37BB87C8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 xml:space="preserve">CO </w:t>
            </w:r>
          </w:p>
        </w:tc>
        <w:tc>
          <w:tcPr>
            <w:tcW w:w="0" w:type="auto"/>
            <w:vAlign w:val="center"/>
            <w:hideMark/>
          </w:tcPr>
          <w:p w14:paraId="211DBC6A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5334.9 [4725.6–6330.2]</w:t>
            </w:r>
          </w:p>
        </w:tc>
        <w:tc>
          <w:tcPr>
            <w:tcW w:w="0" w:type="auto"/>
            <w:vAlign w:val="center"/>
            <w:hideMark/>
          </w:tcPr>
          <w:p w14:paraId="0CD1E56F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7037.9 [6703.1–7861.6]</w:t>
            </w:r>
          </w:p>
        </w:tc>
        <w:tc>
          <w:tcPr>
            <w:tcW w:w="0" w:type="auto"/>
            <w:vAlign w:val="center"/>
            <w:hideMark/>
          </w:tcPr>
          <w:p w14:paraId="6B5B8C44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0.068</w:t>
            </w:r>
          </w:p>
        </w:tc>
        <w:tc>
          <w:tcPr>
            <w:tcW w:w="0" w:type="auto"/>
            <w:vAlign w:val="center"/>
            <w:hideMark/>
          </w:tcPr>
          <w:p w14:paraId="32210EB4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0.763</w:t>
            </w:r>
          </w:p>
        </w:tc>
      </w:tr>
      <w:tr w:rsidR="001613E0" w:rsidRPr="001613E0" w14:paraId="4A2ECABF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1803C448" w14:textId="7832DCF5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 xml:space="preserve">SV </w:t>
            </w:r>
          </w:p>
        </w:tc>
        <w:tc>
          <w:tcPr>
            <w:tcW w:w="0" w:type="auto"/>
            <w:vAlign w:val="center"/>
            <w:hideMark/>
          </w:tcPr>
          <w:p w14:paraId="638DAAE3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59.0 [51.0–69.4]</w:t>
            </w:r>
          </w:p>
        </w:tc>
        <w:tc>
          <w:tcPr>
            <w:tcW w:w="0" w:type="auto"/>
            <w:vAlign w:val="center"/>
            <w:hideMark/>
          </w:tcPr>
          <w:p w14:paraId="4CE1B12A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77.8 [74.9–79.0]</w:t>
            </w:r>
          </w:p>
        </w:tc>
        <w:tc>
          <w:tcPr>
            <w:tcW w:w="0" w:type="auto"/>
            <w:vAlign w:val="center"/>
            <w:hideMark/>
          </w:tcPr>
          <w:p w14:paraId="095664EA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0.077</w:t>
            </w:r>
          </w:p>
        </w:tc>
        <w:tc>
          <w:tcPr>
            <w:tcW w:w="0" w:type="auto"/>
            <w:vAlign w:val="center"/>
            <w:hideMark/>
          </w:tcPr>
          <w:p w14:paraId="526A1184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0.756</w:t>
            </w:r>
          </w:p>
        </w:tc>
      </w:tr>
      <w:tr w:rsidR="001613E0" w:rsidRPr="001613E0" w14:paraId="64500CBC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0024DA68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VA</w:t>
            </w:r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coupling</w:t>
            </w:r>
          </w:p>
        </w:tc>
        <w:tc>
          <w:tcPr>
            <w:tcW w:w="0" w:type="auto"/>
            <w:vAlign w:val="center"/>
            <w:hideMark/>
          </w:tcPr>
          <w:p w14:paraId="20DB732B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1.00 [0.71–1.70]</w:t>
            </w:r>
          </w:p>
        </w:tc>
        <w:tc>
          <w:tcPr>
            <w:tcW w:w="0" w:type="auto"/>
            <w:vAlign w:val="center"/>
            <w:hideMark/>
          </w:tcPr>
          <w:p w14:paraId="1DDDF29F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0.67 [0.59–0.71]</w:t>
            </w:r>
          </w:p>
        </w:tc>
        <w:tc>
          <w:tcPr>
            <w:tcW w:w="0" w:type="auto"/>
            <w:vAlign w:val="center"/>
            <w:hideMark/>
          </w:tcPr>
          <w:p w14:paraId="66B16FE3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0.113</w:t>
            </w:r>
          </w:p>
        </w:tc>
        <w:tc>
          <w:tcPr>
            <w:tcW w:w="0" w:type="auto"/>
            <w:vAlign w:val="center"/>
            <w:hideMark/>
          </w:tcPr>
          <w:p w14:paraId="401E4529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0.730</w:t>
            </w:r>
          </w:p>
        </w:tc>
      </w:tr>
      <w:tr w:rsidR="001613E0" w:rsidRPr="001613E0" w14:paraId="49279BA1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6E057624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Ea</w:t>
            </w:r>
          </w:p>
        </w:tc>
        <w:tc>
          <w:tcPr>
            <w:tcW w:w="0" w:type="auto"/>
            <w:vAlign w:val="center"/>
            <w:hideMark/>
          </w:tcPr>
          <w:p w14:paraId="629227DB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1.50 [1.40–1.85]</w:t>
            </w:r>
          </w:p>
        </w:tc>
        <w:tc>
          <w:tcPr>
            <w:tcW w:w="0" w:type="auto"/>
            <w:vAlign w:val="center"/>
            <w:hideMark/>
          </w:tcPr>
          <w:p w14:paraId="1C0FE23D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1.30 [1.20–1.40]</w:t>
            </w:r>
          </w:p>
        </w:tc>
        <w:tc>
          <w:tcPr>
            <w:tcW w:w="0" w:type="auto"/>
            <w:vAlign w:val="center"/>
            <w:hideMark/>
          </w:tcPr>
          <w:p w14:paraId="2867044B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0.125</w:t>
            </w:r>
          </w:p>
        </w:tc>
        <w:tc>
          <w:tcPr>
            <w:tcW w:w="0" w:type="auto"/>
            <w:vAlign w:val="center"/>
            <w:hideMark/>
          </w:tcPr>
          <w:p w14:paraId="131C8BB0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0.722</w:t>
            </w:r>
          </w:p>
        </w:tc>
      </w:tr>
      <w:tr w:rsidR="001613E0" w:rsidRPr="001613E0" w14:paraId="23B0C799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0F8A4E47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Ees</w:t>
            </w:r>
          </w:p>
        </w:tc>
        <w:tc>
          <w:tcPr>
            <w:tcW w:w="0" w:type="auto"/>
            <w:vAlign w:val="center"/>
            <w:hideMark/>
          </w:tcPr>
          <w:p w14:paraId="47E9A4A7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1.40 [1.10–2.10]</w:t>
            </w:r>
          </w:p>
        </w:tc>
        <w:tc>
          <w:tcPr>
            <w:tcW w:w="0" w:type="auto"/>
            <w:vAlign w:val="center"/>
            <w:hideMark/>
          </w:tcPr>
          <w:p w14:paraId="695E709C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2.00 [2.00–2.30]</w:t>
            </w:r>
          </w:p>
        </w:tc>
        <w:tc>
          <w:tcPr>
            <w:tcW w:w="0" w:type="auto"/>
            <w:vAlign w:val="center"/>
            <w:hideMark/>
          </w:tcPr>
          <w:p w14:paraId="6712F79F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0.310</w:t>
            </w:r>
          </w:p>
        </w:tc>
        <w:tc>
          <w:tcPr>
            <w:tcW w:w="0" w:type="auto"/>
            <w:vAlign w:val="center"/>
            <w:hideMark/>
          </w:tcPr>
          <w:p w14:paraId="5DB27EA1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0.648</w:t>
            </w:r>
          </w:p>
        </w:tc>
      </w:tr>
      <w:tr w:rsidR="001613E0" w:rsidRPr="001613E0" w14:paraId="42DADF82" w14:textId="77777777" w:rsidTr="009F4D76">
        <w:trPr>
          <w:trHeight w:val="200"/>
          <w:tblCellSpacing w:w="15" w:type="dxa"/>
        </w:trPr>
        <w:tc>
          <w:tcPr>
            <w:tcW w:w="0" w:type="auto"/>
            <w:vAlign w:val="center"/>
            <w:hideMark/>
          </w:tcPr>
          <w:p w14:paraId="4FE5FBA4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IVCT</w:t>
            </w:r>
          </w:p>
        </w:tc>
        <w:tc>
          <w:tcPr>
            <w:tcW w:w="0" w:type="auto"/>
            <w:vAlign w:val="center"/>
            <w:hideMark/>
          </w:tcPr>
          <w:p w14:paraId="44F3B239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58 [44–70]</w:t>
            </w:r>
          </w:p>
        </w:tc>
        <w:tc>
          <w:tcPr>
            <w:tcW w:w="0" w:type="auto"/>
            <w:vAlign w:val="center"/>
            <w:hideMark/>
          </w:tcPr>
          <w:p w14:paraId="540900E9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49 [41–51]</w:t>
            </w:r>
          </w:p>
        </w:tc>
        <w:tc>
          <w:tcPr>
            <w:tcW w:w="0" w:type="auto"/>
            <w:vAlign w:val="center"/>
            <w:hideMark/>
          </w:tcPr>
          <w:p w14:paraId="7874BA11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0.324</w:t>
            </w:r>
          </w:p>
        </w:tc>
        <w:tc>
          <w:tcPr>
            <w:tcW w:w="0" w:type="auto"/>
            <w:vAlign w:val="center"/>
            <w:hideMark/>
          </w:tcPr>
          <w:p w14:paraId="31130CB2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0.644</w:t>
            </w:r>
          </w:p>
        </w:tc>
      </w:tr>
      <w:tr w:rsidR="001613E0" w:rsidRPr="001613E0" w14:paraId="4902F0AA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61BD45B5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EF</w:t>
            </w:r>
          </w:p>
        </w:tc>
        <w:tc>
          <w:tcPr>
            <w:tcW w:w="0" w:type="auto"/>
            <w:vAlign w:val="center"/>
            <w:hideMark/>
          </w:tcPr>
          <w:p w14:paraId="35281589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63.0 [55.1–67.3]</w:t>
            </w:r>
          </w:p>
        </w:tc>
        <w:tc>
          <w:tcPr>
            <w:tcW w:w="0" w:type="auto"/>
            <w:vAlign w:val="center"/>
            <w:hideMark/>
          </w:tcPr>
          <w:p w14:paraId="5DCEE802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62.6 [61.9–67.7]</w:t>
            </w:r>
          </w:p>
        </w:tc>
        <w:tc>
          <w:tcPr>
            <w:tcW w:w="0" w:type="auto"/>
            <w:vAlign w:val="center"/>
            <w:hideMark/>
          </w:tcPr>
          <w:p w14:paraId="65A77A41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  <w:hideMark/>
          </w:tcPr>
          <w:p w14:paraId="6509EE2C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0.600</w:t>
            </w:r>
          </w:p>
        </w:tc>
      </w:tr>
      <w:tr w:rsidR="001613E0" w:rsidRPr="001613E0" w14:paraId="79A6AE13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10D78C11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CRT</w:t>
            </w:r>
          </w:p>
        </w:tc>
        <w:tc>
          <w:tcPr>
            <w:tcW w:w="0" w:type="auto"/>
            <w:vAlign w:val="center"/>
            <w:hideMark/>
          </w:tcPr>
          <w:p w14:paraId="382527A4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3.0 [2.0–4.25]</w:t>
            </w:r>
          </w:p>
        </w:tc>
        <w:tc>
          <w:tcPr>
            <w:tcW w:w="0" w:type="auto"/>
            <w:vAlign w:val="center"/>
            <w:hideMark/>
          </w:tcPr>
          <w:p w14:paraId="046E92A7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2.8 [2.0–8.0]</w:t>
            </w:r>
          </w:p>
        </w:tc>
        <w:tc>
          <w:tcPr>
            <w:tcW w:w="0" w:type="auto"/>
            <w:vAlign w:val="center"/>
            <w:hideMark/>
          </w:tcPr>
          <w:p w14:paraId="20FCBC81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0.673</w:t>
            </w:r>
          </w:p>
        </w:tc>
        <w:tc>
          <w:tcPr>
            <w:tcW w:w="0" w:type="auto"/>
            <w:vAlign w:val="center"/>
            <w:hideMark/>
          </w:tcPr>
          <w:p w14:paraId="1AD85E4F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0.563</w:t>
            </w:r>
          </w:p>
        </w:tc>
      </w:tr>
      <w:tr w:rsidR="001613E0" w:rsidRPr="001613E0" w14:paraId="695AC850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0A7103A5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Lactate</w:t>
            </w:r>
          </w:p>
        </w:tc>
        <w:tc>
          <w:tcPr>
            <w:tcW w:w="0" w:type="auto"/>
            <w:vAlign w:val="center"/>
            <w:hideMark/>
          </w:tcPr>
          <w:p w14:paraId="2CA58445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2.6 [2.2–4.45]</w:t>
            </w:r>
          </w:p>
        </w:tc>
        <w:tc>
          <w:tcPr>
            <w:tcW w:w="0" w:type="auto"/>
            <w:vAlign w:val="center"/>
            <w:hideMark/>
          </w:tcPr>
          <w:p w14:paraId="64D00ECD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2.2 [2.1–4.4]</w:t>
            </w:r>
          </w:p>
        </w:tc>
        <w:tc>
          <w:tcPr>
            <w:tcW w:w="0" w:type="auto"/>
            <w:vAlign w:val="center"/>
            <w:hideMark/>
          </w:tcPr>
          <w:p w14:paraId="1CD4B01B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0.515</w:t>
            </w:r>
          </w:p>
        </w:tc>
        <w:tc>
          <w:tcPr>
            <w:tcW w:w="0" w:type="auto"/>
            <w:vAlign w:val="center"/>
            <w:hideMark/>
          </w:tcPr>
          <w:p w14:paraId="2674C949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0.596</w:t>
            </w:r>
          </w:p>
        </w:tc>
      </w:tr>
      <w:tr w:rsidR="001613E0" w:rsidRPr="001613E0" w14:paraId="175979B7" w14:textId="77777777" w:rsidTr="009F4D76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14:paraId="5AC39A40" w14:textId="77777777" w:rsidR="001613E0" w:rsidRPr="001613E0" w:rsidRDefault="001613E0" w:rsidP="009F4D76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  <w:hideMark/>
          </w:tcPr>
          <w:p w14:paraId="1D016663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94 [79.5–101.5]</w:t>
            </w:r>
          </w:p>
        </w:tc>
        <w:tc>
          <w:tcPr>
            <w:tcW w:w="0" w:type="auto"/>
            <w:vAlign w:val="center"/>
            <w:hideMark/>
          </w:tcPr>
          <w:p w14:paraId="59C1B556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94 [79–101]</w:t>
            </w:r>
          </w:p>
        </w:tc>
        <w:tc>
          <w:tcPr>
            <w:tcW w:w="0" w:type="auto"/>
            <w:vAlign w:val="center"/>
            <w:hideMark/>
          </w:tcPr>
          <w:p w14:paraId="7756881E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0.938</w:t>
            </w:r>
          </w:p>
        </w:tc>
        <w:tc>
          <w:tcPr>
            <w:tcW w:w="0" w:type="auto"/>
            <w:vAlign w:val="center"/>
            <w:hideMark/>
          </w:tcPr>
          <w:p w14:paraId="4DB0EBF8" w14:textId="77777777" w:rsidR="001613E0" w:rsidRPr="001613E0" w:rsidRDefault="001613E0" w:rsidP="001613E0">
            <w:pPr>
              <w:rPr>
                <w:rFonts w:ascii="Calibri" w:hAnsi="Calibri" w:cs="Calibri"/>
                <w:sz w:val="20"/>
                <w:szCs w:val="20"/>
              </w:rPr>
            </w:pPr>
            <w:r w:rsidRPr="001613E0">
              <w:rPr>
                <w:rFonts w:ascii="Calibri" w:hAnsi="Calibri" w:cs="Calibri"/>
                <w:sz w:val="20"/>
                <w:szCs w:val="20"/>
              </w:rPr>
              <w:t>AUC 0.515</w:t>
            </w:r>
          </w:p>
        </w:tc>
      </w:tr>
      <w:tr w:rsidR="001613E0" w:rsidRPr="001613E0" w14:paraId="06A583D4" w14:textId="77777777" w:rsidTr="009F4D76">
        <w:trPr>
          <w:trHeight w:val="941"/>
          <w:tblCellSpacing w:w="15" w:type="dxa"/>
        </w:trPr>
        <w:tc>
          <w:tcPr>
            <w:tcW w:w="0" w:type="auto"/>
            <w:gridSpan w:val="5"/>
            <w:vAlign w:val="center"/>
          </w:tcPr>
          <w:p w14:paraId="5E9F152E" w14:textId="77777777" w:rsidR="001613E0" w:rsidRPr="001613E0" w:rsidRDefault="001613E0" w:rsidP="001613E0">
            <w:pPr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Legend. CO = cardiac output; SV = stroke volume; VA coupling = </w:t>
            </w:r>
            <w:proofErr w:type="spellStart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>ventriculo</w:t>
            </w:r>
            <w:proofErr w:type="spellEnd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-arterial coupling; </w:t>
            </w:r>
          </w:p>
          <w:p w14:paraId="437BFCFE" w14:textId="2B209C66" w:rsidR="001613E0" w:rsidRPr="001613E0" w:rsidRDefault="001613E0" w:rsidP="001613E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>Ea</w:t>
            </w:r>
            <w:proofErr w:type="spellEnd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= static aortic elastance; </w:t>
            </w:r>
            <w:proofErr w:type="spellStart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>Ees</w:t>
            </w:r>
            <w:proofErr w:type="spellEnd"/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= left ventricle end systolic elastance; IVCT = isovolumetric contraction time; EF = left ventricle Ejection fraction;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Pr="001613E0">
              <w:rPr>
                <w:rFonts w:ascii="Calibri" w:hAnsi="Calibri" w:cs="Calibri"/>
                <w:sz w:val="20"/>
                <w:szCs w:val="20"/>
                <w:lang w:val="en-US"/>
              </w:rPr>
              <w:t>CRT = capillary refill time; IVA = isovolumetric velocity acceleration; MPI = myocardial performance index.</w:t>
            </w:r>
          </w:p>
        </w:tc>
      </w:tr>
    </w:tbl>
    <w:p w14:paraId="668FB8FB" w14:textId="77777777" w:rsidR="001613E0" w:rsidRPr="001613E0" w:rsidRDefault="001613E0">
      <w:pPr>
        <w:rPr>
          <w:rFonts w:ascii="Calibri" w:hAnsi="Calibri" w:cs="Calibri"/>
          <w:sz w:val="20"/>
          <w:szCs w:val="20"/>
        </w:rPr>
      </w:pPr>
    </w:p>
    <w:sectPr w:rsidR="001613E0" w:rsidRPr="001613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E0"/>
    <w:rsid w:val="00002D65"/>
    <w:rsid w:val="00037B96"/>
    <w:rsid w:val="000B0A0A"/>
    <w:rsid w:val="000B685F"/>
    <w:rsid w:val="000C0808"/>
    <w:rsid w:val="000E39D6"/>
    <w:rsid w:val="000F00FD"/>
    <w:rsid w:val="000F1960"/>
    <w:rsid w:val="0010269A"/>
    <w:rsid w:val="001103B3"/>
    <w:rsid w:val="0011282C"/>
    <w:rsid w:val="001613E0"/>
    <w:rsid w:val="00175186"/>
    <w:rsid w:val="00176A99"/>
    <w:rsid w:val="001B54EC"/>
    <w:rsid w:val="001B57B0"/>
    <w:rsid w:val="001C1C63"/>
    <w:rsid w:val="001E1FDF"/>
    <w:rsid w:val="001F657A"/>
    <w:rsid w:val="00224CD9"/>
    <w:rsid w:val="00250E14"/>
    <w:rsid w:val="00251720"/>
    <w:rsid w:val="00263798"/>
    <w:rsid w:val="00265B41"/>
    <w:rsid w:val="002663D3"/>
    <w:rsid w:val="00276A5A"/>
    <w:rsid w:val="002A69A3"/>
    <w:rsid w:val="002C3454"/>
    <w:rsid w:val="002C628D"/>
    <w:rsid w:val="002C6B4C"/>
    <w:rsid w:val="002E5F69"/>
    <w:rsid w:val="002F3FA5"/>
    <w:rsid w:val="00317939"/>
    <w:rsid w:val="003406D5"/>
    <w:rsid w:val="00371A49"/>
    <w:rsid w:val="00373081"/>
    <w:rsid w:val="00381ED7"/>
    <w:rsid w:val="003C13DB"/>
    <w:rsid w:val="003E45EC"/>
    <w:rsid w:val="00407692"/>
    <w:rsid w:val="0042283B"/>
    <w:rsid w:val="00451A40"/>
    <w:rsid w:val="00453F56"/>
    <w:rsid w:val="004822BA"/>
    <w:rsid w:val="004B2F49"/>
    <w:rsid w:val="004C23E8"/>
    <w:rsid w:val="004D7474"/>
    <w:rsid w:val="00501F73"/>
    <w:rsid w:val="0052676F"/>
    <w:rsid w:val="00527F5D"/>
    <w:rsid w:val="00535BE6"/>
    <w:rsid w:val="005364C2"/>
    <w:rsid w:val="005404E4"/>
    <w:rsid w:val="005650D5"/>
    <w:rsid w:val="005B31F0"/>
    <w:rsid w:val="00600224"/>
    <w:rsid w:val="0063200F"/>
    <w:rsid w:val="006609DA"/>
    <w:rsid w:val="00680CBC"/>
    <w:rsid w:val="006A09E6"/>
    <w:rsid w:val="006A6265"/>
    <w:rsid w:val="006E2E39"/>
    <w:rsid w:val="00707D3A"/>
    <w:rsid w:val="00714941"/>
    <w:rsid w:val="007155D7"/>
    <w:rsid w:val="00724E69"/>
    <w:rsid w:val="00760970"/>
    <w:rsid w:val="007647FE"/>
    <w:rsid w:val="00764849"/>
    <w:rsid w:val="007810DD"/>
    <w:rsid w:val="0079058E"/>
    <w:rsid w:val="00797E71"/>
    <w:rsid w:val="007A160A"/>
    <w:rsid w:val="007B01FC"/>
    <w:rsid w:val="007C6612"/>
    <w:rsid w:val="007E0E3D"/>
    <w:rsid w:val="0081452A"/>
    <w:rsid w:val="008361EE"/>
    <w:rsid w:val="00843819"/>
    <w:rsid w:val="00861606"/>
    <w:rsid w:val="00876333"/>
    <w:rsid w:val="00893516"/>
    <w:rsid w:val="008A3CDD"/>
    <w:rsid w:val="008F0F07"/>
    <w:rsid w:val="008F10E9"/>
    <w:rsid w:val="00901843"/>
    <w:rsid w:val="0090631A"/>
    <w:rsid w:val="00927570"/>
    <w:rsid w:val="00950F2A"/>
    <w:rsid w:val="00952CA0"/>
    <w:rsid w:val="00977752"/>
    <w:rsid w:val="00985F2A"/>
    <w:rsid w:val="00986010"/>
    <w:rsid w:val="0099065A"/>
    <w:rsid w:val="009F719C"/>
    <w:rsid w:val="009F7904"/>
    <w:rsid w:val="00A05928"/>
    <w:rsid w:val="00A56B9D"/>
    <w:rsid w:val="00A678F7"/>
    <w:rsid w:val="00AC2D84"/>
    <w:rsid w:val="00AC493D"/>
    <w:rsid w:val="00AD3315"/>
    <w:rsid w:val="00B02B66"/>
    <w:rsid w:val="00B30F01"/>
    <w:rsid w:val="00B31C99"/>
    <w:rsid w:val="00B36EC3"/>
    <w:rsid w:val="00B70D6E"/>
    <w:rsid w:val="00B85EA7"/>
    <w:rsid w:val="00B96BB4"/>
    <w:rsid w:val="00BB50AB"/>
    <w:rsid w:val="00C10B95"/>
    <w:rsid w:val="00CA58CA"/>
    <w:rsid w:val="00CD5DE1"/>
    <w:rsid w:val="00CE6158"/>
    <w:rsid w:val="00CF02B6"/>
    <w:rsid w:val="00D05A83"/>
    <w:rsid w:val="00D17D17"/>
    <w:rsid w:val="00D64350"/>
    <w:rsid w:val="00DA413E"/>
    <w:rsid w:val="00DA4E73"/>
    <w:rsid w:val="00DE1D7D"/>
    <w:rsid w:val="00E15D88"/>
    <w:rsid w:val="00E20A75"/>
    <w:rsid w:val="00E21003"/>
    <w:rsid w:val="00E658A7"/>
    <w:rsid w:val="00E74EC9"/>
    <w:rsid w:val="00E80DAF"/>
    <w:rsid w:val="00E846D1"/>
    <w:rsid w:val="00EE2B98"/>
    <w:rsid w:val="00EE50C2"/>
    <w:rsid w:val="00EF64B3"/>
    <w:rsid w:val="00EF7588"/>
    <w:rsid w:val="00F07BDB"/>
    <w:rsid w:val="00F2206F"/>
    <w:rsid w:val="00F620BF"/>
    <w:rsid w:val="00F85603"/>
    <w:rsid w:val="00F91CA4"/>
    <w:rsid w:val="00FD0C50"/>
    <w:rsid w:val="00FD1C06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D2A1C8"/>
  <w15:chartTrackingRefBased/>
  <w15:docId w15:val="{FBE2FA5B-BD9A-FB4C-AFD4-AC88C76E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E0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E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1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3E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1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E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61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1023</Characters>
  <Application>Microsoft Office Word</Application>
  <DocSecurity>0</DocSecurity>
  <Lines>16</Lines>
  <Paragraphs>3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Daniel Valenzuela Espinoza</dc:creator>
  <cp:keywords/>
  <dc:description/>
  <cp:lastModifiedBy>Emilio Daniel Valenzuela Espinoza</cp:lastModifiedBy>
  <cp:revision>1</cp:revision>
  <dcterms:created xsi:type="dcterms:W3CDTF">2026-07-03T20:09:00Z</dcterms:created>
  <dcterms:modified xsi:type="dcterms:W3CDTF">2026-07-03T20:17:00Z</dcterms:modified>
</cp:coreProperties>
</file>