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Supplementary Information</w:t>
      </w:r>
    </w:p>
    <w:p>
      <w:pPr>
        <w:spacing w:after="280"/>
      </w:pPr>
      <w:r>
        <w:rPr>
          <w:b w:val="0"/>
          <w:sz w:val="20"/>
        </w:rPr>
        <w:t>Differentiable subset binding: gradient-based cross-view itemset mining for heterogeneous data</w:t>
      </w:r>
    </w:p>
    <w:p>
      <w:pPr>
        <w:pStyle w:val="Heading1"/>
      </w:pPr>
      <w:r>
        <w:t>S1. Default hyperparameters</w:t>
      </w:r>
    </w:p>
    <w:p>
      <w:pPr>
        <w:spacing w:after="120"/>
      </w:pPr>
      <w:r>
        <w:rPr>
          <w:b w:val="0"/>
          <w:sz w:val="22"/>
        </w:rPr>
        <w:t>Unless stated otherwise, DSB uses the following defaults, validated on the synthetic benchmark and held fixed across datasets.</w:t>
      </w:r>
    </w:p>
    <w:p>
      <w:r>
        <w:rPr>
          <w:b/>
          <w:sz w:val="19"/>
        </w:rPr>
        <w:t>Table S1. DSB default hyperparameters.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rPr>
                <w:b/>
                <w:sz w:val="18"/>
              </w:rPr>
              <w:t>Hyperparameter</w:t>
            </w:r>
          </w:p>
        </w:tc>
        <w:tc>
          <w:tcPr>
            <w:tcW w:type="dxa" w:w="3120"/>
          </w:tcPr>
          <w:p>
            <w:r>
              <w:rPr>
                <w:b/>
                <w:sz w:val="18"/>
              </w:rPr>
              <w:t>Default</w:t>
            </w:r>
          </w:p>
        </w:tc>
        <w:tc>
          <w:tcPr>
            <w:tcW w:type="dxa" w:w="3120"/>
          </w:tcPr>
          <w:p>
            <w:r>
              <w:rPr>
                <w:b/>
                <w:sz w:val="18"/>
              </w:rPr>
              <w:t>Role</w:t>
            </w:r>
          </w:p>
        </w:tc>
      </w:tr>
      <w:tr>
        <w:tc>
          <w:tcPr>
            <w:tcW w:type="dxa" w:w="3120"/>
          </w:tcPr>
          <w:p>
            <w:r>
              <w:rPr>
                <w:sz w:val="18"/>
              </w:rPr>
              <w:t>min_support (support floor)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0.06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gate threshold; role of Apriori min_support</w:t>
            </w:r>
          </w:p>
        </w:tc>
      </w:tr>
      <w:tr>
        <w:tc>
          <w:tcPr>
            <w:tcW w:type="dxa" w:w="3120"/>
          </w:tcPr>
          <w:p>
            <w:r>
              <w:rPr>
                <w:sz w:val="18"/>
              </w:rPr>
              <w:t>κ (gate sharpness)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8.0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sharpness of the support gate</w:t>
            </w:r>
          </w:p>
        </w:tc>
      </w:tr>
      <w:tr>
        <w:tc>
          <w:tcPr>
            <w:tcW w:type="dxa" w:w="3120"/>
          </w:tcPr>
          <w:p>
            <w:r>
              <w:rPr>
                <w:sz w:val="18"/>
              </w:rPr>
              <w:t>λ (L1 sparsity)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0.005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keeps itemsets small</w:t>
            </w:r>
          </w:p>
        </w:tc>
      </w:tr>
      <w:tr>
        <w:tc>
          <w:tcPr>
            <w:tcW w:type="dxa" w:w="3120"/>
          </w:tcPr>
          <w:p>
            <w:r>
              <w:rPr>
                <w:sz w:val="18"/>
              </w:rPr>
              <w:t>coherence_weight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5.0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pulls in row-specific coherent items</w:t>
            </w:r>
          </w:p>
        </w:tc>
      </w:tr>
      <w:tr>
        <w:tc>
          <w:tcPr>
            <w:tcW w:type="dxa" w:w="3120"/>
          </w:tcPr>
          <w:p>
            <w:r>
              <w:rPr>
                <w:sz w:val="18"/>
              </w:rPr>
              <w:t>coherence_margin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0.4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only reward strongly coherent items</w:t>
            </w:r>
          </w:p>
        </w:tc>
      </w:tr>
      <w:tr>
        <w:tc>
          <w:tcPr>
            <w:tcW w:type="dxa" w:w="3120"/>
          </w:tcPr>
          <w:p>
            <w:r>
              <w:rPr>
                <w:sz w:val="18"/>
              </w:rPr>
              <w:t>membership_slope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1.5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High/Low membership sharpness</w:t>
            </w:r>
          </w:p>
        </w:tc>
      </w:tr>
      <w:tr>
        <w:tc>
          <w:tcPr>
            <w:tcW w:type="dxa" w:w="3120"/>
          </w:tcPr>
          <w:p>
            <w:r>
              <w:rPr>
                <w:sz w:val="18"/>
              </w:rPr>
              <w:t>init_topk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items seeded per module</w:t>
            </w:r>
          </w:p>
        </w:tc>
      </w:tr>
      <w:tr>
        <w:tc>
          <w:tcPr>
            <w:tcW w:type="dxa" w:w="3120"/>
          </w:tcPr>
          <w:p>
            <w:r>
              <w:rPr>
                <w:sz w:val="18"/>
              </w:rPr>
              <w:t>n_probe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SVD components probed per round</w:t>
            </w:r>
          </w:p>
        </w:tc>
      </w:tr>
      <w:tr>
        <w:tc>
          <w:tcPr>
            <w:tcW w:type="dxa" w:w="3120"/>
          </w:tcPr>
          <w:p>
            <w:r>
              <w:rPr>
                <w:sz w:val="18"/>
              </w:rPr>
              <w:t>max_rounds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greedy deflation rounds</w:t>
            </w:r>
          </w:p>
        </w:tc>
      </w:tr>
      <w:tr>
        <w:tc>
          <w:tcPr>
            <w:tcW w:type="dxa" w:w="3120"/>
          </w:tcPr>
          <w:p>
            <w:r>
              <w:rPr>
                <w:sz w:val="18"/>
              </w:rPr>
              <w:t>steps, lr (Adam)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500, 0.05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per-module optimization</w:t>
            </w:r>
          </w:p>
        </w:tc>
      </w:tr>
      <w:tr>
        <w:tc>
          <w:tcPr>
            <w:tcW w:type="dxa" w:w="3120"/>
          </w:tcPr>
          <w:p>
            <w:r>
              <w:rPr>
                <w:sz w:val="18"/>
              </w:rPr>
              <w:t>min_lift, min_items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1.3, 3</w:t>
            </w:r>
          </w:p>
        </w:tc>
        <w:tc>
          <w:tcPr>
            <w:tcW w:type="dxa" w:w="3120"/>
          </w:tcPr>
          <w:p>
            <w:r>
              <w:rPr>
                <w:sz w:val="18"/>
              </w:rPr>
              <w:t>acceptance thresholds</w:t>
            </w:r>
          </w:p>
        </w:tc>
      </w:tr>
    </w:tbl>
    <w:p/>
    <w:p>
      <w:pPr>
        <w:spacing w:after="120"/>
      </w:pPr>
      <w:r>
        <w:rPr>
          <w:b w:val="0"/>
          <w:sz w:val="22"/>
        </w:rPr>
        <w:t>Sparse-CCA seeding (high dimension) adds: sparse_k = 8–15 nonzeros, sparse_iter = 25–30 power-iteration steps, sparse_restarts = 5–6. Size-normalized activation is enabled for the large-itemset regime only.</w:t>
      </w:r>
    </w:p>
    <w:p>
      <w:pPr>
        <w:pStyle w:val="Heading1"/>
      </w:pPr>
      <w:r>
        <w:t>S2. Experimental setup</w:t>
      </w:r>
    </w:p>
    <w:p>
      <w:pPr>
        <w:spacing w:after="120"/>
      </w:pPr>
      <w:r>
        <w:rPr>
          <w:b w:val="0"/>
          <w:sz w:val="22"/>
        </w:rPr>
        <w:t>Synthetic benchmark: the planted-pattern data of the original subset-binding study (three cross-view patterns in disjoint row blocks). All synthetic results are mean ± standard deviation over five seeds (0–4); the seed sets data generation, weight initialization, and all framework RNGs. Real data: liver.toxicity and nutrimouse from the mixOmics R package (64 rats / 40 mice). Liver view 2 encodes the paper’s toxicity indicators (dose ≥ 1500 mg/kg → 1; time = 24 h → 1). Module significance uses a permutation null (2,000 permutations of the row alignment between views) with Benjamini–Hochberg FDR control.</w:t>
      </w:r>
    </w:p>
    <w:p>
      <w:pPr>
        <w:pStyle w:val="Heading1"/>
      </w:pPr>
      <w:r>
        <w:t>S3. Sparse-mode liver modules (all detected)</w:t>
      </w:r>
    </w:p>
    <w:p>
      <w:pPr>
        <w:spacing w:after="120"/>
      </w:pPr>
      <w:r>
        <w:rPr>
          <w:b w:val="0"/>
          <w:sz w:val="22"/>
        </w:rPr>
        <w:t>Sparse-CCA seeding on the full 3,116-gene expression view (no pre-filtering; experiments/liver.py sparse, seed 0) returns four compact modules, each binding a small gene signature directly to a clinical toxicity marker and the toxic-dose indicator. The main text names the signature gene of two of them; the complete itemsets are listed here. Spermidine synthase (polyamine metabolism) and metallothioneins 1a/2A (metal / oxidative-stress response) reproduce mechanisms reported for this dataset; indolethylamine N-methyltransferase, a S-adenosylmethionine-dependent methyltransferase, appears suppressed (Low). A_43_P14195 is an unannotated Agilent probe.</w:t>
      </w:r>
    </w:p>
    <w:p>
      <w:r>
        <w:rPr>
          <w:b/>
          <w:sz w:val="19"/>
        </w:rPr>
        <w:t>Table S2. All sparse-mode DSB modules on the liver-toxicity data. Support = rats covered / 64; lift = observed / expected cross-view co-occurrence. All four are significant under the permutation null (Methods; 2,000 permutations, Benjamini–Hochberg FDR). q = 5.0×10⁻⁴ is the permutation-resolution floor — no permutation of 2,000 reached the observed cross-view support. TBA = total bile acids, BUN = blood urea nitrogen, ALT = alanine aminotransferase; [High]/[Low] denote fuzzy-membership direction.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</w:tcPr>
          <w:p>
            <w:r>
              <w:rPr>
                <w:b/>
                <w:sz w:val="18"/>
              </w:rPr>
              <w:t>Module</w:t>
            </w:r>
          </w:p>
        </w:tc>
        <w:tc>
          <w:tcPr>
            <w:tcW w:type="dxa" w:w="1560"/>
          </w:tcPr>
          <w:p>
            <w:r>
              <w:rPr>
                <w:b/>
                <w:sz w:val="18"/>
              </w:rPr>
              <w:t>Gene signature (view 1)</w:t>
            </w:r>
          </w:p>
        </w:tc>
        <w:tc>
          <w:tcPr>
            <w:tcW w:type="dxa" w:w="1560"/>
          </w:tcPr>
          <w:p>
            <w:r>
              <w:rPr>
                <w:b/>
                <w:sz w:val="18"/>
              </w:rPr>
              <w:t>Clinical (view 2)</w:t>
            </w:r>
          </w:p>
        </w:tc>
        <w:tc>
          <w:tcPr>
            <w:tcW w:type="dxa" w:w="1560"/>
          </w:tcPr>
          <w:p>
            <w:r>
              <w:rPr>
                <w:b/>
                <w:sz w:val="18"/>
              </w:rPr>
              <w:t>Support</w:t>
            </w:r>
          </w:p>
        </w:tc>
        <w:tc>
          <w:tcPr>
            <w:tcW w:type="dxa" w:w="1560"/>
          </w:tcPr>
          <w:p>
            <w:r>
              <w:rPr>
                <w:b/>
                <w:sz w:val="18"/>
              </w:rPr>
              <w:t>Lift</w:t>
            </w:r>
          </w:p>
        </w:tc>
        <w:tc>
          <w:tcPr>
            <w:tcW w:type="dxa" w:w="1560"/>
          </w:tcPr>
          <w:p>
            <w:r>
              <w:rPr>
                <w:b/>
                <w:sz w:val="18"/>
              </w:rPr>
              <w:t>FDR q</w:t>
            </w:r>
          </w:p>
        </w:tc>
      </w:tr>
      <w:tr>
        <w:tc>
          <w:tcPr>
            <w:tcW w:type="dxa" w:w="156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Spermidine synthase [High]; Indolethylamine N-methyltransferase [Low]; Dynein light-chain LC8-type 1 [High]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TBA [High]; toxic dose [High]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9/64 (13%)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2.18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5.0×10⁻⁴</w:t>
            </w:r>
          </w:p>
        </w:tc>
      </w:tr>
      <w:tr>
        <w:tc>
          <w:tcPr>
            <w:tcW w:type="dxa" w:w="1560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Metallothionein 2A [High]; Indolethylamine N-methyltransferase [Low]; Dynein light-chain LC8-type 1 [High]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TBA [High]; toxic dose [High]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8/64 (13%)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2.12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5.0×10⁻⁴</w:t>
            </w:r>
          </w:p>
        </w:tc>
      </w:tr>
      <w:tr>
        <w:tc>
          <w:tcPr>
            <w:tcW w:type="dxa" w:w="1560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Metallothionein 2A [High]; Metallothionein 1a [High]; probe A_43_P14195 [High]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BUN [High]; toxic dose [High]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9/64 (13%)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1.97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5.0×10⁻⁴</w:t>
            </w:r>
          </w:p>
        </w:tc>
      </w:tr>
      <w:tr>
        <w:tc>
          <w:tcPr>
            <w:tcW w:type="dxa" w:w="156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Probe A_43_P14195 [High]; Small optic lobes homolog [High]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ALT [High]; toxic dose [High]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9/64 (14%)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1.87</w:t>
            </w:r>
          </w:p>
        </w:tc>
        <w:tc>
          <w:tcPr>
            <w:tcW w:type="dxa" w:w="1560"/>
          </w:tcPr>
          <w:p>
            <w:r>
              <w:rPr>
                <w:sz w:val="18"/>
              </w:rPr>
              <w:t>5.0×10⁻⁴</w:t>
            </w:r>
          </w:p>
        </w:tc>
      </w:tr>
    </w:tbl>
    <w:p/>
    <w:p>
      <w:pPr>
        <w:pStyle w:val="Heading1"/>
      </w:pPr>
      <w:r>
        <w:t>S4. Robustness grid</w:t>
      </w:r>
    </w:p>
    <w:p>
      <w:pPr>
        <w:spacing w:after="120"/>
      </w:pPr>
      <w:r>
        <w:rPr>
          <w:b w:val="0"/>
          <w:sz w:val="22"/>
        </w:rPr>
        <w:t>Recovery on the synthetic benchmark under variation of one hyperparameter at a time (others at default), five seeds. Seed stability over ten seeds: 0.93 ± 0.13 (lighter sweep settings; 1.00 under the full configuration of main-text Table 1).</w:t>
      </w:r>
    </w:p>
    <w:p>
      <w:r>
        <w:rPr>
          <w:b/>
          <w:sz w:val="19"/>
        </w:rPr>
        <w:t>Table S3. Hyperparameter sensitivity (recovery stays in 0.87–1.00).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b/>
                <w:sz w:val="18"/>
              </w:rPr>
              <w:t>Hyperparameter</w:t>
            </w:r>
          </w:p>
        </w:tc>
        <w:tc>
          <w:tcPr>
            <w:tcW w:type="dxa" w:w="4680"/>
          </w:tcPr>
          <w:p>
            <w:r>
              <w:rPr>
                <w:b/>
                <w:sz w:val="18"/>
              </w:rPr>
              <w:t>Values : recovery (mean ± sd)</w:t>
            </w:r>
          </w:p>
        </w:tc>
      </w:tr>
      <w:tr>
        <w:tc>
          <w:tcPr>
            <w:tcW w:type="dxa" w:w="4680"/>
          </w:tcPr>
          <w:p>
            <w:r>
              <w:rPr>
                <w:sz w:val="18"/>
              </w:rPr>
              <w:t>min_support</w:t>
            </w:r>
          </w:p>
        </w:tc>
        <w:tc>
          <w:tcPr>
            <w:tcW w:type="dxa" w:w="4680"/>
          </w:tcPr>
          <w:p>
            <w:r>
              <w:rPr>
                <w:sz w:val="18"/>
              </w:rPr>
              <w:t>0.05: 1.00±0.00   0.06: 0.93±0.13   0.07: 1.00±0.00</w:t>
            </w:r>
          </w:p>
        </w:tc>
      </w:tr>
      <w:tr>
        <w:tc>
          <w:tcPr>
            <w:tcW w:type="dxa" w:w="4680"/>
          </w:tcPr>
          <w:p>
            <w:r>
              <w:rPr>
                <w:sz w:val="18"/>
              </w:rPr>
              <w:t>coherence_weight</w:t>
            </w:r>
          </w:p>
        </w:tc>
        <w:tc>
          <w:tcPr>
            <w:tcW w:type="dxa" w:w="4680"/>
          </w:tcPr>
          <w:p>
            <w:r>
              <w:rPr>
                <w:sz w:val="18"/>
              </w:rPr>
              <w:t>3.0: 0.93±0.13   5.0: 0.93±0.13   7.0: 0.93±0.13</w:t>
            </w:r>
          </w:p>
        </w:tc>
      </w:tr>
      <w:tr>
        <w:tc>
          <w:tcPr>
            <w:tcW w:type="dxa" w:w="4680"/>
          </w:tcPr>
          <w:p>
            <w:r>
              <w:rPr>
                <w:sz w:val="18"/>
              </w:rPr>
              <w:t>min_lift</w:t>
            </w:r>
          </w:p>
        </w:tc>
        <w:tc>
          <w:tcPr>
            <w:tcW w:type="dxa" w:w="4680"/>
          </w:tcPr>
          <w:p>
            <w:r>
              <w:rPr>
                <w:sz w:val="18"/>
              </w:rPr>
              <w:t>1.1: 0.93±0.13   1.3: 0.93±0.13   1.5: 0.87±0.16</w:t>
            </w:r>
          </w:p>
        </w:tc>
      </w:tr>
    </w:tbl>
    <w:p/>
    <w:p>
      <w:pPr>
        <w:pStyle w:val="Heading1"/>
      </w:pPr>
      <w:r>
        <w:t>S5. Reproduction</w:t>
      </w:r>
    </w:p>
    <w:p>
      <w:pPr>
        <w:spacing w:after="80"/>
      </w:pPr>
      <w:r>
        <w:rPr>
          <w:b w:val="0"/>
          <w:sz w:val="22"/>
        </w:rPr>
        <w:t>All experiments are reproducible from the released code:</w:t>
      </w:r>
    </w:p>
    <w:p>
      <w:pPr>
        <w:spacing w:after="20"/>
      </w:pPr>
      <w:r>
        <w:rPr>
          <w:rFonts w:ascii="Courier New" w:hAnsi="Courier New"/>
          <w:sz w:val="18"/>
        </w:rPr>
        <w:t>python -m experiments.run            # synthetic: DSB vs subset-binding</w:t>
      </w:r>
    </w:p>
    <w:p>
      <w:pPr>
        <w:spacing w:after="20"/>
      </w:pPr>
      <w:r>
        <w:rPr>
          <w:rFonts w:ascii="Courier New" w:hAnsi="Courier New"/>
          <w:sz w:val="18"/>
        </w:rPr>
        <w:t>python -m experiments.ablation       # component ablation</w:t>
      </w:r>
    </w:p>
    <w:p>
      <w:pPr>
        <w:spacing w:after="20"/>
      </w:pPr>
      <w:r>
        <w:rPr>
          <w:rFonts w:ascii="Courier New" w:hAnsi="Courier New"/>
          <w:sz w:val="18"/>
        </w:rPr>
        <w:t>python -m experiments.baselines      # vs PLS / CCA / sparse CCA / MOFA2</w:t>
      </w:r>
    </w:p>
    <w:p>
      <w:pPr>
        <w:spacing w:after="20"/>
      </w:pPr>
      <w:r>
        <w:rPr>
          <w:rFonts w:ascii="Courier New" w:hAnsi="Courier New"/>
          <w:sz w:val="18"/>
        </w:rPr>
        <w:t>python -m experiments.stress_itemset # large-itemset scaling</w:t>
      </w:r>
    </w:p>
    <w:p>
      <w:pPr>
        <w:spacing w:after="20"/>
      </w:pPr>
      <w:r>
        <w:rPr>
          <w:rFonts w:ascii="Courier New" w:hAnsi="Courier New"/>
          <w:sz w:val="18"/>
        </w:rPr>
        <w:t>python -m experiments.scaling_dim    # high-dimensional runtime</w:t>
      </w:r>
    </w:p>
    <w:p>
      <w:pPr>
        <w:spacing w:after="20"/>
      </w:pPr>
      <w:r>
        <w:rPr>
          <w:rFonts w:ascii="Courier New" w:hAnsi="Courier New"/>
          <w:sz w:val="18"/>
        </w:rPr>
        <w:t>python -m experiments.liver          # liver toxicity (dense + sparse)</w:t>
      </w:r>
    </w:p>
    <w:p>
      <w:pPr>
        <w:spacing w:after="20"/>
      </w:pPr>
      <w:r>
        <w:rPr>
          <w:rFonts w:ascii="Courier New" w:hAnsi="Courier New"/>
          <w:sz w:val="18"/>
        </w:rPr>
        <w:t>python -m experiments.nutrimouse     # nutrimouse</w:t>
      </w:r>
    </w:p>
    <w:p>
      <w:pPr>
        <w:spacing w:after="20"/>
      </w:pPr>
      <w:r>
        <w:rPr>
          <w:rFonts w:ascii="Courier New" w:hAnsi="Courier New"/>
          <w:sz w:val="18"/>
        </w:rPr>
        <w:t>python -m experiments.enrichment     # gene-set enrichment (g:Profiler)</w:t>
      </w:r>
    </w:p>
    <w:p>
      <w:pPr>
        <w:spacing w:after="20"/>
      </w:pPr>
      <w:r>
        <w:rPr>
          <w:rFonts w:ascii="Courier New" w:hAnsi="Courier New"/>
          <w:sz w:val="18"/>
        </w:rPr>
        <w:t>python -m experiments.module_fdr     # per-module permutation FDR</w:t>
      </w:r>
    </w:p>
    <w:p>
      <w:pPr>
        <w:spacing w:after="20"/>
      </w:pPr>
      <w:r>
        <w:rPr>
          <w:rFonts w:ascii="Courier New" w:hAnsi="Courier New"/>
          <w:sz w:val="18"/>
        </w:rPr>
        <w:t>python -m experiments.robustness     # seed + hyperparameter sensitivity</w:t>
      </w:r>
    </w:p>
    <w:p>
      <w:pPr>
        <w:spacing w:after="20"/>
      </w:pPr>
      <w:r>
        <w:rPr>
          <w:rFonts w:ascii="Courier New" w:hAnsi="Courier New"/>
          <w:sz w:val="18"/>
        </w:rPr>
        <w:t>python -m experiments.embeddable_demo# embeddable-loss proof of concept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