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00" w:after="80"/>
      </w:pPr>
      <w:r>
        <w:rPr>
          <w:rFonts w:ascii="Times New Roman" w:hAnsi="Times New Roman" w:eastAsia="Times New Roman"/>
          <w:b/>
          <w:i w:val="0"/>
          <w:sz w:val="21"/>
        </w:rPr>
        <w:t>Supplementary Table 1. Complete logistic regression models for associations between LBR and clinical outcomes</w:t>
      </w:r>
    </w:p>
    <w:tbl>
      <w:tblPr>
        <w:tblStyle w:val="TableGrid"/>
        <w:tblW w:type="dxa" w:w="11807"/>
        <w:jc w:val="center"/>
        <w:tblLook w:firstColumn="1" w:firstRow="1" w:lastColumn="0" w:lastRow="0" w:noHBand="0" w:noVBand="1" w:val="04A0"/>
        <w:tblLayout w:type="fixed"/>
      </w:tblPr>
      <w:tblGrid>
        <w:gridCol w:w="1152"/>
        <w:gridCol w:w="2808"/>
        <w:gridCol w:w="2160"/>
        <w:gridCol w:w="979"/>
        <w:gridCol w:w="936"/>
        <w:gridCol w:w="1180"/>
        <w:gridCol w:w="1800"/>
        <w:gridCol w:w="792"/>
      </w:tblGrid>
      <w:tr>
        <w:trPr>
          <w:tblHeader w:val="true"/>
        </w:trPr>
        <w:tc>
          <w:tcPr>
            <w:tcW w:type="dxa" w:w="1152"/>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Cohort</w:t>
            </w:r>
          </w:p>
        </w:tc>
        <w:tc>
          <w:tcPr>
            <w:tcW w:type="dxa" w:w="2808"/>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Outcome</w:t>
            </w:r>
          </w:p>
        </w:tc>
        <w:tc>
          <w:tcPr>
            <w:tcW w:type="dxa" w:w="216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Exposure</w:t>
            </w:r>
          </w:p>
        </w:tc>
        <w:tc>
          <w:tcPr>
            <w:tcW w:type="dxa" w:w="979"/>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Model</w:t>
            </w:r>
          </w:p>
        </w:tc>
        <w:tc>
          <w:tcPr>
            <w:tcW w:type="dxa" w:w="936"/>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Patients</w:t>
            </w:r>
          </w:p>
        </w:tc>
        <w:tc>
          <w:tcPr>
            <w:tcW w:type="dxa" w:w="118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Events</w:t>
            </w:r>
          </w:p>
        </w:tc>
        <w:tc>
          <w:tcPr>
            <w:tcW w:type="dxa" w:w="180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OR (95% CI)</w:t>
            </w:r>
          </w:p>
        </w:tc>
        <w:tc>
          <w:tcPr>
            <w:tcW w:type="dxa" w:w="792"/>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P value</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1.72 (1.35-2.20)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3.77 (3.00-4.72)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4.61 (3.73-5.70)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1.61 (1.26-2.06)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3.16 (2.51-4.00)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3.98 (3.20-4.94)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1.38 (1.06-1.78)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1.98 (1.53-2.57)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2.43 (1.90-3.11)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1.70 (1.33-2.17)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3.65 (2.91-4.58)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678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4.29 (3.48-5.29)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1.59 (1.24-2.03)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3.07 (2.43-3.88)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678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3.70 (2.99-4.59)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1.36 (1.05-1.76)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0.021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1.91 (1.48-2.48)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678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2.22 (1.74-2.84)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2.56 (0.50-13.24)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0.262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13.99 (3.32-58.87)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16.11 (9.00-28.82)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2.30 (0.44-11.92)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0.321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10.50 (2.45-44.98)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14.69 (8.10-26.65)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1.79 (0.34-9.55)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0.493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4.22 (0.92-19.29)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0.064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8.24 (3.84-17.65)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1.71 (0.41-7.16)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0.465</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10.34 (3.15-33.95)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12.65 (7.35-21.77)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1.58 (0.38-6.66)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0.532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8.37 (2.50-27.99)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11.69 (6.70-20.39)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1.26 (0.30-5.40)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0.753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3.80 (1.07-13.54)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0.039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7.11 (3.51-14.38)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1.51 (1.03-2.22)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0.034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5.77 (4.15-8.02)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7.35 (5.63-9.58)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1.44 (0.98-2.12)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0.064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5.06 (3.62-7.09)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6.70 (5.10-8.79)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1.18 (0.79-1.78)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0.412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2.92 (2.01-4.24)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3.69 (2.69-5.06)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1.20 (0.99-1.46)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0.059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1.76 (1.46-2.12)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1045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1.87 (1.57-2.23)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1.09 (0.89-1.32)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0.417</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1.39 (1.15-1.70)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1045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1.52 (1.26-1.82)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0.98 (0.79-1.20)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0.822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429</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1.05 (0.84-1.31)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0.688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1045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1.09 (0.87-1.35)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0.454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1.84 (1.47-2.31)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418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3.88 (3.13-4.80)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4.47 (3.64-5.49)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1.72 (1.36-2.16)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418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3.27 (2.62-4.08)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3.83 (3.11-4.72)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1.48 (1.16-1.88)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418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2.08 (1.62-2.65)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2.34 (1.84-2.97)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1.17 (0.59-2.31)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0.658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2.89 (1.73-4.82)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2.17 (1.58-2.97)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1.02 (0.50-2.05)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0.963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2.63 (1.56-4.44)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2.06 (1.49-2.84)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1.12 (0.52-2.41)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0.781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2.05 (1.10-3.80)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0.023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1.66 (1.13-2.45)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1.25 (0.63-2.49)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0.520</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2.19 (1.29-3.72)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1.49 (1.10-2.04)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1.11 (0.55-2.25)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0.772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1.98 (1.15-3.39)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1.40 (1.02-1.92)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0.039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1.24 (0.58-2.67)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0.574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1.70 (0.91-3.19)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0.098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cohort-specific 75th percentile</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1.17 (0.80-1.72)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0.411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2.79 (0.55-14.19)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0.216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8.08 (2.29-28.58)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5.46 (2.93-10.17)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2.53 (0.49-13.06)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0.268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7.20 (2.02-25.75)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5.29 (2.82-9.93)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1.60 (0.22-11.69)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0.641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2.81 (0.65-12.19)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0.166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In-hospital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3.45 (1.56-7.65)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2.79 (0.55-14.19)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0.216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7.48 (2.10-26.62)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5.51 (2.92-10.38)</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2.53 (0.49-13.06)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0.266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6.74 (1.87-24.25)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5.32 (2.80-10.09)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1.54 (0.21-11.10)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0.667</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2.79 (0.64-12.14)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0.173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ICU 28-day mortality</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3.67 (1.64-8.19)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0.002</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2.65 (1.47-4.80)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3.67 (2.24-6.00)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2.22 (1.64-3.03)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2.50 (1.37-4.57)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3.43 (2.09-5.65)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2.13 (1.56-2.91)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3.10 (1.63-5.91)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3.35 (1.89-5.93)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Invasive ventilation &gt;24 h</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2.04 (1.41-2.94)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0.66 (0.28-1.51)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0.323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1.15 (0.63-2.07)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0.653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1.24 (0.87-1.77)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0.227</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0.64 (0.28-1.50)</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0.308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1.11 (0.61-2.01)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0.744</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1.21 (0.85-1.73)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0.299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0.67 (0.28-1.64)</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0.383</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24</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1.10 (0.55-2.19)</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0.788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AKI</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63</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1.27 (0.83-1.96)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0.267</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1.29 (0.72-2.32)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0.396</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3.19 (1.97-5.17)</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2.09 (1.54-2.83)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1.18 (0.65-2.15)</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0.579</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2.99 (1.83-4.86)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2.00 (1.47-2.73)</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Middle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1.34 (0.70-2.56)</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0.378</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High vs low 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76</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2.51 (1.43-4.42)</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0.001</w:t>
            </w:r>
          </w:p>
        </w:tc>
      </w:tr>
      <w:tr>
        <w:tc>
          <w:tcPr>
            <w:tcW w:type="dxa" w:w="115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808"/>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outcome using ICU stay &gt;3 d</w:t>
            </w:r>
          </w:p>
        </w:tc>
        <w:tc>
          <w:tcPr>
            <w:tcW w:type="dxa" w:w="216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Per 1-unit increase in ln(LBR)</w:t>
            </w:r>
          </w:p>
        </w:tc>
        <w:tc>
          <w:tcPr>
            <w:tcW w:type="dxa" w:w="979"/>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936"/>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363</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162</w:t>
            </w:r>
          </w:p>
        </w:tc>
        <w:tc>
          <w:tcPr>
            <w:tcW w:type="dxa" w:w="180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1.74 (1.21-2.51)</w:t>
            </w:r>
          </w:p>
        </w:tc>
        <w:tc>
          <w:tcPr>
            <w:tcW w:type="dxa" w:w="792"/>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0.003</w:t>
            </w:r>
          </w:p>
        </w:tc>
      </w:tr>
    </w:tbl>
    <w:p>
      <w:pPr>
        <w:spacing w:before="80" w:after="180" w:line="252" w:lineRule="auto"/>
      </w:pPr>
      <w:r>
        <w:rPr>
          <w:rFonts w:ascii="Times New Roman" w:hAnsi="Times New Roman" w:eastAsia="Times New Roman"/>
          <w:b w:val="0"/>
          <w:i w:val="0"/>
          <w:sz w:val="16"/>
        </w:rPr>
        <w:t>Note. Models were estimated after multiple imputation of missing adjustment covariates; LBR exposure and outcome variables were not imputed. For categorical LBR exposure rows, patients and events denote the number of patients and outcome events in the corresponding LBR group; the low-LBR group was used as the reference category. For continuous ln(LBR) rows, patients and events denote the total analysis sample size and total outcome-event count. Model 1 was unadjusted. Model 2 was adjusted for age, sex, and body mass index. Model 3 was further adjusted for hypertension, diabetes, congestive heart failure, chronic kidney disease, SOFA score, creatinine, hemoglobin, white blood cell count, platelet count, heart rate, and mean arterial pressure. Results are presented as ORs with 95% CIs and P values. CI, confidence interval; ICU, intensive care unit; LBR, lactate-to-bicarbonate ratio; OR, odds ratio; SOFA, Sequential Organ Failure Assessment.</w:t>
      </w:r>
    </w:p>
    <w:p>
      <w:r>
        <w:br w:type="page"/>
      </w:r>
    </w:p>
    <w:p>
      <w:pPr>
        <w:keepNext/>
        <w:spacing w:before="200" w:after="80"/>
      </w:pPr>
      <w:r>
        <w:rPr>
          <w:rFonts w:ascii="Times New Roman" w:hAnsi="Times New Roman" w:eastAsia="Times New Roman"/>
          <w:b/>
          <w:i w:val="0"/>
          <w:sz w:val="21"/>
        </w:rPr>
        <w:t>Supplementary Table 2. Sensitivity analyses for associations between LBR and clinical outcomes</w:t>
      </w:r>
    </w:p>
    <w:tbl>
      <w:tblPr>
        <w:tblStyle w:val="TableGrid"/>
        <w:tblW w:type="dxa" w:w="12268"/>
        <w:jc w:val="center"/>
        <w:tblLook w:firstColumn="1" w:firstRow="1" w:lastColumn="0" w:lastRow="0" w:noHBand="0" w:noVBand="1" w:val="04A0"/>
        <w:tblLayout w:type="fixed"/>
      </w:tblPr>
      <w:tblGrid>
        <w:gridCol w:w="1800"/>
        <w:gridCol w:w="1036"/>
        <w:gridCol w:w="2232"/>
        <w:gridCol w:w="835"/>
        <w:gridCol w:w="1944"/>
        <w:gridCol w:w="864"/>
        <w:gridCol w:w="1180"/>
        <w:gridCol w:w="1655"/>
        <w:gridCol w:w="720"/>
      </w:tblGrid>
      <w:tr>
        <w:trPr>
          <w:tblHeader w:val="true"/>
        </w:trPr>
        <w:tc>
          <w:tcPr>
            <w:tcW w:type="dxa" w:w="180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Analysis</w:t>
            </w:r>
          </w:p>
        </w:tc>
        <w:tc>
          <w:tcPr>
            <w:tcW w:type="dxa" w:w="1036"/>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Cohort</w:t>
            </w:r>
          </w:p>
        </w:tc>
        <w:tc>
          <w:tcPr>
            <w:tcW w:type="dxa" w:w="2232"/>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Outcome</w:t>
            </w:r>
          </w:p>
        </w:tc>
        <w:tc>
          <w:tcPr>
            <w:tcW w:type="dxa" w:w="835"/>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Model</w:t>
            </w:r>
          </w:p>
        </w:tc>
        <w:tc>
          <w:tcPr>
            <w:tcW w:type="dxa" w:w="1944"/>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Exposure</w:t>
            </w:r>
          </w:p>
        </w:tc>
        <w:tc>
          <w:tcPr>
            <w:tcW w:type="dxa" w:w="864"/>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Patients</w:t>
            </w:r>
          </w:p>
        </w:tc>
        <w:tc>
          <w:tcPr>
            <w:tcW w:type="dxa" w:w="118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Events</w:t>
            </w:r>
          </w:p>
        </w:tc>
        <w:tc>
          <w:tcPr>
            <w:tcW w:type="dxa" w:w="1655"/>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OR (95% CI)</w:t>
            </w:r>
          </w:p>
        </w:tc>
        <w:tc>
          <w:tcPr>
            <w:tcW w:type="dxa" w:w="720"/>
            <w:tcMar>
              <w:top w:w="80" w:type="dxa"/>
              <w:bottom w:w="80" w:type="dxa"/>
              <w:start w:w="90" w:type="dxa"/>
              <w:end w:w="90" w:type="dxa"/>
            </w:tcMar>
            <w:shd w:fill="F2F2F2"/>
            <w:vAlign w:val="center"/>
          </w:tcPr>
          <w:p>
            <w:pPr>
              <w:spacing w:after="0"/>
              <w:jc w:val="center"/>
            </w:pPr>
            <w:r/>
            <w:r>
              <w:rPr>
                <w:rFonts w:ascii="Times New Roman" w:hAnsi="Times New Roman" w:eastAsia="Times New Roman"/>
                <w:b/>
                <w:i w:val="0"/>
                <w:sz w:val="14"/>
              </w:rPr>
              <w:t>P value</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1.71 (1.34-2.18)</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958</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334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3.53 (2.81-4.44)</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2849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4.23 (3.40-5.27)</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1.60 (1.25-2.05)</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958</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334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2.99 (2.36-3.78)</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2849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3.65 (2.92-4.57)</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1.37 (1.06-1.78)</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0.017</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958</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334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1.92 (1.48-2.50)</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2849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652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2.26 (1.75-2.91)</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1.02 (0.49-2.12)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0.962</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2.24 (1.29-3.89)</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0.004</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1.69 (1.18-2.41)</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0.004</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0.89 (0.42-1.88)</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0.751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2.06 (1.18-3.62)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0.012</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1.61 (1.12-2.32)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0.010</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1.07 (0.47-2.41)</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0.873</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1.92 (1.01-3.67)</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0.048</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Hospital-survivor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eICU-CRD</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Prolonged ICU stay among hospital survivors</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342</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82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1.42 (0.93-2.16)</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0.100</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785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1.41 (1.15-1.74)</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2.36 (1.91-2.91)</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ln(first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2.08 (1.73-2.50)</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785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1.31 (1.06-1.62)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0.011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1.94 (1.56-2.42)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ln(first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1.78 (1.48-2.15)</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785</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1.13 (0.90-1.42)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0.297</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607</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214</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1.25 (0.97-1.60)</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0.085</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First-LBR alternative exposure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Per 1-unit increase in ln(first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2884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687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1.20 (0.98-1.48)</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0.083</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1.72 (1.35-2.20)</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3.77 (3.00-4.72)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1</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Missing LBR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3.91 (2.88-5.32)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1.60 (1.25-2.05)</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3.14 (2.49-3.97)</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2</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Missing LBR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3.47 (2.54-4.74)</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Middle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939</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197</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1.41 (1.09-1.82)</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0.009</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High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986</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362</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2.13 (1.65-2.75)</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r>
        <w:tc>
          <w:tcPr>
            <w:tcW w:type="dxa" w:w="1800"/>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Missing-indicator analysis</w:t>
            </w:r>
          </w:p>
        </w:tc>
        <w:tc>
          <w:tcPr>
            <w:tcW w:type="dxa" w:w="1036"/>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MIMIC-IV</w:t>
            </w:r>
          </w:p>
        </w:tc>
        <w:tc>
          <w:tcPr>
            <w:tcW w:type="dxa" w:w="2232"/>
            <w:tcMar>
              <w:top w:w="80" w:type="dxa"/>
              <w:bottom w:w="80" w:type="dxa"/>
              <w:start w:w="90" w:type="dxa"/>
              <w:end w:w="90" w:type="dxa"/>
            </w:tcMar>
            <w:vAlign w:val="center"/>
          </w:tcPr>
          <w:p>
            <w:pPr>
              <w:spacing w:after="0" w:line="240" w:lineRule="auto"/>
              <w:jc w:val="left"/>
            </w:pPr>
            <w:r/>
            <w:r>
              <w:rPr>
                <w:rFonts w:ascii="Times New Roman" w:hAnsi="Times New Roman" w:eastAsia="Times New Roman"/>
                <w:b w:val="0"/>
                <w:i w:val="0"/>
                <w:sz w:val="14"/>
              </w:rPr>
              <w:t>Composite adverse ICU outcome</w:t>
            </w:r>
          </w:p>
        </w:tc>
        <w:tc>
          <w:tcPr>
            <w:tcW w:type="dxa" w:w="83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Model 3</w:t>
            </w:r>
          </w:p>
        </w:tc>
        <w:tc>
          <w:tcPr>
            <w:tcW w:type="dxa" w:w="194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Missing LBR vs low LBR</w:t>
            </w:r>
          </w:p>
        </w:tc>
        <w:tc>
          <w:tcPr>
            <w:tcW w:type="dxa" w:w="864"/>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274</w:t>
            </w:r>
          </w:p>
        </w:tc>
        <w:tc>
          <w:tcPr>
            <w:tcW w:type="dxa" w:w="118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103</w:t>
            </w:r>
          </w:p>
        </w:tc>
        <w:tc>
          <w:tcPr>
            <w:tcW w:type="dxa" w:w="1655"/>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4.33 (2.98-6.31)</w:t>
            </w:r>
          </w:p>
        </w:tc>
        <w:tc>
          <w:tcPr>
            <w:tcW w:type="dxa" w:w="720"/>
            <w:tcMar>
              <w:top w:w="80" w:type="dxa"/>
              <w:bottom w:w="80" w:type="dxa"/>
              <w:start w:w="90" w:type="dxa"/>
              <w:end w:w="90" w:type="dxa"/>
            </w:tcMar>
            <w:vAlign w:val="center"/>
          </w:tcPr>
          <w:p>
            <w:pPr>
              <w:spacing w:after="0" w:line="240" w:lineRule="auto"/>
              <w:jc w:val="center"/>
            </w:pPr>
            <w:r/>
            <w:r>
              <w:rPr>
                <w:rFonts w:ascii="Times New Roman" w:hAnsi="Times New Roman" w:eastAsia="Times New Roman"/>
                <w:b w:val="0"/>
                <w:i w:val="0"/>
                <w:sz w:val="14"/>
              </w:rPr>
              <w:t>&lt;0.001</w:t>
            </w:r>
          </w:p>
        </w:tc>
      </w:tr>
    </w:tbl>
    <w:p>
      <w:pPr>
        <w:spacing w:before="80" w:after="180" w:line="252" w:lineRule="auto"/>
      </w:pPr>
      <w:r>
        <w:rPr>
          <w:rFonts w:ascii="Times New Roman" w:hAnsi="Times New Roman" w:eastAsia="Times New Roman"/>
          <w:b w:val="0"/>
          <w:i w:val="0"/>
          <w:sz w:val="16"/>
        </w:rPr>
        <w:t>Note. This table summarizes prespecified sensitivity analyses, including prolonged ICU stay among hospital survivors, first lactate/first bicarbonate as an alternative exposure definition, and a missing-indicator analysis in which MIMIC-IV patients with missing LBR were included as a separate category. Missing adjustment covariates were handled by multiple imputation; LBR exposure and outcome variables were not imputed. For categorical exposure rows, patients and events denote the number of patients and outcome events in the corresponding LBR group or missing-LBR group. For continuous ln(LBR) or ln(first LBR) rows, patients and events denote the total analysis sample size and total outcome-event count. The hospital-survivor analysis was used to reduce the influence of early death on ICU length of stay. The first-LBR analysis evaluated robustness to exposure definition. The missing-indicator analysis evaluated potential selection related to missing LBR values. Results are presented as ORs with 95% CIs and P values. CI, confidence interval; ICU, intensive care unit; LBR, lactate-to-bicarbonate ratio; OR, odds ratio.</w:t>
      </w:r>
    </w:p>
    <w:sectPr w:rsidR="00FC693F" w:rsidRPr="0006063C" w:rsidSect="00034616">
      <w:pgSz w:w="15840" w:h="12240" w:orient="landscape"/>
      <w:pgMar w:top="864" w:right="792" w:bottom="864"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