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901" w:rsidRPr="00210DE5" w:rsidRDefault="00000000" w:rsidP="00210DE5">
      <w:pPr>
        <w:pStyle w:val="Ttulo1"/>
        <w:rPr>
          <w:b/>
          <w:bCs/>
        </w:rPr>
      </w:pPr>
      <w:r w:rsidRPr="00210DE5">
        <w:rPr>
          <w:b/>
          <w:bCs/>
        </w:rPr>
        <w:t xml:space="preserve">Online Resource 3. STROBE Statement </w:t>
      </w:r>
      <w:r w:rsidR="00210DE5">
        <w:rPr>
          <w:b/>
          <w:bCs/>
        </w:rPr>
        <w:t>-</w:t>
      </w:r>
      <w:r w:rsidRPr="00210DE5">
        <w:rPr>
          <w:b/>
          <w:bCs/>
        </w:rPr>
        <w:t xml:space="preserve"> Checklist for cohort studies</w:t>
      </w:r>
    </w:p>
    <w:p w:rsidR="00210DE5" w:rsidRDefault="00210DE5">
      <w:pPr>
        <w:spacing w:after="120"/>
        <w:rPr>
          <w:i/>
          <w:iCs/>
        </w:rPr>
      </w:pPr>
    </w:p>
    <w:p w:rsidR="00347901" w:rsidRDefault="00000000">
      <w:pPr>
        <w:spacing w:after="120"/>
      </w:pPr>
      <w:r>
        <w:rPr>
          <w:i/>
          <w:iCs/>
        </w:rPr>
        <w:t>Manuscript: "Clinical, microbiological and antimicrobial resistance profile of complicated urinary tract infections managed in a Hospital-at-Home programme: a prospective observational cohort study"</w:t>
      </w:r>
    </w:p>
    <w:p w:rsidR="00347901" w:rsidRDefault="00347901">
      <w:pPr>
        <w:spacing w:after="200"/>
      </w:pPr>
    </w:p>
    <w:p w:rsidR="00347901" w:rsidRDefault="00000000">
      <w:pPr>
        <w:spacing w:after="120"/>
      </w:pPr>
      <w:r>
        <w:rPr>
          <w:b/>
          <w:bCs/>
        </w:rPr>
        <w:t>Title:</w:t>
      </w:r>
    </w:p>
    <w:p w:rsidR="00347901" w:rsidRDefault="00000000">
      <w:pPr>
        <w:spacing w:after="120"/>
      </w:pPr>
      <w:r>
        <w:t>Clinical, microbiological and antimicrobial resistance profile of complicated urinary tract infections managed in a Hospital-at-Home programme: a prospective observational cohort study</w:t>
      </w:r>
    </w:p>
    <w:p w:rsidR="00347901" w:rsidRDefault="00000000">
      <w:pPr>
        <w:spacing w:after="120"/>
      </w:pPr>
      <w:r>
        <w:rPr>
          <w:b/>
          <w:bCs/>
        </w:rPr>
        <w:t>Authors:</w:t>
      </w:r>
    </w:p>
    <w:p w:rsidR="00347901" w:rsidRDefault="00000000">
      <w:pPr>
        <w:spacing w:after="120"/>
      </w:pPr>
      <w:r>
        <w:t>Lira Pelari Mici¹, Elena Arranz Canales², Alexia Constanza Espiño Álvarez², Eva María Fernández Bermejo², Ángela Sánchez Juez², Victoria Gutiérrez Gómez-Lus², Fernando Ruiz Berraco², Saida Alonso Marrero², Jaime Bustos Carpio², José Curbelo³, Eduardo Albers Acosta⁴, Pablo Rodríguez Cortés².</w:t>
      </w:r>
    </w:p>
    <w:p w:rsidR="00347901" w:rsidRDefault="00000000">
      <w:pPr>
        <w:spacing w:after="120"/>
      </w:pPr>
      <w:r>
        <w:rPr>
          <w:b/>
          <w:bCs/>
        </w:rPr>
        <w:t>Affiliations:</w:t>
      </w:r>
    </w:p>
    <w:p w:rsidR="00347901" w:rsidRDefault="00000000">
      <w:pPr>
        <w:spacing w:after="120"/>
      </w:pPr>
      <w:r>
        <w:t>1. Department of Urology, Hospital Universitario de La Princesa, Madrid, Spain.</w:t>
      </w:r>
    </w:p>
    <w:p w:rsidR="00347901" w:rsidRDefault="00000000">
      <w:pPr>
        <w:spacing w:after="120"/>
      </w:pPr>
      <w:r>
        <w:t>2. Hospital-at-Home Unit, Hospital Universitario de La Princesa, Madrid, Spain.</w:t>
      </w:r>
    </w:p>
    <w:p w:rsidR="00347901" w:rsidRDefault="00000000">
      <w:pPr>
        <w:spacing w:after="120"/>
      </w:pPr>
      <w:r>
        <w:t>3. Faculty of Medicine, Universidad Francisco de Vitoria, Madrid, Spain.</w:t>
      </w:r>
    </w:p>
    <w:p w:rsidR="00347901" w:rsidRDefault="00000000">
      <w:pPr>
        <w:spacing w:after="120"/>
      </w:pPr>
      <w:r>
        <w:t>4. Department of Urology, University Hospital Basel, Basel, Switzerland.</w:t>
      </w:r>
    </w:p>
    <w:p w:rsidR="00347901" w:rsidRDefault="00000000">
      <w:pPr>
        <w:spacing w:after="120"/>
      </w:pPr>
      <w:r>
        <w:rPr>
          <w:b/>
          <w:bCs/>
        </w:rPr>
        <w:t>Corresponding author:</w:t>
      </w:r>
    </w:p>
    <w:p w:rsidR="00347901" w:rsidRDefault="00000000">
      <w:pPr>
        <w:spacing w:after="120"/>
      </w:pPr>
      <w:r>
        <w:t>Lira Pelari Mici, lira.pelari@gmail.com, C/ Diego de León 62, 28006 Madrid, Spain</w:t>
      </w:r>
    </w:p>
    <w:p w:rsidR="00347901" w:rsidRDefault="00347901">
      <w:pPr>
        <w:spacing w:after="200"/>
      </w:pPr>
    </w:p>
    <w:tbl>
      <w:tblPr>
        <w:tblW w:w="12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100"/>
        <w:gridCol w:w="4800"/>
        <w:gridCol w:w="4700"/>
      </w:tblGrid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D9D9D9"/>
          </w:tcPr>
          <w:p w:rsidR="00347901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Item No</w:t>
            </w:r>
          </w:p>
        </w:tc>
        <w:tc>
          <w:tcPr>
            <w:tcW w:w="2100" w:type="dxa"/>
            <w:shd w:val="clear" w:color="auto" w:fill="D9D9D9"/>
          </w:tcPr>
          <w:p w:rsidR="00347901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Recommendation</w:t>
            </w:r>
          </w:p>
        </w:tc>
        <w:tc>
          <w:tcPr>
            <w:tcW w:w="4800" w:type="dxa"/>
            <w:shd w:val="clear" w:color="auto" w:fill="D9D9D9"/>
          </w:tcPr>
          <w:p w:rsidR="00347901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STROBE checklist (cohort)</w:t>
            </w:r>
          </w:p>
        </w:tc>
        <w:tc>
          <w:tcPr>
            <w:tcW w:w="4700" w:type="dxa"/>
            <w:shd w:val="clear" w:color="auto" w:fill="D9D9D9"/>
          </w:tcPr>
          <w:p w:rsidR="00347901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Reported in manuscript (section)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Title and abstract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(a) Indicate the study's design with a commonly used term in the title or the abstract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(b) Provide in the abstract an informative and balanced summary of what was done and what was found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Abstract - Methods ("Prospective observational single-centre cohort")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Abstract (Purpose / Methods / Results / Conclusion)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Background / rationale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Explain the scientific background and rationale for the investigation being reported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Introduction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Objectives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State specific objectives, including any prespecified hypotheses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Introduction, final paragraph (primary and secondary, exploratory objectives)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Study design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Present key elements of study design early in the paper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Study design and population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Setting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Describe the setting, locations and relevant dates, including periods of recruitment, exposure, follow-up, and data collection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Study design and population (HaH Unit of a tertiary teaching hospital in Madrid, Spain; March 2023-October 2025)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Participants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(a) Cohort study - Give the eligibility criteria, and the sources and methods of selection of participants. Describe methods of follow-up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(b) Cohort study - For matched studies, give matching criteria and number of exposed and unexposed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Study design and population (all consecutive cUTI episodes; admission-avoidance and early-discharge pathways) + Online Resource 1 (inclusion and exclusion criteria); 30-day follow-up described in Methods, Variables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Not applicable (single descriptive cohort; no matching)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Variables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Definitions; Methods, Variables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Data sources / measurement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Variables (purpose-built structured prospective database with periodic quality-control checks); Methods, Definitions (EAU 2024 Guidelines; Sepsis-3 criteria; predefined clinical-cure definition)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Bias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Describe any efforts to address potential sources of bias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Study design and population (consecutive inclusion of all eligible episodes); Methods, Variables (prospective standardised data collection); Discussion, Limitations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Study size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Explain how the study size was arrived at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Study design and population (all consecutive cUTI episodes during the inclusion period; n = 262); Discussion, Limitations (low events-per-variable ratio acknowledged)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Quantitative variables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Statistical analysis (continuous variables summarised as median/IQR; categorical as n/%). Age also categorised at &gt;65 and &gt;80 years for descriptive purposes (Table 1)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Statistical methods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(a) Describe all statistical methods, including those used to control for confounding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(b) Describe any methods used to examine subgroups and interactions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(c) Explain how missing data were addressed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(d) Cohort study - If applicable, explain how loss to follow-up was addressed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(e) Describe any sensitivity analyses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Statistical analysis (Mann-Whitney U test; chi-squared with Yates correction or Fisher's exact test; exploratory multivariable logistic regression with candidate variables selected by clinical relevance and bivariate association, avoiding inclusion of highly collinear geriatric markers)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Not applicable (no formal subgroup or interaction analyses planned)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Statistical analysis: "No missing values were recorded for the variables included in the analyses, owing to the prospective and structured data-collection process." No imputation procedures were required. Stated also in footnotes of Tables 1 and 2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Methods, Variables: 30-day follow-up ascertained from the integrated electronic health record of the catchment area; patients with no recorded healthcare contact were classified as event-free; loss to follow-up considered negligible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Not performed in this descriptive cohort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Participants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(a) Report numbers of individuals at each stage of study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(b) Give reasons for non-participation at each stage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(c) Consider use of a flow diagram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Results, Baseline characteristics of the cohort: "All 262 consecutive cUTI episodes managed in the HaH Unit during the study period met the eligibility criteria and were included in the analysis; no patients were lost to 30-day follow-up (Fig. 1)"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Not applicable - consecutive inclusion of all eligible episodes; no non-participation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lastRenderedPageBreak/>
              <w:t>Fig. 1 - Patient flow diagram (262 consecutive episodes; complete 30-day follow-up; components of the composite endpoint)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Descriptive data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(a) Give characteristics of study participants and information on exposures and potential confounders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(b) Indicate number of participants with missing data for each variable of interest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(c) Cohort study - Summarise follow-up time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Results, Baseline characteristics of the cohort + Table 1; Results, Urological and microbiological characteristics + Table 2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No missing data for any variable; explicitly stated in footnotes of Tables 1 and 2 and applicable to Tables 3 and 4 given the prospective structured data collection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Results, Antimicrobial therapy and management in Hospital-at-Home (median HaH stay 4 days, IQR 3); 30-day post-discharge follow-up window stated in Methods, Variables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Outcome data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Cohort study - Report numbers of outcome events or summary measures over time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Results, Clinical outcomes during the HaH episode + 30-day outcomes + Table 3 (clinical cure, in-HaH unplanned transfer, in-HaH deaths, 30-day readmission, 30-day death, composite endpoint)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Main results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(a) Give unadjusted estimates and, if applicable, confounder-adjusted estimates and their precision (e.g., 95% CI)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(b) Report category boundaries when continuous variables were categorised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(c) If relevant, consider translating estimates of relative risk into absolute risk for a meaningful time period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Results, Factors associated with the 30-day composite endpoint + Table 4 (bivariate analysis); exploratory multivariable logistic regression with OR and 95% CI for older age and prior urological manipulation, with rationale for variable selection described in Methods, Statistical analysis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Age categorised at &gt;65 and &gt;80 years (Table 1)</w:t>
            </w:r>
          </w:p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Not applicable (descriptive cohort)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Other analyses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Report other analyses done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None performed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Key results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Summarise key results with reference to study objectives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Discussion, Main findings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Limitations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Discuss limitations of the study, taking into account sources of potential bias or imprecision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Discussion, Limitations (single-centre design, absence of a concurrent conventional-hospitalisation comparator, heterogeneous composite endpoint, low events-per-variable ratio, 30-day follow-up window, outcomes not captured)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Interpretation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Discussion, Comparison with previous literature; Discussion, Antimicrobial stewardship considerations; Discussion, Exploratory factors associated with the composite endpoint; Discussion, Clinical implications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Generalisability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Discuss the generalisability (external validity) of the study results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Discussion, Limitations (single urban tertiary centre with defined catchment area)</w:t>
            </w:r>
          </w:p>
        </w:tc>
      </w:tr>
      <w:tr w:rsidR="00347901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Funding</w:t>
            </w:r>
          </w:p>
        </w:tc>
        <w:tc>
          <w:tcPr>
            <w:tcW w:w="48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Give the source of funding and the role of the funders</w:t>
            </w:r>
          </w:p>
        </w:tc>
        <w:tc>
          <w:tcPr>
            <w:tcW w:w="4700" w:type="dxa"/>
          </w:tcPr>
          <w:p w:rsidR="00347901" w:rsidRDefault="00000000">
            <w:pPr>
              <w:spacing w:after="60"/>
            </w:pPr>
            <w:r>
              <w:rPr>
                <w:sz w:val="16"/>
                <w:szCs w:val="16"/>
              </w:rPr>
              <w:t>Statements and Declarations - Funding (no specific grant from any funding agency)</w:t>
            </w:r>
          </w:p>
        </w:tc>
      </w:tr>
    </w:tbl>
    <w:p w:rsidR="00347901" w:rsidRDefault="00000000">
      <w:pPr>
        <w:spacing w:before="200" w:after="100"/>
      </w:pPr>
      <w:r>
        <w:rPr>
          <w:i/>
          <w:iCs/>
          <w:sz w:val="16"/>
          <w:szCs w:val="16"/>
        </w:rPr>
        <w:t>All STROBE items have been addressed in the final manuscript. An editable Online Resource 1 (inclusion and exclusion criteria for HaH admission) and Online Resource 2 (description of the HaH Unit) accompany this checklist. The completed STROBE checklist is provided in accordance with the EQUATOR Network recommendations for reporting of observational cohort studies.</w:t>
      </w:r>
    </w:p>
    <w:sectPr w:rsidR="00347901" w:rsidSect="00210DE5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410"/>
    <w:multiLevelType w:val="hybridMultilevel"/>
    <w:tmpl w:val="A496969C"/>
    <w:lvl w:ilvl="0" w:tplc="87648CE0">
      <w:start w:val="1"/>
      <w:numFmt w:val="bullet"/>
      <w:lvlText w:val="●"/>
      <w:lvlJc w:val="left"/>
      <w:pPr>
        <w:ind w:left="720" w:hanging="360"/>
      </w:pPr>
    </w:lvl>
    <w:lvl w:ilvl="1" w:tplc="E67842D4">
      <w:start w:val="1"/>
      <w:numFmt w:val="bullet"/>
      <w:lvlText w:val="○"/>
      <w:lvlJc w:val="left"/>
      <w:pPr>
        <w:ind w:left="1440" w:hanging="360"/>
      </w:pPr>
    </w:lvl>
    <w:lvl w:ilvl="2" w:tplc="4BA8E22E">
      <w:start w:val="1"/>
      <w:numFmt w:val="bullet"/>
      <w:lvlText w:val="■"/>
      <w:lvlJc w:val="left"/>
      <w:pPr>
        <w:ind w:left="2160" w:hanging="360"/>
      </w:pPr>
    </w:lvl>
    <w:lvl w:ilvl="3" w:tplc="C09467B0">
      <w:start w:val="1"/>
      <w:numFmt w:val="bullet"/>
      <w:lvlText w:val="●"/>
      <w:lvlJc w:val="left"/>
      <w:pPr>
        <w:ind w:left="2880" w:hanging="360"/>
      </w:pPr>
    </w:lvl>
    <w:lvl w:ilvl="4" w:tplc="6354FFF0">
      <w:start w:val="1"/>
      <w:numFmt w:val="bullet"/>
      <w:lvlText w:val="○"/>
      <w:lvlJc w:val="left"/>
      <w:pPr>
        <w:ind w:left="3600" w:hanging="360"/>
      </w:pPr>
    </w:lvl>
    <w:lvl w:ilvl="5" w:tplc="60CE179E">
      <w:start w:val="1"/>
      <w:numFmt w:val="bullet"/>
      <w:lvlText w:val="■"/>
      <w:lvlJc w:val="left"/>
      <w:pPr>
        <w:ind w:left="4320" w:hanging="360"/>
      </w:pPr>
    </w:lvl>
    <w:lvl w:ilvl="6" w:tplc="6492CFE0">
      <w:start w:val="1"/>
      <w:numFmt w:val="bullet"/>
      <w:lvlText w:val="●"/>
      <w:lvlJc w:val="left"/>
      <w:pPr>
        <w:ind w:left="5040" w:hanging="360"/>
      </w:pPr>
    </w:lvl>
    <w:lvl w:ilvl="7" w:tplc="6972C76C">
      <w:start w:val="1"/>
      <w:numFmt w:val="bullet"/>
      <w:lvlText w:val="●"/>
      <w:lvlJc w:val="left"/>
      <w:pPr>
        <w:ind w:left="5760" w:hanging="360"/>
      </w:pPr>
    </w:lvl>
    <w:lvl w:ilvl="8" w:tplc="0FE04D06">
      <w:start w:val="1"/>
      <w:numFmt w:val="bullet"/>
      <w:lvlText w:val="●"/>
      <w:lvlJc w:val="left"/>
      <w:pPr>
        <w:ind w:left="6480" w:hanging="360"/>
      </w:pPr>
    </w:lvl>
  </w:abstractNum>
  <w:num w:numId="1" w16cid:durableId="1434203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01"/>
    <w:rsid w:val="00210DE5"/>
    <w:rsid w:val="00294AA9"/>
    <w:rsid w:val="0034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AA95"/>
  <w15:docId w15:val="{DA3FC5C9-81F0-6C47-BABE-4B1E2DB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STROBE checklist - Online Resource 3</dc:title>
  <dc:creator>EJCMID submission</dc:creator>
  <cp:lastModifiedBy>Pablo Rodríguez Cortés</cp:lastModifiedBy>
  <cp:revision>2</cp:revision>
  <dcterms:created xsi:type="dcterms:W3CDTF">2026-07-19T13:15:00Z</dcterms:created>
  <dcterms:modified xsi:type="dcterms:W3CDTF">2026-07-19T13:15:00Z</dcterms:modified>
</cp:coreProperties>
</file>