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985" w:rsidRPr="000D7D6A" w:rsidRDefault="00000000" w:rsidP="000D7D6A">
      <w:pPr>
        <w:pStyle w:val="Ttulo1"/>
        <w:rPr>
          <w:b/>
          <w:bCs/>
          <w:lang w:val="en-GB"/>
        </w:rPr>
      </w:pPr>
      <w:r w:rsidRPr="000D7D6A">
        <w:rPr>
          <w:b/>
          <w:bCs/>
          <w:lang w:val="en-GB"/>
        </w:rPr>
        <w:t>TITLE PAGE</w:t>
      </w:r>
    </w:p>
    <w:p w:rsidR="009C5467" w:rsidRPr="009C5467" w:rsidRDefault="009C5467" w:rsidP="009C5467">
      <w:pPr>
        <w:rPr>
          <w:b/>
          <w:bCs/>
          <w:sz w:val="28"/>
          <w:szCs w:val="28"/>
          <w:lang w:val="en-GB"/>
        </w:rPr>
      </w:pPr>
    </w:p>
    <w:p w:rsidR="00235985" w:rsidRPr="00C4726A" w:rsidRDefault="00000000" w:rsidP="00C4726A">
      <w:pPr>
        <w:spacing w:after="200"/>
        <w:jc w:val="both"/>
        <w:rPr>
          <w:lang w:val="en-GB"/>
        </w:rPr>
      </w:pPr>
      <w:r w:rsidRPr="00C4726A">
        <w:rPr>
          <w:b/>
          <w:bCs/>
          <w:sz w:val="28"/>
          <w:szCs w:val="28"/>
          <w:lang w:val="en-GB"/>
        </w:rPr>
        <w:t xml:space="preserve">Clinical, microbiological and antimicrobial resistance profile of complicated urinary tract infections managed in a </w:t>
      </w:r>
      <w:proofErr w:type="gramStart"/>
      <w:r w:rsidRPr="00C4726A">
        <w:rPr>
          <w:b/>
          <w:bCs/>
          <w:sz w:val="28"/>
          <w:szCs w:val="28"/>
          <w:lang w:val="en-GB"/>
        </w:rPr>
        <w:t>Hospital</w:t>
      </w:r>
      <w:proofErr w:type="gramEnd"/>
      <w:r w:rsidRPr="00C4726A">
        <w:rPr>
          <w:b/>
          <w:bCs/>
          <w:sz w:val="28"/>
          <w:szCs w:val="28"/>
          <w:lang w:val="en-GB"/>
        </w:rPr>
        <w:t>-at-Home programme: a prospective observational cohort study</w:t>
      </w:r>
    </w:p>
    <w:p w:rsidR="00235985" w:rsidRPr="00C4726A" w:rsidRDefault="00000000" w:rsidP="00C4726A">
      <w:pPr>
        <w:spacing w:after="100"/>
        <w:jc w:val="both"/>
        <w:rPr>
          <w:lang w:val="en-GB"/>
        </w:rPr>
      </w:pPr>
      <w:r w:rsidRPr="00C4726A">
        <w:rPr>
          <w:b/>
          <w:bCs/>
          <w:lang w:val="en-GB"/>
        </w:rPr>
        <w:t xml:space="preserve">Authors: </w:t>
      </w:r>
      <w:r w:rsidRPr="00C4726A">
        <w:rPr>
          <w:lang w:val="en-GB"/>
        </w:rPr>
        <w:t xml:space="preserve">Lira </w:t>
      </w:r>
      <w:proofErr w:type="spellStart"/>
      <w:r w:rsidRPr="00C4726A">
        <w:rPr>
          <w:lang w:val="en-GB"/>
        </w:rPr>
        <w:t>Pelari</w:t>
      </w:r>
      <w:proofErr w:type="spellEnd"/>
      <w:r w:rsidRPr="00C4726A">
        <w:rPr>
          <w:lang w:val="en-GB"/>
        </w:rPr>
        <w:t xml:space="preserve"> Mici¹, Elena </w:t>
      </w:r>
      <w:proofErr w:type="spellStart"/>
      <w:r w:rsidRPr="00C4726A">
        <w:rPr>
          <w:lang w:val="en-GB"/>
        </w:rPr>
        <w:t>Arranz</w:t>
      </w:r>
      <w:proofErr w:type="spellEnd"/>
      <w:r w:rsidRPr="00C4726A">
        <w:rPr>
          <w:lang w:val="en-GB"/>
        </w:rPr>
        <w:t xml:space="preserve"> Canales², Alexia Constanza </w:t>
      </w:r>
      <w:proofErr w:type="spellStart"/>
      <w:r w:rsidRPr="00C4726A">
        <w:rPr>
          <w:lang w:val="en-GB"/>
        </w:rPr>
        <w:t>Espiño</w:t>
      </w:r>
      <w:proofErr w:type="spellEnd"/>
      <w:r w:rsidRPr="00C4726A">
        <w:rPr>
          <w:lang w:val="en-GB"/>
        </w:rPr>
        <w:t xml:space="preserve"> Álvarez², Eva María Fernández Bermejo², </w:t>
      </w:r>
      <w:proofErr w:type="spellStart"/>
      <w:r w:rsidRPr="00C4726A">
        <w:rPr>
          <w:lang w:val="en-GB"/>
        </w:rPr>
        <w:t>Ángela</w:t>
      </w:r>
      <w:proofErr w:type="spellEnd"/>
      <w:r w:rsidRPr="00C4726A">
        <w:rPr>
          <w:lang w:val="en-GB"/>
        </w:rPr>
        <w:t xml:space="preserve"> Sánchez Juez², Victoria Gutiérrez Gómez-Lus², Fernando Ruiz Berraco², Saida Alonso Marrero², Jaime Bustos Carpio², José Curbelo³, Eduardo Albers Acosta⁴, Pablo Rodríguez Cortés².</w:t>
      </w:r>
    </w:p>
    <w:p w:rsidR="00235985" w:rsidRPr="00C4726A" w:rsidRDefault="00000000" w:rsidP="00C4726A">
      <w:pPr>
        <w:spacing w:after="50"/>
        <w:jc w:val="both"/>
        <w:rPr>
          <w:lang w:val="en-GB"/>
        </w:rPr>
      </w:pPr>
      <w:r w:rsidRPr="00C4726A">
        <w:rPr>
          <w:b/>
          <w:bCs/>
          <w:lang w:val="en-GB"/>
        </w:rPr>
        <w:t>Affiliations:</w:t>
      </w:r>
    </w:p>
    <w:p w:rsidR="00235985" w:rsidRPr="00C4726A" w:rsidRDefault="00000000" w:rsidP="00C4726A">
      <w:pPr>
        <w:spacing w:after="50"/>
        <w:jc w:val="both"/>
        <w:rPr>
          <w:lang w:val="en-GB"/>
        </w:rPr>
      </w:pPr>
      <w:r w:rsidRPr="00C4726A">
        <w:rPr>
          <w:lang w:val="en-GB"/>
        </w:rPr>
        <w:t>1. Department of Urology, Hospital Universitario de La Princesa, Madrid, Spain.</w:t>
      </w:r>
    </w:p>
    <w:p w:rsidR="00235985" w:rsidRPr="00C4726A" w:rsidRDefault="00000000" w:rsidP="00C4726A">
      <w:pPr>
        <w:spacing w:after="50"/>
        <w:jc w:val="both"/>
        <w:rPr>
          <w:lang w:val="en-GB"/>
        </w:rPr>
      </w:pPr>
      <w:r w:rsidRPr="00C4726A">
        <w:rPr>
          <w:lang w:val="en-GB"/>
        </w:rPr>
        <w:t>2. Hospital-at-Home Unit, Hospital Universitario de La Princesa, Madrid, Spain.</w:t>
      </w:r>
    </w:p>
    <w:p w:rsidR="00235985" w:rsidRPr="00C4726A" w:rsidRDefault="00000000" w:rsidP="00C4726A">
      <w:pPr>
        <w:spacing w:after="50"/>
        <w:jc w:val="both"/>
        <w:rPr>
          <w:lang w:val="en-GB"/>
        </w:rPr>
      </w:pPr>
      <w:r w:rsidRPr="00C4726A">
        <w:rPr>
          <w:lang w:val="en-GB"/>
        </w:rPr>
        <w:t>3. Faculty of Medicine, Universidad Francisco de Vitoria, Madrid, Spain.</w:t>
      </w:r>
    </w:p>
    <w:p w:rsidR="00235985" w:rsidRPr="00C4726A" w:rsidRDefault="00000000" w:rsidP="00C4726A">
      <w:pPr>
        <w:spacing w:after="50"/>
        <w:jc w:val="both"/>
        <w:rPr>
          <w:lang w:val="en-GB"/>
        </w:rPr>
      </w:pPr>
      <w:r w:rsidRPr="00C4726A">
        <w:rPr>
          <w:lang w:val="en-GB"/>
        </w:rPr>
        <w:t>4. Department of Urology, University Hospital Basel, Basel, Switzerland.</w:t>
      </w:r>
    </w:p>
    <w:p w:rsidR="00235985" w:rsidRPr="00C4726A" w:rsidRDefault="00000000" w:rsidP="00C4726A">
      <w:pPr>
        <w:spacing w:before="150" w:after="50"/>
        <w:jc w:val="both"/>
        <w:rPr>
          <w:lang w:val="en-GB"/>
        </w:rPr>
      </w:pPr>
      <w:r w:rsidRPr="00C4726A">
        <w:rPr>
          <w:b/>
          <w:bCs/>
          <w:lang w:val="en-GB"/>
        </w:rPr>
        <w:t xml:space="preserve">Acknowledgments: </w:t>
      </w:r>
      <w:r w:rsidRPr="00C4726A">
        <w:rPr>
          <w:lang w:val="en-GB"/>
        </w:rPr>
        <w:t>None.</w:t>
      </w:r>
    </w:p>
    <w:p w:rsidR="00235985" w:rsidRPr="00C4726A" w:rsidRDefault="00000000" w:rsidP="00C4726A">
      <w:pPr>
        <w:spacing w:before="150" w:after="50"/>
        <w:jc w:val="both"/>
        <w:rPr>
          <w:lang w:val="en-GB"/>
        </w:rPr>
      </w:pPr>
      <w:r w:rsidRPr="00C4726A">
        <w:rPr>
          <w:b/>
          <w:bCs/>
          <w:lang w:val="en-GB"/>
        </w:rPr>
        <w:t>ORCIDs:</w:t>
      </w:r>
    </w:p>
    <w:p w:rsidR="00235985" w:rsidRPr="00C4726A" w:rsidRDefault="00000000" w:rsidP="00C4726A">
      <w:pPr>
        <w:spacing w:after="30"/>
        <w:jc w:val="both"/>
        <w:rPr>
          <w:lang w:val="en-GB"/>
        </w:rPr>
      </w:pPr>
      <w:r w:rsidRPr="00C4726A">
        <w:rPr>
          <w:lang w:val="en-GB"/>
        </w:rPr>
        <w:t xml:space="preserve">Lira </w:t>
      </w:r>
      <w:proofErr w:type="spellStart"/>
      <w:r w:rsidRPr="00C4726A">
        <w:rPr>
          <w:lang w:val="en-GB"/>
        </w:rPr>
        <w:t>Pelari</w:t>
      </w:r>
      <w:proofErr w:type="spellEnd"/>
      <w:r w:rsidRPr="00C4726A">
        <w:rPr>
          <w:lang w:val="en-GB"/>
        </w:rPr>
        <w:t xml:space="preserve"> </w:t>
      </w:r>
      <w:proofErr w:type="spellStart"/>
      <w:r w:rsidRPr="00C4726A">
        <w:rPr>
          <w:lang w:val="en-GB"/>
        </w:rPr>
        <w:t>Mici</w:t>
      </w:r>
      <w:proofErr w:type="spellEnd"/>
      <w:r w:rsidRPr="00C4726A">
        <w:rPr>
          <w:lang w:val="en-GB"/>
        </w:rPr>
        <w:t>: 0000-0002-8954-5351</w:t>
      </w:r>
    </w:p>
    <w:p w:rsidR="00235985" w:rsidRPr="00C4726A" w:rsidRDefault="00000000" w:rsidP="00C4726A">
      <w:pPr>
        <w:spacing w:after="30"/>
        <w:jc w:val="both"/>
        <w:rPr>
          <w:lang w:val="en-GB"/>
        </w:rPr>
      </w:pPr>
      <w:r w:rsidRPr="00C4726A">
        <w:rPr>
          <w:lang w:val="en-GB"/>
        </w:rPr>
        <w:t xml:space="preserve">Elena </w:t>
      </w:r>
      <w:proofErr w:type="spellStart"/>
      <w:r w:rsidRPr="00C4726A">
        <w:rPr>
          <w:lang w:val="en-GB"/>
        </w:rPr>
        <w:t>Arranz</w:t>
      </w:r>
      <w:proofErr w:type="spellEnd"/>
      <w:r w:rsidRPr="00C4726A">
        <w:rPr>
          <w:lang w:val="en-GB"/>
        </w:rPr>
        <w:t xml:space="preserve"> Canales: 0009-0002-9404-6415</w:t>
      </w:r>
    </w:p>
    <w:p w:rsidR="00235985" w:rsidRPr="00C4726A" w:rsidRDefault="00000000" w:rsidP="00C4726A">
      <w:pPr>
        <w:spacing w:after="30"/>
        <w:jc w:val="both"/>
        <w:rPr>
          <w:lang w:val="en-GB"/>
        </w:rPr>
      </w:pPr>
      <w:r w:rsidRPr="00C4726A">
        <w:rPr>
          <w:lang w:val="en-GB"/>
        </w:rPr>
        <w:t xml:space="preserve">Alexia Constanza </w:t>
      </w:r>
      <w:proofErr w:type="spellStart"/>
      <w:r w:rsidRPr="00C4726A">
        <w:rPr>
          <w:lang w:val="en-GB"/>
        </w:rPr>
        <w:t>Espiño</w:t>
      </w:r>
      <w:proofErr w:type="spellEnd"/>
      <w:r w:rsidRPr="00C4726A">
        <w:rPr>
          <w:lang w:val="en-GB"/>
        </w:rPr>
        <w:t xml:space="preserve"> Álvarez: 0000-0001-5343-9541</w:t>
      </w:r>
    </w:p>
    <w:p w:rsidR="00235985" w:rsidRPr="00C4726A" w:rsidRDefault="00000000" w:rsidP="00C4726A">
      <w:pPr>
        <w:spacing w:after="30"/>
        <w:jc w:val="both"/>
        <w:rPr>
          <w:lang w:val="en-GB"/>
        </w:rPr>
      </w:pPr>
      <w:r w:rsidRPr="00C4726A">
        <w:rPr>
          <w:lang w:val="en-GB"/>
        </w:rPr>
        <w:t>Eva María Fernández Bermejo: 0009-0007-0693-9667</w:t>
      </w:r>
    </w:p>
    <w:p w:rsidR="00235985" w:rsidRPr="00C4726A" w:rsidRDefault="00000000" w:rsidP="00C4726A">
      <w:pPr>
        <w:spacing w:after="30"/>
        <w:jc w:val="both"/>
        <w:rPr>
          <w:lang w:val="en-GB"/>
        </w:rPr>
      </w:pPr>
      <w:proofErr w:type="spellStart"/>
      <w:r w:rsidRPr="00C4726A">
        <w:rPr>
          <w:lang w:val="en-GB"/>
        </w:rPr>
        <w:t>Ángela</w:t>
      </w:r>
      <w:proofErr w:type="spellEnd"/>
      <w:r w:rsidRPr="00C4726A">
        <w:rPr>
          <w:lang w:val="en-GB"/>
        </w:rPr>
        <w:t xml:space="preserve"> Sánchez </w:t>
      </w:r>
      <w:proofErr w:type="spellStart"/>
      <w:r w:rsidRPr="00C4726A">
        <w:rPr>
          <w:lang w:val="en-GB"/>
        </w:rPr>
        <w:t>Juez</w:t>
      </w:r>
      <w:proofErr w:type="spellEnd"/>
      <w:r w:rsidRPr="00C4726A">
        <w:rPr>
          <w:lang w:val="en-GB"/>
        </w:rPr>
        <w:t>: 0009-0007-0203-2355</w:t>
      </w:r>
    </w:p>
    <w:p w:rsidR="00235985" w:rsidRPr="00C4726A" w:rsidRDefault="00000000" w:rsidP="00C4726A">
      <w:pPr>
        <w:spacing w:after="30"/>
        <w:jc w:val="both"/>
        <w:rPr>
          <w:lang w:val="en-GB"/>
        </w:rPr>
      </w:pPr>
      <w:r w:rsidRPr="00C4726A">
        <w:rPr>
          <w:lang w:val="en-GB"/>
        </w:rPr>
        <w:t>Victoria Gutiérrez Gómez-Lus: 0009-0007-3326-4896</w:t>
      </w:r>
    </w:p>
    <w:p w:rsidR="00235985" w:rsidRPr="00C4726A" w:rsidRDefault="00000000" w:rsidP="00C4726A">
      <w:pPr>
        <w:spacing w:after="30"/>
        <w:jc w:val="both"/>
        <w:rPr>
          <w:lang w:val="en-GB"/>
        </w:rPr>
      </w:pPr>
      <w:r w:rsidRPr="00C4726A">
        <w:rPr>
          <w:lang w:val="en-GB"/>
        </w:rPr>
        <w:t xml:space="preserve">Fernando Ruiz </w:t>
      </w:r>
      <w:proofErr w:type="spellStart"/>
      <w:r w:rsidRPr="00C4726A">
        <w:rPr>
          <w:lang w:val="en-GB"/>
        </w:rPr>
        <w:t>Berraco</w:t>
      </w:r>
      <w:proofErr w:type="spellEnd"/>
      <w:r w:rsidRPr="00C4726A">
        <w:rPr>
          <w:lang w:val="en-GB"/>
        </w:rPr>
        <w:t>: 0009-0008-1652-4622</w:t>
      </w:r>
    </w:p>
    <w:p w:rsidR="00235985" w:rsidRPr="00C4726A" w:rsidRDefault="00000000" w:rsidP="00C4726A">
      <w:pPr>
        <w:spacing w:after="30"/>
        <w:jc w:val="both"/>
        <w:rPr>
          <w:lang w:val="en-GB"/>
        </w:rPr>
      </w:pPr>
      <w:r w:rsidRPr="00C4726A">
        <w:rPr>
          <w:lang w:val="en-GB"/>
        </w:rPr>
        <w:t>Saida Alonso Marrero: 0009-0003-5212-6940</w:t>
      </w:r>
    </w:p>
    <w:p w:rsidR="00235985" w:rsidRPr="00C4726A" w:rsidRDefault="00000000" w:rsidP="00C4726A">
      <w:pPr>
        <w:spacing w:after="30"/>
        <w:jc w:val="both"/>
        <w:rPr>
          <w:lang w:val="en-GB"/>
        </w:rPr>
      </w:pPr>
      <w:r w:rsidRPr="00C4726A">
        <w:rPr>
          <w:lang w:val="en-GB"/>
        </w:rPr>
        <w:t>Jaime Bustos Carpio: 0009-0009-3734-3393</w:t>
      </w:r>
    </w:p>
    <w:p w:rsidR="00235985" w:rsidRPr="00C4726A" w:rsidRDefault="00000000" w:rsidP="00C4726A">
      <w:pPr>
        <w:spacing w:after="30"/>
        <w:jc w:val="both"/>
        <w:rPr>
          <w:lang w:val="en-GB"/>
        </w:rPr>
      </w:pPr>
      <w:r w:rsidRPr="00C4726A">
        <w:rPr>
          <w:lang w:val="en-GB"/>
        </w:rPr>
        <w:t>José Curbelo: 0000-0002-0809-9944</w:t>
      </w:r>
    </w:p>
    <w:p w:rsidR="00235985" w:rsidRPr="00C4726A" w:rsidRDefault="00000000" w:rsidP="00C4726A">
      <w:pPr>
        <w:spacing w:after="30"/>
        <w:jc w:val="both"/>
        <w:rPr>
          <w:lang w:val="en-GB"/>
        </w:rPr>
      </w:pPr>
      <w:r w:rsidRPr="00C4726A">
        <w:rPr>
          <w:lang w:val="en-GB"/>
        </w:rPr>
        <w:t>Eduardo Albers Acosta: 0000-0002-0091-6209</w:t>
      </w:r>
    </w:p>
    <w:p w:rsidR="00235985" w:rsidRPr="00C4726A" w:rsidRDefault="00000000" w:rsidP="00C4726A">
      <w:pPr>
        <w:spacing w:after="30"/>
        <w:jc w:val="both"/>
        <w:rPr>
          <w:lang w:val="en-GB"/>
        </w:rPr>
      </w:pPr>
      <w:r w:rsidRPr="00C4726A">
        <w:rPr>
          <w:lang w:val="en-GB"/>
        </w:rPr>
        <w:t>Pablo Rodríguez Cortés: 0000-0003-1321-0616</w:t>
      </w:r>
    </w:p>
    <w:p w:rsidR="00235985" w:rsidRPr="00C4726A" w:rsidRDefault="00000000" w:rsidP="00C4726A">
      <w:pPr>
        <w:spacing w:before="150" w:after="50"/>
        <w:jc w:val="both"/>
        <w:rPr>
          <w:lang w:val="en-GB"/>
        </w:rPr>
      </w:pPr>
      <w:r w:rsidRPr="00C4726A">
        <w:rPr>
          <w:b/>
          <w:bCs/>
          <w:lang w:val="en-GB"/>
        </w:rPr>
        <w:t xml:space="preserve">Corresponding author: </w:t>
      </w:r>
      <w:r w:rsidRPr="00C4726A">
        <w:rPr>
          <w:lang w:val="en-GB"/>
        </w:rPr>
        <w:t xml:space="preserve">Lira </w:t>
      </w:r>
      <w:proofErr w:type="spellStart"/>
      <w:r w:rsidRPr="00C4726A">
        <w:rPr>
          <w:lang w:val="en-GB"/>
        </w:rPr>
        <w:t>Pelari</w:t>
      </w:r>
      <w:proofErr w:type="spellEnd"/>
      <w:r w:rsidRPr="00C4726A">
        <w:rPr>
          <w:lang w:val="en-GB"/>
        </w:rPr>
        <w:t xml:space="preserve"> </w:t>
      </w:r>
      <w:proofErr w:type="spellStart"/>
      <w:r w:rsidRPr="00C4726A">
        <w:rPr>
          <w:lang w:val="en-GB"/>
        </w:rPr>
        <w:t>Mici</w:t>
      </w:r>
      <w:proofErr w:type="spellEnd"/>
      <w:r w:rsidRPr="00C4726A">
        <w:rPr>
          <w:lang w:val="en-GB"/>
        </w:rPr>
        <w:t>, lira.pelari@gmail.com, C/ Diego de León 62, 28006 Madrid, Spain</w:t>
      </w:r>
    </w:p>
    <w:p w:rsidR="008901D6" w:rsidRPr="002A4112" w:rsidRDefault="008901D6">
      <w:pPr>
        <w:rPr>
          <w:b/>
          <w:bCs/>
          <w:color w:val="2E74B5"/>
          <w:sz w:val="24"/>
          <w:szCs w:val="24"/>
          <w:lang w:val="en-GB"/>
        </w:rPr>
      </w:pPr>
      <w:r>
        <w:rPr>
          <w:lang w:val="en-GB"/>
        </w:rPr>
        <w:br w:type="page"/>
      </w:r>
    </w:p>
    <w:p w:rsidR="008901D6" w:rsidRDefault="008901D6" w:rsidP="008901D6">
      <w:pPr>
        <w:pStyle w:val="Ttulo1"/>
        <w:rPr>
          <w:b/>
          <w:bCs/>
          <w:lang w:val="en-GB"/>
        </w:rPr>
      </w:pPr>
      <w:r w:rsidRPr="008901D6">
        <w:rPr>
          <w:b/>
          <w:bCs/>
          <w:lang w:val="en-GB"/>
        </w:rPr>
        <w:lastRenderedPageBreak/>
        <w:t>Online Resource 1. Inclusion and exclusion criteria for HaH admission</w:t>
      </w:r>
    </w:p>
    <w:p w:rsidR="008901D6" w:rsidRPr="008901D6" w:rsidRDefault="008901D6" w:rsidP="008901D6">
      <w:pPr>
        <w:pStyle w:val="Ttulo1"/>
        <w:rPr>
          <w:b/>
          <w:bCs/>
          <w:lang w:val="en-GB"/>
        </w:rPr>
      </w:pPr>
    </w:p>
    <w:p w:rsidR="008901D6" w:rsidRPr="008901D6" w:rsidRDefault="008901D6" w:rsidP="008901D6">
      <w:pPr>
        <w:spacing w:after="200"/>
        <w:jc w:val="both"/>
        <w:rPr>
          <w:b/>
          <w:bCs/>
          <w:lang w:val="en-GB"/>
        </w:rPr>
      </w:pPr>
      <w:r w:rsidRPr="008901D6">
        <w:rPr>
          <w:b/>
          <w:bCs/>
          <w:lang w:val="en-GB"/>
        </w:rPr>
        <w:t>Inclusion criteria:</w:t>
      </w:r>
    </w:p>
    <w:p w:rsidR="008901D6" w:rsidRPr="008901D6" w:rsidRDefault="008901D6" w:rsidP="008901D6">
      <w:pPr>
        <w:spacing w:after="200"/>
        <w:jc w:val="both"/>
        <w:rPr>
          <w:lang w:val="en-GB"/>
        </w:rPr>
      </w:pPr>
      <w:r w:rsidRPr="008901D6">
        <w:rPr>
          <w:lang w:val="en-GB"/>
        </w:rPr>
        <w:t>• Confirmed diagnosis - or at least a syndromic approach - must be established.</w:t>
      </w:r>
    </w:p>
    <w:p w:rsidR="008901D6" w:rsidRPr="008901D6" w:rsidRDefault="008901D6" w:rsidP="008901D6">
      <w:pPr>
        <w:spacing w:after="200"/>
        <w:jc w:val="both"/>
        <w:rPr>
          <w:lang w:val="en-GB"/>
        </w:rPr>
      </w:pPr>
      <w:r w:rsidRPr="008901D6">
        <w:rPr>
          <w:lang w:val="en-GB"/>
        </w:rPr>
        <w:t>• Hospital-level care must be required because of the complexity or intensity of the</w:t>
      </w:r>
      <w:r>
        <w:rPr>
          <w:lang w:val="en-GB"/>
        </w:rPr>
        <w:t xml:space="preserve"> </w:t>
      </w:r>
      <w:r w:rsidRPr="008901D6">
        <w:rPr>
          <w:lang w:val="en-GB"/>
        </w:rPr>
        <w:t>patient’s needs.</w:t>
      </w:r>
    </w:p>
    <w:p w:rsidR="008901D6" w:rsidRPr="008901D6" w:rsidRDefault="008901D6" w:rsidP="008901D6">
      <w:pPr>
        <w:spacing w:after="200"/>
        <w:jc w:val="both"/>
        <w:rPr>
          <w:lang w:val="en-GB"/>
        </w:rPr>
      </w:pPr>
      <w:r w:rsidRPr="008901D6">
        <w:rPr>
          <w:lang w:val="en-GB"/>
        </w:rPr>
        <w:t>• The patient must be clinically and haemodynamically stable, with comorbidities that</w:t>
      </w:r>
      <w:r>
        <w:rPr>
          <w:lang w:val="en-GB"/>
        </w:rPr>
        <w:t xml:space="preserve"> </w:t>
      </w:r>
      <w:r w:rsidRPr="008901D6">
        <w:rPr>
          <w:lang w:val="en-GB"/>
        </w:rPr>
        <w:t>can be managed at home.</w:t>
      </w:r>
    </w:p>
    <w:p w:rsidR="008901D6" w:rsidRPr="008901D6" w:rsidRDefault="008901D6" w:rsidP="008901D6">
      <w:pPr>
        <w:spacing w:after="200"/>
        <w:jc w:val="both"/>
        <w:rPr>
          <w:lang w:val="en-GB"/>
        </w:rPr>
      </w:pPr>
      <w:r w:rsidRPr="008901D6">
        <w:rPr>
          <w:lang w:val="en-GB"/>
        </w:rPr>
        <w:t>• For inclusion in an antimicrobial programme (OPAT), there must be diagnostic certainty</w:t>
      </w:r>
      <w:r>
        <w:rPr>
          <w:lang w:val="en-GB"/>
        </w:rPr>
        <w:t xml:space="preserve"> </w:t>
      </w:r>
      <w:r w:rsidRPr="008901D6">
        <w:rPr>
          <w:lang w:val="en-GB"/>
        </w:rPr>
        <w:t>of an infectious process defined by clinical and laboratory criteria (with or without</w:t>
      </w:r>
      <w:r>
        <w:rPr>
          <w:lang w:val="en-GB"/>
        </w:rPr>
        <w:t xml:space="preserve"> </w:t>
      </w:r>
      <w:r w:rsidRPr="008901D6">
        <w:rPr>
          <w:lang w:val="en-GB"/>
        </w:rPr>
        <w:t>microbiological documentation) that requires intravenous therapy after alternative routes,</w:t>
      </w:r>
      <w:r>
        <w:rPr>
          <w:lang w:val="en-GB"/>
        </w:rPr>
        <w:t xml:space="preserve"> </w:t>
      </w:r>
      <w:r w:rsidRPr="008901D6">
        <w:rPr>
          <w:lang w:val="en-GB"/>
        </w:rPr>
        <w:t>including oral therapy, have been ruled out as inadequate or inappropriate.</w:t>
      </w:r>
    </w:p>
    <w:p w:rsidR="008901D6" w:rsidRPr="008901D6" w:rsidRDefault="008901D6" w:rsidP="008901D6">
      <w:pPr>
        <w:spacing w:after="200"/>
        <w:jc w:val="both"/>
        <w:rPr>
          <w:lang w:val="en-GB"/>
        </w:rPr>
      </w:pPr>
      <w:r w:rsidRPr="008901D6">
        <w:rPr>
          <w:lang w:val="en-GB"/>
        </w:rPr>
        <w:t>• A primary caregiver capable of caring for the patient during the HaH admission must be</w:t>
      </w:r>
      <w:r>
        <w:rPr>
          <w:lang w:val="en-GB"/>
        </w:rPr>
        <w:t xml:space="preserve"> </w:t>
      </w:r>
      <w:r w:rsidRPr="008901D6">
        <w:rPr>
          <w:lang w:val="en-GB"/>
        </w:rPr>
        <w:t>available. Admission without a caregiver may be considered in young and fully</w:t>
      </w:r>
      <w:r>
        <w:rPr>
          <w:lang w:val="en-GB"/>
        </w:rPr>
        <w:t xml:space="preserve"> </w:t>
      </w:r>
      <w:r w:rsidRPr="008901D6">
        <w:rPr>
          <w:lang w:val="en-GB"/>
        </w:rPr>
        <w:t>autonomous patients.</w:t>
      </w:r>
    </w:p>
    <w:p w:rsidR="008901D6" w:rsidRPr="008901D6" w:rsidRDefault="008901D6" w:rsidP="008901D6">
      <w:pPr>
        <w:spacing w:after="200"/>
        <w:jc w:val="both"/>
        <w:rPr>
          <w:lang w:val="en-GB"/>
        </w:rPr>
      </w:pPr>
      <w:r w:rsidRPr="008901D6">
        <w:rPr>
          <w:lang w:val="en-GB"/>
        </w:rPr>
        <w:t>• The patient and the primary caregiver must agree to HaH admission and provide verbal</w:t>
      </w:r>
      <w:r>
        <w:rPr>
          <w:lang w:val="en-GB"/>
        </w:rPr>
        <w:t xml:space="preserve"> </w:t>
      </w:r>
      <w:r w:rsidRPr="008901D6">
        <w:rPr>
          <w:lang w:val="en-GB"/>
        </w:rPr>
        <w:t>consent. HaH may be declined at any time, in which case the patient can be admitted to a</w:t>
      </w:r>
      <w:r>
        <w:rPr>
          <w:lang w:val="en-GB"/>
        </w:rPr>
        <w:t xml:space="preserve"> </w:t>
      </w:r>
      <w:r w:rsidRPr="008901D6">
        <w:rPr>
          <w:lang w:val="en-GB"/>
        </w:rPr>
        <w:t>conventional ward. The patient also retains the right to request voluntary discharge.</w:t>
      </w:r>
    </w:p>
    <w:p w:rsidR="008901D6" w:rsidRPr="008901D6" w:rsidRDefault="008901D6" w:rsidP="008901D6">
      <w:pPr>
        <w:spacing w:after="200"/>
        <w:jc w:val="both"/>
        <w:rPr>
          <w:lang w:val="en-GB"/>
        </w:rPr>
      </w:pPr>
      <w:r w:rsidRPr="008901D6">
        <w:rPr>
          <w:lang w:val="en-GB"/>
        </w:rPr>
        <w:t>• Telephone communication must be available and the home must offer hygienic</w:t>
      </w:r>
      <w:r>
        <w:rPr>
          <w:lang w:val="en-GB"/>
        </w:rPr>
        <w:t xml:space="preserve"> </w:t>
      </w:r>
      <w:r w:rsidRPr="008901D6">
        <w:rPr>
          <w:lang w:val="en-GB"/>
        </w:rPr>
        <w:t>conditions compatible with safe and aseptic practice.</w:t>
      </w:r>
    </w:p>
    <w:p w:rsidR="008901D6" w:rsidRPr="008901D6" w:rsidRDefault="008901D6" w:rsidP="008901D6">
      <w:pPr>
        <w:spacing w:after="200"/>
        <w:jc w:val="both"/>
        <w:rPr>
          <w:lang w:val="en-GB"/>
        </w:rPr>
      </w:pPr>
      <w:r w:rsidRPr="008901D6">
        <w:rPr>
          <w:lang w:val="en-GB"/>
        </w:rPr>
        <w:t>• The patient must reside within the catchment area of the reference hospital.</w:t>
      </w:r>
    </w:p>
    <w:p w:rsidR="008901D6" w:rsidRPr="008901D6" w:rsidRDefault="008901D6" w:rsidP="008901D6">
      <w:pPr>
        <w:spacing w:after="200"/>
        <w:jc w:val="both"/>
        <w:rPr>
          <w:b/>
          <w:bCs/>
          <w:lang w:val="en-GB"/>
        </w:rPr>
      </w:pPr>
      <w:r w:rsidRPr="008901D6">
        <w:rPr>
          <w:b/>
          <w:bCs/>
          <w:lang w:val="en-GB"/>
        </w:rPr>
        <w:t>Exclusion criteria:</w:t>
      </w:r>
    </w:p>
    <w:p w:rsidR="008901D6" w:rsidRPr="008901D6" w:rsidRDefault="008901D6" w:rsidP="008901D6">
      <w:pPr>
        <w:spacing w:after="200"/>
        <w:jc w:val="both"/>
        <w:rPr>
          <w:lang w:val="en-GB"/>
        </w:rPr>
      </w:pPr>
      <w:r w:rsidRPr="008901D6">
        <w:rPr>
          <w:lang w:val="en-GB"/>
        </w:rPr>
        <w:t>• Failure to meet any of the inclusion criteria.</w:t>
      </w:r>
    </w:p>
    <w:p w:rsidR="008901D6" w:rsidRPr="008901D6" w:rsidRDefault="008901D6" w:rsidP="008901D6">
      <w:pPr>
        <w:spacing w:after="200"/>
        <w:jc w:val="both"/>
        <w:rPr>
          <w:lang w:val="en-GB"/>
        </w:rPr>
      </w:pPr>
      <w:r w:rsidRPr="008901D6">
        <w:rPr>
          <w:lang w:val="en-GB"/>
        </w:rPr>
        <w:t>• Complexity of care exceeding the capacity of the HaH unit.</w:t>
      </w:r>
    </w:p>
    <w:p w:rsidR="008901D6" w:rsidRPr="008901D6" w:rsidRDefault="008901D6" w:rsidP="008901D6">
      <w:pPr>
        <w:spacing w:after="200"/>
        <w:jc w:val="both"/>
        <w:rPr>
          <w:lang w:val="en-GB"/>
        </w:rPr>
      </w:pPr>
      <w:r w:rsidRPr="008901D6">
        <w:rPr>
          <w:lang w:val="en-GB"/>
        </w:rPr>
        <w:t>• Cognitive or physical impairment of the patient in the absence of a caregiver able t</w:t>
      </w:r>
      <w:r>
        <w:rPr>
          <w:lang w:val="en-GB"/>
        </w:rPr>
        <w:t xml:space="preserve">o </w:t>
      </w:r>
      <w:r w:rsidRPr="008901D6">
        <w:rPr>
          <w:lang w:val="en-GB"/>
        </w:rPr>
        <w:t>assume care.</w:t>
      </w:r>
    </w:p>
    <w:p w:rsidR="008901D6" w:rsidRPr="008901D6" w:rsidRDefault="008901D6" w:rsidP="008901D6">
      <w:pPr>
        <w:spacing w:after="200"/>
        <w:jc w:val="both"/>
        <w:rPr>
          <w:lang w:val="en-GB"/>
        </w:rPr>
      </w:pPr>
      <w:r w:rsidRPr="008901D6">
        <w:rPr>
          <w:lang w:val="en-GB"/>
        </w:rPr>
        <w:t>• Poor treatment adherence or non-compliance with the HaH team’s rules and</w:t>
      </w:r>
      <w:r>
        <w:rPr>
          <w:lang w:val="en-GB"/>
        </w:rPr>
        <w:t xml:space="preserve"> </w:t>
      </w:r>
      <w:r w:rsidRPr="008901D6">
        <w:rPr>
          <w:lang w:val="en-GB"/>
        </w:rPr>
        <w:t>recommendations.</w:t>
      </w:r>
    </w:p>
    <w:p w:rsidR="008901D6" w:rsidRPr="008901D6" w:rsidRDefault="008901D6" w:rsidP="008901D6">
      <w:pPr>
        <w:spacing w:after="200"/>
        <w:jc w:val="both"/>
        <w:rPr>
          <w:lang w:val="en-GB"/>
        </w:rPr>
      </w:pPr>
      <w:r w:rsidRPr="008901D6">
        <w:rPr>
          <w:lang w:val="en-GB"/>
        </w:rPr>
        <w:t>• Lack of electricity or running water.</w:t>
      </w:r>
    </w:p>
    <w:p w:rsidR="008901D6" w:rsidRPr="008901D6" w:rsidRDefault="008901D6" w:rsidP="008901D6">
      <w:pPr>
        <w:spacing w:after="200"/>
        <w:jc w:val="both"/>
        <w:rPr>
          <w:lang w:val="en-GB"/>
        </w:rPr>
      </w:pPr>
      <w:r w:rsidRPr="008901D6">
        <w:rPr>
          <w:lang w:val="en-GB"/>
        </w:rPr>
        <w:t>• Unsafe environment for healthcare professionals.</w:t>
      </w:r>
    </w:p>
    <w:p w:rsidR="008901D6" w:rsidRPr="008901D6" w:rsidRDefault="008901D6" w:rsidP="008901D6">
      <w:pPr>
        <w:spacing w:after="200"/>
        <w:jc w:val="both"/>
        <w:rPr>
          <w:lang w:val="en-GB"/>
        </w:rPr>
      </w:pPr>
      <w:r w:rsidRPr="008901D6">
        <w:rPr>
          <w:lang w:val="en-GB"/>
        </w:rPr>
        <w:t>• Uncontrolled acute psychiatric disease (suicidal ideation, acute psychosis) or substance</w:t>
      </w:r>
      <w:r>
        <w:rPr>
          <w:lang w:val="en-GB"/>
        </w:rPr>
        <w:t xml:space="preserve"> </w:t>
      </w:r>
      <w:r w:rsidRPr="008901D6">
        <w:rPr>
          <w:lang w:val="en-GB"/>
        </w:rPr>
        <w:t>use compromising safe healthcare delivery (intravenous drug use).</w:t>
      </w:r>
    </w:p>
    <w:p w:rsidR="008901D6" w:rsidRDefault="008901D6" w:rsidP="008901D6">
      <w:pPr>
        <w:spacing w:after="200"/>
        <w:jc w:val="both"/>
        <w:rPr>
          <w:lang w:val="en-GB"/>
        </w:rPr>
      </w:pPr>
      <w:r w:rsidRPr="008901D6">
        <w:rPr>
          <w:lang w:val="en-GB"/>
        </w:rPr>
        <w:t>• Absence of a post-discharge plan from the referring service.</w:t>
      </w:r>
    </w:p>
    <w:p w:rsidR="008901D6" w:rsidRPr="00C4726A" w:rsidRDefault="008901D6" w:rsidP="00DD08FB">
      <w:pPr>
        <w:rPr>
          <w:lang w:val="en-GB"/>
        </w:rPr>
      </w:pPr>
    </w:p>
    <w:sectPr w:rsidR="008901D6" w:rsidRPr="00C4726A" w:rsidSect="00F37B33">
      <w:pgSz w:w="11906" w:h="16838"/>
      <w:pgMar w:top="1440" w:right="1440" w:bottom="1440" w:left="1440" w:header="709" w:footer="709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0776"/>
    <w:multiLevelType w:val="hybridMultilevel"/>
    <w:tmpl w:val="F86039CA"/>
    <w:lvl w:ilvl="0" w:tplc="5540E0AE">
      <w:start w:val="1"/>
      <w:numFmt w:val="bullet"/>
      <w:lvlText w:val="●"/>
      <w:lvlJc w:val="left"/>
      <w:pPr>
        <w:ind w:left="720" w:hanging="360"/>
      </w:pPr>
    </w:lvl>
    <w:lvl w:ilvl="1" w:tplc="F1EEF33A">
      <w:start w:val="1"/>
      <w:numFmt w:val="bullet"/>
      <w:lvlText w:val="○"/>
      <w:lvlJc w:val="left"/>
      <w:pPr>
        <w:ind w:left="1440" w:hanging="360"/>
      </w:pPr>
    </w:lvl>
    <w:lvl w:ilvl="2" w:tplc="8C840EC2">
      <w:start w:val="1"/>
      <w:numFmt w:val="bullet"/>
      <w:lvlText w:val="■"/>
      <w:lvlJc w:val="left"/>
      <w:pPr>
        <w:ind w:left="2160" w:hanging="360"/>
      </w:pPr>
    </w:lvl>
    <w:lvl w:ilvl="3" w:tplc="6308BBEC">
      <w:start w:val="1"/>
      <w:numFmt w:val="bullet"/>
      <w:lvlText w:val="●"/>
      <w:lvlJc w:val="left"/>
      <w:pPr>
        <w:ind w:left="2880" w:hanging="360"/>
      </w:pPr>
    </w:lvl>
    <w:lvl w:ilvl="4" w:tplc="FDCAD87A">
      <w:start w:val="1"/>
      <w:numFmt w:val="bullet"/>
      <w:lvlText w:val="○"/>
      <w:lvlJc w:val="left"/>
      <w:pPr>
        <w:ind w:left="3600" w:hanging="360"/>
      </w:pPr>
    </w:lvl>
    <w:lvl w:ilvl="5" w:tplc="3C8E9142">
      <w:start w:val="1"/>
      <w:numFmt w:val="bullet"/>
      <w:lvlText w:val="■"/>
      <w:lvlJc w:val="left"/>
      <w:pPr>
        <w:ind w:left="4320" w:hanging="360"/>
      </w:pPr>
    </w:lvl>
    <w:lvl w:ilvl="6" w:tplc="13448BA0">
      <w:start w:val="1"/>
      <w:numFmt w:val="bullet"/>
      <w:lvlText w:val="●"/>
      <w:lvlJc w:val="left"/>
      <w:pPr>
        <w:ind w:left="5040" w:hanging="360"/>
      </w:pPr>
    </w:lvl>
    <w:lvl w:ilvl="7" w:tplc="E438C458">
      <w:start w:val="1"/>
      <w:numFmt w:val="bullet"/>
      <w:lvlText w:val="●"/>
      <w:lvlJc w:val="left"/>
      <w:pPr>
        <w:ind w:left="5760" w:hanging="360"/>
      </w:pPr>
    </w:lvl>
    <w:lvl w:ilvl="8" w:tplc="03E237CE">
      <w:start w:val="1"/>
      <w:numFmt w:val="bullet"/>
      <w:lvlText w:val="●"/>
      <w:lvlJc w:val="left"/>
      <w:pPr>
        <w:ind w:left="6480" w:hanging="360"/>
      </w:pPr>
    </w:lvl>
  </w:abstractNum>
  <w:num w:numId="1" w16cid:durableId="17964872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85"/>
    <w:rsid w:val="000D7D6A"/>
    <w:rsid w:val="00235985"/>
    <w:rsid w:val="00264967"/>
    <w:rsid w:val="00294AA9"/>
    <w:rsid w:val="002A4112"/>
    <w:rsid w:val="00383A83"/>
    <w:rsid w:val="00733542"/>
    <w:rsid w:val="008901D6"/>
    <w:rsid w:val="009C5467"/>
    <w:rsid w:val="00C468F6"/>
    <w:rsid w:val="00C4726A"/>
    <w:rsid w:val="00D95A45"/>
    <w:rsid w:val="00DD08FB"/>
    <w:rsid w:val="00E62571"/>
    <w:rsid w:val="00F3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3B36"/>
  <w15:docId w15:val="{DA3FC5C9-81F0-6C47-BABE-4B1E2DB0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Revisin">
    <w:name w:val="Revision"/>
    <w:hidden/>
    <w:uiPriority w:val="99"/>
    <w:semiHidden/>
    <w:rsid w:val="000D7D6A"/>
  </w:style>
  <w:style w:type="character" w:styleId="Nmerodelnea">
    <w:name w:val="line number"/>
    <w:basedOn w:val="Fuentedeprrafopredeter"/>
    <w:uiPriority w:val="99"/>
    <w:semiHidden/>
    <w:unhideWhenUsed/>
    <w:rsid w:val="00F37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8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4910F7-BB3B-2D4C-8198-FAF055EB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Clinical, microbiological and antimicrobial resistance profile of complicated urinary tract infections managed in a Hospital-at-Home programme: a prospective observational cohort study</vt:lpstr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Clinical, microbiological and antimicrobial resistance profile of complicated urinary tract infections managed in a Hospital-at-Home programme: a prospective observational cohort study</dc:title>
  <dc:creator>EJCMID manuscript adaptation</dc:creator>
  <cp:lastModifiedBy>Pablo Rodríguez Cortés</cp:lastModifiedBy>
  <cp:revision>3</cp:revision>
  <dcterms:created xsi:type="dcterms:W3CDTF">2026-07-19T13:12:00Z</dcterms:created>
  <dcterms:modified xsi:type="dcterms:W3CDTF">2026-07-19T13:12:00Z</dcterms:modified>
</cp:coreProperties>
</file>