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954A" w14:textId="116958CF" w:rsidR="00432F2F" w:rsidRDefault="00000000">
      <w:pPr>
        <w:spacing w:after="160"/>
      </w:pPr>
      <w:r>
        <w:rPr>
          <w:b/>
          <w:bCs/>
          <w:sz w:val="26"/>
          <w:szCs w:val="26"/>
        </w:rPr>
        <w:t>Sample size</w:t>
      </w:r>
      <w:r w:rsidR="00717970">
        <w:rPr>
          <w:b/>
          <w:bCs/>
          <w:sz w:val="26"/>
          <w:szCs w:val="26"/>
        </w:rPr>
        <w:t xml:space="preserve"> calculation </w:t>
      </w:r>
    </w:p>
    <w:p w14:paraId="0A3E954B" w14:textId="37D2C128" w:rsidR="00432F2F" w:rsidRDefault="00000000">
      <w:pPr>
        <w:spacing w:after="140" w:line="300" w:lineRule="auto"/>
        <w:jc w:val="both"/>
      </w:pPr>
      <w:r>
        <w:t>The minimum number of participants required to estimate the proportion of a characteristic of interest with adequate precision was determined using the single-proportion formula with a finite population correction:</w:t>
      </w:r>
    </w:p>
    <w:p w14:paraId="0A3E954C" w14:textId="77777777" w:rsidR="00432F2F" w:rsidRDefault="00000000">
      <w:pPr>
        <w:spacing w:before="120" w:after="180"/>
        <w:jc w:val="center"/>
      </w:pPr>
      <m:oMathPara>
        <m:oMath>
          <m:r>
            <w:rPr>
              <w:rFonts w:ascii="Cambria Math" w:hAnsi="Cambria Math"/>
            </w:rPr>
            <m:t xml:space="preserve">n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p(1 - p)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hAnsi="Cambria Math"/>
                </w:rPr>
                <m:t xml:space="preserve">1 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p(1 - p)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N</m:t>
                  </m:r>
                </m:den>
              </m:f>
            </m:den>
          </m:f>
        </m:oMath>
      </m:oMathPara>
    </w:p>
    <w:p w14:paraId="0A3E954D" w14:textId="77777777" w:rsidR="00432F2F" w:rsidRDefault="00000000">
      <w:pPr>
        <w:spacing w:after="140" w:line="300" w:lineRule="auto"/>
        <w:jc w:val="both"/>
      </w:pPr>
      <w:r>
        <w:t xml:space="preserve">where </w:t>
      </w:r>
      <w:r>
        <w:rPr>
          <w:i/>
          <w:iCs/>
        </w:rPr>
        <w:t>n</w:t>
      </w:r>
      <w:r>
        <w:t xml:space="preserve"> is the required sample size, </w:t>
      </w:r>
      <w:r>
        <w:rPr>
          <w:i/>
          <w:iCs/>
        </w:rPr>
        <w:t>z</w:t>
      </w:r>
      <w:r>
        <w:t xml:space="preserve"> is the standard normal deviate for the chosen confidence level (</w:t>
      </w:r>
      <w:r>
        <w:rPr>
          <w:i/>
          <w:iCs/>
        </w:rPr>
        <w:t>z</w:t>
      </w:r>
      <w:r>
        <w:t xml:space="preserve"> = 1.96 for a 95% confidence level, α = 0.05), </w:t>
      </w:r>
      <w:r>
        <w:rPr>
          <w:i/>
          <w:iCs/>
        </w:rPr>
        <w:t>p</w:t>
      </w:r>
      <w:r>
        <w:t xml:space="preserve"> is the expected proportion, </w:t>
      </w:r>
      <w:r>
        <w:rPr>
          <w:i/>
          <w:iCs/>
        </w:rPr>
        <w:t>N</w:t>
      </w:r>
      <w:r>
        <w:t xml:space="preserve"> is the population size, and </w:t>
      </w:r>
      <w:r>
        <w:rPr>
          <w:i/>
          <w:iCs/>
        </w:rPr>
        <w:t>e</w:t>
      </w:r>
      <w:r>
        <w:t xml:space="preserve"> is the margin of error (set at 0.05). A prevalence of </w:t>
      </w:r>
      <w:r>
        <w:rPr>
          <w:i/>
          <w:iCs/>
        </w:rPr>
        <w:t>p</w:t>
      </w:r>
      <w:r>
        <w:t xml:space="preserve"> = 0.17 was adopted, corresponding to the reported prevalence of IHD in the Pakistani population [1, 2]. The population size was taken as that of Pakistan (</w:t>
      </w:r>
      <w:r>
        <w:rPr>
          <w:i/>
          <w:iCs/>
        </w:rPr>
        <w:t>N</w:t>
      </w:r>
      <w:r>
        <w:t xml:space="preserve"> = 245,209,815). Substituting these values:</w:t>
      </w:r>
    </w:p>
    <w:p w14:paraId="0A3E954E" w14:textId="77777777" w:rsidR="00432F2F" w:rsidRDefault="00000000">
      <w:pPr>
        <w:spacing w:before="120" w:after="180"/>
        <w:jc w:val="center"/>
      </w:pPr>
      <m:oMathPara>
        <m:oMath>
          <m:r>
            <w:rPr>
              <w:rFonts w:ascii="Cambria Math" w:hAnsi="Cambria Math"/>
            </w:rPr>
            <m:t xml:space="preserve">n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(1.96)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(0.17)(1 - 0.17)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(0.05)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hAnsi="Cambria Math"/>
                </w:rPr>
                <m:t xml:space="preserve">1 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(1.96)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(0.17)(1 - 0.17)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(0.05)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× 245209815</m:t>
                  </m:r>
                </m:den>
              </m:f>
            </m:den>
          </m:f>
        </m:oMath>
      </m:oMathPara>
    </w:p>
    <w:p w14:paraId="0A3E954F" w14:textId="77777777" w:rsidR="00432F2F" w:rsidRDefault="00000000">
      <w:pPr>
        <w:spacing w:before="120" w:after="180"/>
        <w:jc w:val="center"/>
      </w:pPr>
      <m:oMathPara>
        <m:oMath>
          <m:r>
            <w:rPr>
              <w:rFonts w:ascii="Cambria Math" w:hAnsi="Cambria Math"/>
            </w:rPr>
            <m:t xml:space="preserve">n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216.82</m:t>
              </m:r>
            </m:num>
            <m:den>
              <m:r>
                <w:rPr>
                  <w:rFonts w:ascii="Cambria Math" w:hAnsi="Cambria Math"/>
                </w:rPr>
                <m:t>1.0000</m:t>
              </m:r>
            </m:den>
          </m:f>
          <m:r>
            <w:rPr>
              <w:rFonts w:ascii="Cambria Math" w:hAnsi="Cambria Math"/>
            </w:rPr>
            <m:t xml:space="preserve"> = 216.82 ≈ 217</m:t>
          </m:r>
        </m:oMath>
      </m:oMathPara>
    </w:p>
    <w:p w14:paraId="0A3E9550" w14:textId="77777777" w:rsidR="00432F2F" w:rsidRDefault="00000000">
      <w:pPr>
        <w:spacing w:after="140" w:line="300" w:lineRule="auto"/>
        <w:jc w:val="both"/>
      </w:pPr>
      <w:r>
        <w:t xml:space="preserve">The minimum required sample size was therefore approximately </w:t>
      </w:r>
      <w:r>
        <w:rPr>
          <w:b/>
          <w:bCs/>
        </w:rPr>
        <w:t>217 IHD patients</w:t>
      </w:r>
      <w:r>
        <w:t>. Because the source population (</w:t>
      </w:r>
      <w:r>
        <w:rPr>
          <w:i/>
          <w:iCs/>
        </w:rPr>
        <w:t>N</w:t>
      </w:r>
      <w:r>
        <w:t>) is very large, the finite population correction has a negligible effect, and the corrected estimate is effectively equal to the uncorrected value (≈ 217). The sample enrolled in this study exceeds this minimum, providing adequate precision for the estimated proportions.</w:t>
      </w:r>
    </w:p>
    <w:p w14:paraId="0A3E9551" w14:textId="77777777" w:rsidR="00432F2F" w:rsidRDefault="00000000">
      <w:pPr>
        <w:spacing w:before="120" w:after="60"/>
      </w:pPr>
      <w:r>
        <w:rPr>
          <w:b/>
          <w:bCs/>
        </w:rPr>
        <w:t>References</w:t>
      </w:r>
    </w:p>
    <w:p w14:paraId="0A3E9552" w14:textId="77777777" w:rsidR="00432F2F" w:rsidRDefault="00000000">
      <w:pPr>
        <w:spacing w:after="60"/>
      </w:pPr>
      <w:r>
        <w:t xml:space="preserve">1.  Abbas, S., </w:t>
      </w:r>
      <w:proofErr w:type="spellStart"/>
      <w:r>
        <w:t>Kitchlew</w:t>
      </w:r>
      <w:proofErr w:type="spellEnd"/>
      <w:r>
        <w:t xml:space="preserve">, A. &amp; Abbas, S. Disease burden of ischemic heart disease in Pakistan and its risk factors. </w:t>
      </w:r>
      <w:r>
        <w:rPr>
          <w:i/>
          <w:iCs/>
        </w:rPr>
        <w:t xml:space="preserve">Ann. Pak. Inst. Med. Sci. </w:t>
      </w:r>
      <w:r>
        <w:t>5, 145–150 (2009).</w:t>
      </w:r>
    </w:p>
    <w:p w14:paraId="0A3E9553" w14:textId="77777777" w:rsidR="00432F2F" w:rsidRDefault="00000000">
      <w:pPr>
        <w:spacing w:after="60"/>
      </w:pPr>
      <w:r>
        <w:t xml:space="preserve">2.  Hassan, K. M. </w:t>
      </w:r>
      <w:r>
        <w:rPr>
          <w:i/>
          <w:iCs/>
        </w:rPr>
        <w:t xml:space="preserve">et al. </w:t>
      </w:r>
      <w:r>
        <w:t xml:space="preserve">Abstract P266: burden and trends of cardiovascular disease and its attributable risk factor in Pakistan from 1990–2019: a benchmarking analysis. </w:t>
      </w:r>
      <w:r>
        <w:rPr>
          <w:i/>
          <w:iCs/>
        </w:rPr>
        <w:t xml:space="preserve">Circulation </w:t>
      </w:r>
      <w:r>
        <w:t>149, AP266–AP266 (2024).</w:t>
      </w:r>
    </w:p>
    <w:p w14:paraId="0A3E9554" w14:textId="77777777" w:rsidR="00432F2F" w:rsidRDefault="00000000">
      <w:r>
        <w:t xml:space="preserve">3.  Cochran, W. G. </w:t>
      </w:r>
      <w:r>
        <w:rPr>
          <w:i/>
          <w:iCs/>
        </w:rPr>
        <w:t>Sampling Techniques</w:t>
      </w:r>
      <w:r>
        <w:t>. 3rd ed. (John Wiley &amp; Sons, New York, 1977).</w:t>
      </w:r>
    </w:p>
    <w:sectPr w:rsidR="00432F2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78D"/>
    <w:multiLevelType w:val="hybridMultilevel"/>
    <w:tmpl w:val="99D299B0"/>
    <w:lvl w:ilvl="0" w:tplc="A45E5654">
      <w:start w:val="1"/>
      <w:numFmt w:val="bullet"/>
      <w:lvlText w:val="●"/>
      <w:lvlJc w:val="left"/>
      <w:pPr>
        <w:ind w:left="720" w:hanging="360"/>
      </w:pPr>
    </w:lvl>
    <w:lvl w:ilvl="1" w:tplc="4DB0E816">
      <w:start w:val="1"/>
      <w:numFmt w:val="bullet"/>
      <w:lvlText w:val="○"/>
      <w:lvlJc w:val="left"/>
      <w:pPr>
        <w:ind w:left="1440" w:hanging="360"/>
      </w:pPr>
    </w:lvl>
    <w:lvl w:ilvl="2" w:tplc="2EF61248">
      <w:start w:val="1"/>
      <w:numFmt w:val="bullet"/>
      <w:lvlText w:val="■"/>
      <w:lvlJc w:val="left"/>
      <w:pPr>
        <w:ind w:left="2160" w:hanging="360"/>
      </w:pPr>
    </w:lvl>
    <w:lvl w:ilvl="3" w:tplc="C5B40D26">
      <w:start w:val="1"/>
      <w:numFmt w:val="bullet"/>
      <w:lvlText w:val="●"/>
      <w:lvlJc w:val="left"/>
      <w:pPr>
        <w:ind w:left="2880" w:hanging="360"/>
      </w:pPr>
    </w:lvl>
    <w:lvl w:ilvl="4" w:tplc="C0BEC9B0">
      <w:start w:val="1"/>
      <w:numFmt w:val="bullet"/>
      <w:lvlText w:val="○"/>
      <w:lvlJc w:val="left"/>
      <w:pPr>
        <w:ind w:left="3600" w:hanging="360"/>
      </w:pPr>
    </w:lvl>
    <w:lvl w:ilvl="5" w:tplc="0F9E903C">
      <w:start w:val="1"/>
      <w:numFmt w:val="bullet"/>
      <w:lvlText w:val="■"/>
      <w:lvlJc w:val="left"/>
      <w:pPr>
        <w:ind w:left="4320" w:hanging="360"/>
      </w:pPr>
    </w:lvl>
    <w:lvl w:ilvl="6" w:tplc="DB1C8104">
      <w:start w:val="1"/>
      <w:numFmt w:val="bullet"/>
      <w:lvlText w:val="●"/>
      <w:lvlJc w:val="left"/>
      <w:pPr>
        <w:ind w:left="5040" w:hanging="360"/>
      </w:pPr>
    </w:lvl>
    <w:lvl w:ilvl="7" w:tplc="0136DF4A">
      <w:start w:val="1"/>
      <w:numFmt w:val="bullet"/>
      <w:lvlText w:val="●"/>
      <w:lvlJc w:val="left"/>
      <w:pPr>
        <w:ind w:left="5760" w:hanging="360"/>
      </w:pPr>
    </w:lvl>
    <w:lvl w:ilvl="8" w:tplc="A0263E86">
      <w:start w:val="1"/>
      <w:numFmt w:val="bullet"/>
      <w:lvlText w:val="●"/>
      <w:lvlJc w:val="left"/>
      <w:pPr>
        <w:ind w:left="6480" w:hanging="360"/>
      </w:pPr>
    </w:lvl>
  </w:abstractNum>
  <w:num w:numId="1" w16cid:durableId="12315721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2F"/>
    <w:rsid w:val="001822D8"/>
    <w:rsid w:val="00432F2F"/>
    <w:rsid w:val="00443F1F"/>
    <w:rsid w:val="007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E954A"/>
  <w15:docId w15:val="{6F6DFC5A-D748-44AF-80A2-4FCC5BD5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Anam  Ijaz</cp:lastModifiedBy>
  <cp:revision>3</cp:revision>
  <dcterms:created xsi:type="dcterms:W3CDTF">2026-07-07T16:39:00Z</dcterms:created>
  <dcterms:modified xsi:type="dcterms:W3CDTF">2026-07-08T22:18:00Z</dcterms:modified>
</cp:coreProperties>
</file>