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25592">
      <w:pPr>
        <w:rPr>
          <w:rFonts w:hint="default" w:ascii="Times New Roman" w:hAnsi="Times New Roman" w:cs="Times New Roman"/>
          <w:color w:val="000000" w:themeColor="text1"/>
          <w14:textFill>
            <w14:solidFill>
              <w14:schemeClr w14:val="tx1"/>
            </w14:solidFill>
          </w14:textFill>
        </w:rPr>
      </w:pPr>
    </w:p>
    <w:p w14:paraId="47B5DC40">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b/>
          <w:bCs/>
          <w:color w:val="000000"/>
          <w:spacing w:val="-2"/>
          <w:kern w:val="36"/>
          <w:sz w:val="48"/>
          <w:szCs w:val="48"/>
          <w:lang w:val="en" w:eastAsia="zh-CN" w:bidi="ar-SA"/>
        </w:rPr>
        <w:t>Supplementary Material</w:t>
      </w:r>
      <w:r>
        <w:rPr>
          <w:rFonts w:hint="eastAsia" w:ascii="Times New Roman" w:hAnsi="Times New Roman" w:eastAsia="宋体" w:cs="Times New Roman"/>
          <w:b/>
          <w:bCs/>
          <w:color w:val="000000"/>
          <w:spacing w:val="-2"/>
          <w:kern w:val="36"/>
          <w:sz w:val="48"/>
          <w:szCs w:val="48"/>
          <w:lang w:val="en-US" w:eastAsia="zh-CN" w:bidi="ar-SA"/>
        </w:rPr>
        <w:t xml:space="preserve">  2</w:t>
      </w:r>
      <w:r>
        <w:rPr>
          <w:rFonts w:hint="default" w:ascii="Times New Roman" w:hAnsi="Times New Roman" w:cs="Times New Roman"/>
          <w:b/>
          <w:color w:val="000000" w:themeColor="text1"/>
          <w:sz w:val="28"/>
          <w14:textFill>
            <w14:solidFill>
              <w14:schemeClr w14:val="tx1"/>
            </w14:solidFill>
          </w14:textFill>
        </w:rPr>
        <w:br w:type="textWrapping"/>
      </w:r>
      <w:r>
        <w:rPr>
          <w:rFonts w:hint="default" w:ascii="Times New Roman" w:hAnsi="Times New Roman" w:cs="Times New Roman"/>
          <w:b/>
          <w:color w:val="000000" w:themeColor="text1"/>
          <w:sz w:val="28"/>
          <w14:textFill>
            <w14:solidFill>
              <w14:schemeClr w14:val="tx1"/>
            </w14:solidFill>
          </w14:textFill>
        </w:rPr>
        <w:t>Trust in HPV Vaccine Effectiveness and Safety and Vaccination Willingness Among Unvaccinated Female College Students Recruited Through University-Based Online Networks in China</w:t>
      </w:r>
      <w:bookmarkStart w:id="0" w:name="_GoBack"/>
      <w:bookmarkEnd w:id="0"/>
    </w:p>
    <w:p w14:paraId="2100CCA5">
      <w:pPr>
        <w:pStyle w:val="3"/>
        <w:rPr>
          <w:rFonts w:hint="default" w:ascii="Times New Roman" w:hAnsi="Times New Roman" w:eastAsia="Arial" w:cs="Times New Roman"/>
          <w:b/>
          <w:bCs w:val="0"/>
          <w:color w:val="000000" w:themeColor="text1"/>
          <w:sz w:val="24"/>
          <w:szCs w:val="24"/>
          <w:lang w:val="en-US" w:eastAsia="zh-CN" w:bidi="ar-SA"/>
          <w14:textFill>
            <w14:solidFill>
              <w14:schemeClr w14:val="tx1"/>
            </w14:solidFill>
          </w14:textFill>
        </w:rPr>
      </w:pPr>
      <w:r>
        <w:rPr>
          <w:rFonts w:hint="default" w:ascii="Times New Roman" w:hAnsi="Times New Roman" w:eastAsia="Arial" w:cs="Times New Roman"/>
          <w:b/>
          <w:bCs w:val="0"/>
          <w:color w:val="000000" w:themeColor="text1"/>
          <w:sz w:val="24"/>
          <w:szCs w:val="24"/>
          <w:lang w:val="en-US" w:eastAsia="zh-CN" w:bidi="ar-SA"/>
          <w14:textFill>
            <w14:solidFill>
              <w14:schemeClr w14:val="tx1"/>
            </w14:solidFill>
          </w14:textFill>
        </w:rPr>
        <w:t>Supplementary Table S1. Coding and completeness of variables used in the primary analysis</w:t>
      </w:r>
    </w:p>
    <w:tbl>
      <w:tblPr>
        <w:tblStyle w:val="34"/>
        <w:tblW w:w="4999" w:type="pct"/>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Layout w:type="autofit"/>
        <w:tblCellMar>
          <w:top w:w="0" w:type="dxa"/>
          <w:left w:w="108" w:type="dxa"/>
          <w:bottom w:w="0" w:type="dxa"/>
          <w:right w:w="108" w:type="dxa"/>
        </w:tblCellMar>
      </w:tblPr>
      <w:tblGrid>
        <w:gridCol w:w="2423"/>
        <w:gridCol w:w="6443"/>
        <w:gridCol w:w="1320"/>
      </w:tblGrid>
      <w:tr w14:paraId="4D7E3878">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tblHeader/>
          <w:jc w:val="center"/>
        </w:trPr>
        <w:tc>
          <w:tcPr>
            <w:tcW w:w="1189"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083736F9">
            <w:pPr>
              <w:snapToGrid w:val="0"/>
              <w:spacing w:after="0" w:line="360" w:lineRule="auto"/>
              <w:ind w:left="0" w:leftChars="0" w:right="0" w:rightChars="0" w:firstLine="0" w:firstLineChars="0"/>
              <w:jc w:val="center"/>
              <w:rPr>
                <w:rFonts w:hint="default" w:ascii="Times New Roman" w:hAnsi="Times New Roman" w:eastAsia="Arial" w:cs="Times New Roman"/>
                <w:b/>
                <w:color w:val="000000" w:themeColor="text1"/>
                <w:sz w:val="21"/>
                <w:szCs w:val="21"/>
                <w14:textFill>
                  <w14:solidFill>
                    <w14:schemeClr w14:val="tx1"/>
                  </w14:solidFill>
                </w14:textFill>
              </w:rPr>
            </w:pPr>
            <w:r>
              <w:rPr>
                <w:rFonts w:hint="default" w:ascii="Times New Roman" w:hAnsi="Times New Roman" w:eastAsia="Arial" w:cs="Times New Roman"/>
                <w:b/>
                <w:color w:val="000000" w:themeColor="text1"/>
                <w:sz w:val="21"/>
                <w:szCs w:val="21"/>
                <w14:textFill>
                  <w14:solidFill>
                    <w14:schemeClr w14:val="tx1"/>
                  </w14:solidFill>
                </w14:textFill>
              </w:rPr>
              <w:t>Variable</w:t>
            </w:r>
          </w:p>
        </w:tc>
        <w:tc>
          <w:tcPr>
            <w:tcW w:w="3162"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5506D10D">
            <w:pPr>
              <w:snapToGrid w:val="0"/>
              <w:spacing w:after="0" w:line="360" w:lineRule="auto"/>
              <w:ind w:left="0" w:leftChars="0" w:right="0" w:rightChars="0" w:firstLine="0" w:firstLineChars="0"/>
              <w:jc w:val="center"/>
              <w:rPr>
                <w:rFonts w:hint="default" w:ascii="Times New Roman" w:hAnsi="Times New Roman" w:eastAsia="Arial" w:cs="Times New Roman"/>
                <w:b/>
                <w:color w:val="000000" w:themeColor="text1"/>
                <w:sz w:val="21"/>
                <w:szCs w:val="21"/>
                <w14:textFill>
                  <w14:solidFill>
                    <w14:schemeClr w14:val="tx1"/>
                  </w14:solidFill>
                </w14:textFill>
              </w:rPr>
            </w:pPr>
            <w:r>
              <w:rPr>
                <w:rFonts w:hint="default" w:ascii="Times New Roman" w:hAnsi="Times New Roman" w:eastAsia="Arial" w:cs="Times New Roman"/>
                <w:b/>
                <w:color w:val="000000" w:themeColor="text1"/>
                <w:sz w:val="21"/>
                <w:szCs w:val="21"/>
                <w14:textFill>
                  <w14:solidFill>
                    <w14:schemeClr w14:val="tx1"/>
                  </w14:solidFill>
                </w14:textFill>
              </w:rPr>
              <w:t>Analytic coding</w:t>
            </w:r>
          </w:p>
        </w:tc>
        <w:tc>
          <w:tcPr>
            <w:tcW w:w="648"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12F64580">
            <w:pPr>
              <w:snapToGrid w:val="0"/>
              <w:spacing w:after="0" w:line="360" w:lineRule="auto"/>
              <w:ind w:left="0" w:leftChars="0" w:right="0" w:rightChars="0" w:firstLine="0" w:firstLineChars="0"/>
              <w:jc w:val="center"/>
              <w:rPr>
                <w:rFonts w:hint="default" w:ascii="Times New Roman" w:hAnsi="Times New Roman" w:eastAsia="Arial" w:cs="Times New Roman"/>
                <w:b/>
                <w:color w:val="000000" w:themeColor="text1"/>
                <w:sz w:val="21"/>
                <w:szCs w:val="21"/>
                <w14:textFill>
                  <w14:solidFill>
                    <w14:schemeClr w14:val="tx1"/>
                  </w14:solidFill>
                </w14:textFill>
              </w:rPr>
            </w:pPr>
            <w:r>
              <w:rPr>
                <w:rFonts w:hint="default" w:ascii="Times New Roman" w:hAnsi="Times New Roman" w:eastAsia="Arial" w:cs="Times New Roman"/>
                <w:b/>
                <w:color w:val="000000" w:themeColor="text1"/>
                <w:sz w:val="21"/>
                <w:szCs w:val="21"/>
                <w14:textFill>
                  <w14:solidFill>
                    <w14:schemeClr w14:val="tx1"/>
                  </w14:solidFill>
                </w14:textFill>
              </w:rPr>
              <w:t xml:space="preserve">Missing, </w:t>
            </w:r>
          </w:p>
          <w:p w14:paraId="54E83F85">
            <w:pPr>
              <w:snapToGrid w:val="0"/>
              <w:spacing w:after="0" w:line="360" w:lineRule="auto"/>
              <w:ind w:left="0" w:leftChars="0" w:right="0" w:rightChars="0" w:firstLine="0" w:firstLineChars="0"/>
              <w:jc w:val="center"/>
              <w:rPr>
                <w:rFonts w:hint="default" w:ascii="Times New Roman" w:hAnsi="Times New Roman" w:eastAsia="Arial" w:cs="Times New Roman"/>
                <w:b/>
                <w:color w:val="000000" w:themeColor="text1"/>
                <w:sz w:val="21"/>
                <w:szCs w:val="21"/>
                <w14:textFill>
                  <w14:solidFill>
                    <w14:schemeClr w14:val="tx1"/>
                  </w14:solidFill>
                </w14:textFill>
              </w:rPr>
            </w:pPr>
            <w:r>
              <w:rPr>
                <w:rFonts w:hint="default" w:ascii="Times New Roman" w:hAnsi="Times New Roman" w:eastAsia="Arial" w:cs="Times New Roman"/>
                <w:b/>
                <w:color w:val="000000" w:themeColor="text1"/>
                <w:sz w:val="21"/>
                <w:szCs w:val="21"/>
                <w14:textFill>
                  <w14:solidFill>
                    <w14:schemeClr w14:val="tx1"/>
                  </w14:solidFill>
                </w14:textFill>
              </w:rPr>
              <w:t>n (%)</w:t>
            </w:r>
          </w:p>
        </w:tc>
      </w:tr>
      <w:tr w14:paraId="0A6F1851">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189" w:type="pct"/>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6206FD6F">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High vaccination willingness</w:t>
            </w:r>
          </w:p>
        </w:tc>
        <w:tc>
          <w:tcPr>
            <w:tcW w:w="3162" w:type="pct"/>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001E474C">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Somewhat willing or very willing=1; uncertain, somewhat unwilling, or very unwilling=0</w:t>
            </w:r>
          </w:p>
        </w:tc>
        <w:tc>
          <w:tcPr>
            <w:tcW w:w="648" w:type="pct"/>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352A045E">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 (0.0)</w:t>
            </w:r>
          </w:p>
        </w:tc>
      </w:tr>
      <w:tr w14:paraId="371783FA">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189" w:type="pct"/>
            <w:tcBorders>
              <w:top w:val="nil"/>
              <w:left w:val="nil"/>
              <w:bottom w:val="nil"/>
              <w:right w:val="nil"/>
            </w:tcBorders>
            <w:shd w:val="clear" w:color="auto" w:fill="auto"/>
            <w:noWrap w:val="0"/>
            <w:tcMar>
              <w:top w:w="-1" w:type="dxa"/>
              <w:left w:w="-1" w:type="dxa"/>
              <w:bottom w:w="-1" w:type="dxa"/>
              <w:right w:w="-1" w:type="dxa"/>
            </w:tcMar>
            <w:vAlign w:val="center"/>
          </w:tcPr>
          <w:p w14:paraId="13505DF1">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Age</w:t>
            </w:r>
          </w:p>
        </w:tc>
        <w:tc>
          <w:tcPr>
            <w:tcW w:w="3162" w:type="pct"/>
            <w:tcBorders>
              <w:top w:val="nil"/>
              <w:left w:val="nil"/>
              <w:bottom w:val="nil"/>
              <w:right w:val="nil"/>
            </w:tcBorders>
            <w:shd w:val="clear" w:color="auto" w:fill="auto"/>
            <w:noWrap w:val="0"/>
            <w:tcMar>
              <w:top w:w="-1" w:type="dxa"/>
              <w:left w:w="-1" w:type="dxa"/>
              <w:bottom w:w="-1" w:type="dxa"/>
              <w:right w:w="-1" w:type="dxa"/>
            </w:tcMar>
            <w:vAlign w:val="center"/>
          </w:tcPr>
          <w:p w14:paraId="4BB3DE25">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Continuous, years</w:t>
            </w:r>
          </w:p>
        </w:tc>
        <w:tc>
          <w:tcPr>
            <w:tcW w:w="648" w:type="pct"/>
            <w:tcBorders>
              <w:top w:val="nil"/>
              <w:left w:val="nil"/>
              <w:bottom w:val="nil"/>
              <w:right w:val="nil"/>
            </w:tcBorders>
            <w:shd w:val="clear" w:color="auto" w:fill="auto"/>
            <w:noWrap w:val="0"/>
            <w:tcMar>
              <w:top w:w="-1" w:type="dxa"/>
              <w:left w:w="-1" w:type="dxa"/>
              <w:bottom w:w="-1" w:type="dxa"/>
              <w:right w:w="-1" w:type="dxa"/>
            </w:tcMar>
            <w:vAlign w:val="center"/>
          </w:tcPr>
          <w:p w14:paraId="1DBE773D">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 (0.0)</w:t>
            </w:r>
          </w:p>
        </w:tc>
      </w:tr>
      <w:tr w14:paraId="1E11BE74">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189" w:type="pct"/>
            <w:tcBorders>
              <w:top w:val="nil"/>
              <w:left w:val="nil"/>
              <w:bottom w:val="nil"/>
              <w:right w:val="nil"/>
            </w:tcBorders>
            <w:shd w:val="clear" w:color="auto" w:fill="auto"/>
            <w:noWrap w:val="0"/>
            <w:tcMar>
              <w:top w:w="-1" w:type="dxa"/>
              <w:left w:w="-1" w:type="dxa"/>
              <w:bottom w:w="-1" w:type="dxa"/>
              <w:right w:w="-1" w:type="dxa"/>
            </w:tcMar>
            <w:vAlign w:val="center"/>
          </w:tcPr>
          <w:p w14:paraId="283CA2D7">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Educational level</w:t>
            </w:r>
          </w:p>
        </w:tc>
        <w:tc>
          <w:tcPr>
            <w:tcW w:w="3162" w:type="pct"/>
            <w:tcBorders>
              <w:top w:val="nil"/>
              <w:left w:val="nil"/>
              <w:bottom w:val="nil"/>
              <w:right w:val="nil"/>
            </w:tcBorders>
            <w:shd w:val="clear" w:color="auto" w:fill="auto"/>
            <w:noWrap w:val="0"/>
            <w:tcMar>
              <w:top w:w="-1" w:type="dxa"/>
              <w:left w:w="-1" w:type="dxa"/>
              <w:bottom w:w="-1" w:type="dxa"/>
              <w:right w:w="-1" w:type="dxa"/>
            </w:tcMar>
            <w:vAlign w:val="center"/>
          </w:tcPr>
          <w:p w14:paraId="3D1B239E">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Vocational college=1; undergraduate=2; postgraduate or above=3</w:t>
            </w:r>
          </w:p>
        </w:tc>
        <w:tc>
          <w:tcPr>
            <w:tcW w:w="648" w:type="pct"/>
            <w:tcBorders>
              <w:top w:val="nil"/>
              <w:left w:val="nil"/>
              <w:bottom w:val="nil"/>
              <w:right w:val="nil"/>
            </w:tcBorders>
            <w:shd w:val="clear" w:color="auto" w:fill="auto"/>
            <w:noWrap w:val="0"/>
            <w:tcMar>
              <w:top w:w="-1" w:type="dxa"/>
              <w:left w:w="-1" w:type="dxa"/>
              <w:bottom w:w="-1" w:type="dxa"/>
              <w:right w:w="-1" w:type="dxa"/>
            </w:tcMar>
            <w:vAlign w:val="center"/>
          </w:tcPr>
          <w:p w14:paraId="2BE39BAE">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 (0.0)</w:t>
            </w:r>
          </w:p>
        </w:tc>
      </w:tr>
      <w:tr w14:paraId="346E09AD">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89" w:type="pct"/>
            <w:tcBorders>
              <w:top w:val="nil"/>
              <w:left w:val="nil"/>
              <w:bottom w:val="nil"/>
              <w:right w:val="nil"/>
            </w:tcBorders>
            <w:shd w:val="clear" w:color="auto" w:fill="auto"/>
            <w:noWrap w:val="0"/>
            <w:tcMar>
              <w:top w:w="-1" w:type="dxa"/>
              <w:left w:w="-1" w:type="dxa"/>
              <w:bottom w:w="-1" w:type="dxa"/>
              <w:right w:w="-1" w:type="dxa"/>
            </w:tcMar>
            <w:vAlign w:val="center"/>
          </w:tcPr>
          <w:p w14:paraId="4181B1A1">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Residence</w:t>
            </w:r>
          </w:p>
        </w:tc>
        <w:tc>
          <w:tcPr>
            <w:tcW w:w="3162" w:type="pct"/>
            <w:tcBorders>
              <w:top w:val="nil"/>
              <w:left w:val="nil"/>
              <w:bottom w:val="nil"/>
              <w:right w:val="nil"/>
            </w:tcBorders>
            <w:shd w:val="clear" w:color="auto" w:fill="auto"/>
            <w:noWrap w:val="0"/>
            <w:tcMar>
              <w:top w:w="-1" w:type="dxa"/>
              <w:left w:w="-1" w:type="dxa"/>
              <w:bottom w:w="-1" w:type="dxa"/>
              <w:right w:w="-1" w:type="dxa"/>
            </w:tcMar>
            <w:vAlign w:val="center"/>
          </w:tcPr>
          <w:p w14:paraId="721E131E">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Rural=1; urban=0</w:t>
            </w:r>
          </w:p>
        </w:tc>
        <w:tc>
          <w:tcPr>
            <w:tcW w:w="648" w:type="pct"/>
            <w:tcBorders>
              <w:top w:val="nil"/>
              <w:left w:val="nil"/>
              <w:bottom w:val="nil"/>
              <w:right w:val="nil"/>
            </w:tcBorders>
            <w:shd w:val="clear" w:color="auto" w:fill="auto"/>
            <w:noWrap w:val="0"/>
            <w:tcMar>
              <w:top w:w="-1" w:type="dxa"/>
              <w:left w:w="-1" w:type="dxa"/>
              <w:bottom w:w="-1" w:type="dxa"/>
              <w:right w:w="-1" w:type="dxa"/>
            </w:tcMar>
            <w:vAlign w:val="center"/>
          </w:tcPr>
          <w:p w14:paraId="551235DA">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 (0.0)</w:t>
            </w:r>
          </w:p>
        </w:tc>
      </w:tr>
      <w:tr w14:paraId="0FE296E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89" w:type="pct"/>
            <w:tcBorders>
              <w:top w:val="nil"/>
              <w:left w:val="nil"/>
              <w:bottom w:val="nil"/>
              <w:right w:val="nil"/>
            </w:tcBorders>
            <w:shd w:val="clear" w:color="auto" w:fill="auto"/>
            <w:noWrap w:val="0"/>
            <w:tcMar>
              <w:top w:w="-1" w:type="dxa"/>
              <w:left w:w="-1" w:type="dxa"/>
              <w:bottom w:w="-1" w:type="dxa"/>
              <w:right w:w="-1" w:type="dxa"/>
            </w:tcMar>
            <w:vAlign w:val="center"/>
          </w:tcPr>
          <w:p w14:paraId="0CA2E298">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Medical or health-related major</w:t>
            </w:r>
          </w:p>
        </w:tc>
        <w:tc>
          <w:tcPr>
            <w:tcW w:w="3162" w:type="pct"/>
            <w:tcBorders>
              <w:top w:val="nil"/>
              <w:left w:val="nil"/>
              <w:bottom w:val="nil"/>
              <w:right w:val="nil"/>
            </w:tcBorders>
            <w:shd w:val="clear" w:color="auto" w:fill="auto"/>
            <w:noWrap w:val="0"/>
            <w:tcMar>
              <w:top w:w="-1" w:type="dxa"/>
              <w:left w:w="-1" w:type="dxa"/>
              <w:bottom w:w="-1" w:type="dxa"/>
              <w:right w:w="-1" w:type="dxa"/>
            </w:tcMar>
            <w:vAlign w:val="center"/>
          </w:tcPr>
          <w:p w14:paraId="159E0555">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Yes=1; no=0</w:t>
            </w:r>
          </w:p>
        </w:tc>
        <w:tc>
          <w:tcPr>
            <w:tcW w:w="648" w:type="pct"/>
            <w:tcBorders>
              <w:top w:val="nil"/>
              <w:left w:val="nil"/>
              <w:bottom w:val="nil"/>
              <w:right w:val="nil"/>
            </w:tcBorders>
            <w:shd w:val="clear" w:color="auto" w:fill="auto"/>
            <w:noWrap w:val="0"/>
            <w:tcMar>
              <w:top w:w="-1" w:type="dxa"/>
              <w:left w:w="-1" w:type="dxa"/>
              <w:bottom w:w="-1" w:type="dxa"/>
              <w:right w:w="-1" w:type="dxa"/>
            </w:tcMar>
            <w:vAlign w:val="center"/>
          </w:tcPr>
          <w:p w14:paraId="23FD13F4">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 (0.0)</w:t>
            </w:r>
          </w:p>
        </w:tc>
      </w:tr>
      <w:tr w14:paraId="0AFB5A76">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189" w:type="pct"/>
            <w:tcBorders>
              <w:top w:val="nil"/>
              <w:left w:val="nil"/>
              <w:bottom w:val="nil"/>
              <w:right w:val="nil"/>
            </w:tcBorders>
            <w:shd w:val="clear" w:color="auto" w:fill="auto"/>
            <w:noWrap w:val="0"/>
            <w:tcMar>
              <w:top w:w="-1" w:type="dxa"/>
              <w:left w:w="-1" w:type="dxa"/>
              <w:bottom w:w="-1" w:type="dxa"/>
              <w:right w:w="-1" w:type="dxa"/>
            </w:tcMar>
            <w:vAlign w:val="center"/>
          </w:tcPr>
          <w:p w14:paraId="532A3CF0">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HPV vaccine effectiveness</w:t>
            </w:r>
          </w:p>
        </w:tc>
        <w:tc>
          <w:tcPr>
            <w:tcW w:w="3162" w:type="pct"/>
            <w:tcBorders>
              <w:top w:val="nil"/>
              <w:left w:val="nil"/>
              <w:bottom w:val="nil"/>
              <w:right w:val="nil"/>
            </w:tcBorders>
            <w:shd w:val="clear" w:color="auto" w:fill="auto"/>
            <w:noWrap w:val="0"/>
            <w:tcMar>
              <w:top w:w="-1" w:type="dxa"/>
              <w:left w:w="-1" w:type="dxa"/>
              <w:bottom w:w="-1" w:type="dxa"/>
              <w:right w:w="-1" w:type="dxa"/>
            </w:tcMar>
            <w:vAlign w:val="center"/>
          </w:tcPr>
          <w:p w14:paraId="3768E363">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Very distrustful=1 to very trustful=5; primary models categorical</w:t>
            </w:r>
          </w:p>
        </w:tc>
        <w:tc>
          <w:tcPr>
            <w:tcW w:w="648" w:type="pct"/>
            <w:tcBorders>
              <w:top w:val="nil"/>
              <w:left w:val="nil"/>
              <w:bottom w:val="nil"/>
              <w:right w:val="nil"/>
            </w:tcBorders>
            <w:shd w:val="clear" w:color="auto" w:fill="auto"/>
            <w:noWrap w:val="0"/>
            <w:tcMar>
              <w:top w:w="-1" w:type="dxa"/>
              <w:left w:w="-1" w:type="dxa"/>
              <w:bottom w:w="-1" w:type="dxa"/>
              <w:right w:w="-1" w:type="dxa"/>
            </w:tcMar>
            <w:vAlign w:val="center"/>
          </w:tcPr>
          <w:p w14:paraId="14E491C5">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 (0.0)</w:t>
            </w:r>
          </w:p>
        </w:tc>
      </w:tr>
      <w:tr w14:paraId="7E34DFC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89" w:type="pct"/>
            <w:tcBorders>
              <w:top w:val="nil"/>
              <w:left w:val="nil"/>
              <w:bottom w:val="nil"/>
              <w:right w:val="nil"/>
            </w:tcBorders>
            <w:shd w:val="clear" w:color="auto" w:fill="auto"/>
            <w:noWrap w:val="0"/>
            <w:tcMar>
              <w:top w:w="-1" w:type="dxa"/>
              <w:left w:w="-1" w:type="dxa"/>
              <w:bottom w:w="-1" w:type="dxa"/>
              <w:right w:w="-1" w:type="dxa"/>
            </w:tcMar>
            <w:vAlign w:val="center"/>
          </w:tcPr>
          <w:p w14:paraId="6FA6043B">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the safety of domestically produced bivalent HPV vaccines</w:t>
            </w:r>
          </w:p>
        </w:tc>
        <w:tc>
          <w:tcPr>
            <w:tcW w:w="3162" w:type="pct"/>
            <w:tcBorders>
              <w:top w:val="nil"/>
              <w:left w:val="nil"/>
              <w:bottom w:val="nil"/>
              <w:right w:val="nil"/>
            </w:tcBorders>
            <w:shd w:val="clear" w:color="auto" w:fill="auto"/>
            <w:noWrap w:val="0"/>
            <w:tcMar>
              <w:top w:w="-1" w:type="dxa"/>
              <w:left w:w="-1" w:type="dxa"/>
              <w:bottom w:w="-1" w:type="dxa"/>
              <w:right w:w="-1" w:type="dxa"/>
            </w:tcMar>
            <w:vAlign w:val="center"/>
          </w:tcPr>
          <w:p w14:paraId="65139FFC">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Very distrustful=1 to very trustful=5; primary models categorical</w:t>
            </w:r>
          </w:p>
        </w:tc>
        <w:tc>
          <w:tcPr>
            <w:tcW w:w="648" w:type="pct"/>
            <w:tcBorders>
              <w:top w:val="nil"/>
              <w:left w:val="nil"/>
              <w:bottom w:val="nil"/>
              <w:right w:val="nil"/>
            </w:tcBorders>
            <w:shd w:val="clear" w:color="auto" w:fill="auto"/>
            <w:noWrap w:val="0"/>
            <w:tcMar>
              <w:top w:w="-1" w:type="dxa"/>
              <w:left w:w="-1" w:type="dxa"/>
              <w:bottom w:w="-1" w:type="dxa"/>
              <w:right w:w="-1" w:type="dxa"/>
            </w:tcMar>
            <w:vAlign w:val="center"/>
          </w:tcPr>
          <w:p w14:paraId="06F7F181">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 (0.0)</w:t>
            </w:r>
          </w:p>
        </w:tc>
      </w:tr>
      <w:tr w14:paraId="1787798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189" w:type="pct"/>
            <w:tcBorders>
              <w:top w:val="nil"/>
              <w:left w:val="nil"/>
              <w:bottom w:val="nil"/>
              <w:right w:val="nil"/>
            </w:tcBorders>
            <w:shd w:val="clear" w:color="auto" w:fill="auto"/>
            <w:noWrap w:val="0"/>
            <w:tcMar>
              <w:top w:w="-1" w:type="dxa"/>
              <w:left w:w="-1" w:type="dxa"/>
              <w:bottom w:w="-1" w:type="dxa"/>
              <w:right w:w="-1" w:type="dxa"/>
            </w:tcMar>
            <w:vAlign w:val="center"/>
          </w:tcPr>
          <w:p w14:paraId="124045DD">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the safety of imported HPV vaccines</w:t>
            </w:r>
          </w:p>
        </w:tc>
        <w:tc>
          <w:tcPr>
            <w:tcW w:w="3162" w:type="pct"/>
            <w:tcBorders>
              <w:top w:val="nil"/>
              <w:left w:val="nil"/>
              <w:bottom w:val="nil"/>
              <w:right w:val="nil"/>
            </w:tcBorders>
            <w:shd w:val="clear" w:color="auto" w:fill="auto"/>
            <w:noWrap w:val="0"/>
            <w:tcMar>
              <w:top w:w="-1" w:type="dxa"/>
              <w:left w:w="-1" w:type="dxa"/>
              <w:bottom w:w="-1" w:type="dxa"/>
              <w:right w:w="-1" w:type="dxa"/>
            </w:tcMar>
            <w:vAlign w:val="center"/>
          </w:tcPr>
          <w:p w14:paraId="484D6A79">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Very distrustful=1 to very trustful=5; primary models categorical</w:t>
            </w:r>
          </w:p>
        </w:tc>
        <w:tc>
          <w:tcPr>
            <w:tcW w:w="648" w:type="pct"/>
            <w:tcBorders>
              <w:top w:val="nil"/>
              <w:left w:val="nil"/>
              <w:bottom w:val="nil"/>
              <w:right w:val="nil"/>
            </w:tcBorders>
            <w:shd w:val="clear" w:color="auto" w:fill="auto"/>
            <w:noWrap w:val="0"/>
            <w:tcMar>
              <w:top w:w="-1" w:type="dxa"/>
              <w:left w:w="-1" w:type="dxa"/>
              <w:bottom w:w="-1" w:type="dxa"/>
              <w:right w:w="-1" w:type="dxa"/>
            </w:tcMar>
            <w:vAlign w:val="center"/>
          </w:tcPr>
          <w:p w14:paraId="5CD1C778">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 (0.0)</w:t>
            </w:r>
          </w:p>
        </w:tc>
      </w:tr>
      <w:tr w14:paraId="063E761D">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189" w:type="pct"/>
            <w:tcBorders>
              <w:top w:val="nil"/>
              <w:left w:val="nil"/>
              <w:bottom w:val="nil"/>
              <w:right w:val="nil"/>
            </w:tcBorders>
            <w:shd w:val="clear" w:color="auto" w:fill="auto"/>
            <w:noWrap w:val="0"/>
            <w:tcMar>
              <w:top w:w="-1" w:type="dxa"/>
              <w:left w:w="-1" w:type="dxa"/>
              <w:bottom w:w="-1" w:type="dxa"/>
              <w:right w:w="-1" w:type="dxa"/>
            </w:tcMar>
            <w:vAlign w:val="center"/>
          </w:tcPr>
          <w:p w14:paraId="0818CB5C">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Medical recommendation trust</w:t>
            </w:r>
          </w:p>
        </w:tc>
        <w:tc>
          <w:tcPr>
            <w:tcW w:w="3162" w:type="pct"/>
            <w:tcBorders>
              <w:top w:val="nil"/>
              <w:left w:val="nil"/>
              <w:bottom w:val="nil"/>
              <w:right w:val="nil"/>
            </w:tcBorders>
            <w:shd w:val="clear" w:color="auto" w:fill="auto"/>
            <w:noWrap w:val="0"/>
            <w:tcMar>
              <w:top w:w="-1" w:type="dxa"/>
              <w:left w:w="-1" w:type="dxa"/>
              <w:bottom w:w="-1" w:type="dxa"/>
              <w:right w:w="-1" w:type="dxa"/>
            </w:tcMar>
            <w:vAlign w:val="center"/>
          </w:tcPr>
          <w:p w14:paraId="7C79988A">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Very distrustful=1 to very trustful=5</w:t>
            </w:r>
          </w:p>
        </w:tc>
        <w:tc>
          <w:tcPr>
            <w:tcW w:w="648" w:type="pct"/>
            <w:tcBorders>
              <w:top w:val="nil"/>
              <w:left w:val="nil"/>
              <w:bottom w:val="nil"/>
              <w:right w:val="nil"/>
            </w:tcBorders>
            <w:shd w:val="clear" w:color="auto" w:fill="auto"/>
            <w:noWrap w:val="0"/>
            <w:tcMar>
              <w:top w:w="-1" w:type="dxa"/>
              <w:left w:w="-1" w:type="dxa"/>
              <w:bottom w:w="-1" w:type="dxa"/>
              <w:right w:w="-1" w:type="dxa"/>
            </w:tcMar>
            <w:vAlign w:val="center"/>
          </w:tcPr>
          <w:p w14:paraId="3639C9A8">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 (0.0)</w:t>
            </w:r>
          </w:p>
        </w:tc>
      </w:tr>
      <w:tr w14:paraId="22B29248">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189" w:type="pct"/>
            <w:tcBorders>
              <w:top w:val="nil"/>
              <w:left w:val="nil"/>
              <w:bottom w:val="nil"/>
              <w:right w:val="nil"/>
            </w:tcBorders>
            <w:shd w:val="clear" w:color="auto" w:fill="auto"/>
            <w:noWrap w:val="0"/>
            <w:tcMar>
              <w:top w:w="-1" w:type="dxa"/>
              <w:left w:w="-1" w:type="dxa"/>
              <w:bottom w:w="-1" w:type="dxa"/>
              <w:right w:w="-1" w:type="dxa"/>
            </w:tcMar>
            <w:vAlign w:val="center"/>
          </w:tcPr>
          <w:p w14:paraId="10699624">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Adverse-event report exposure</w:t>
            </w:r>
          </w:p>
        </w:tc>
        <w:tc>
          <w:tcPr>
            <w:tcW w:w="3162" w:type="pct"/>
            <w:tcBorders>
              <w:top w:val="nil"/>
              <w:left w:val="nil"/>
              <w:bottom w:val="nil"/>
              <w:right w:val="nil"/>
            </w:tcBorders>
            <w:shd w:val="clear" w:color="auto" w:fill="auto"/>
            <w:noWrap w:val="0"/>
            <w:tcMar>
              <w:top w:w="-1" w:type="dxa"/>
              <w:left w:w="-1" w:type="dxa"/>
              <w:bottom w:w="-1" w:type="dxa"/>
              <w:right w:w="-1" w:type="dxa"/>
            </w:tcMar>
            <w:vAlign w:val="center"/>
          </w:tcPr>
          <w:p w14:paraId="127FB426">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Yes=1; no=0</w:t>
            </w:r>
          </w:p>
        </w:tc>
        <w:tc>
          <w:tcPr>
            <w:tcW w:w="648" w:type="pct"/>
            <w:tcBorders>
              <w:top w:val="nil"/>
              <w:left w:val="nil"/>
              <w:bottom w:val="nil"/>
              <w:right w:val="nil"/>
            </w:tcBorders>
            <w:shd w:val="clear" w:color="auto" w:fill="auto"/>
            <w:noWrap w:val="0"/>
            <w:tcMar>
              <w:top w:w="-1" w:type="dxa"/>
              <w:left w:w="-1" w:type="dxa"/>
              <w:bottom w:w="-1" w:type="dxa"/>
              <w:right w:w="-1" w:type="dxa"/>
            </w:tcMar>
            <w:vAlign w:val="center"/>
          </w:tcPr>
          <w:p w14:paraId="3BA3A793">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 (0.0)</w:t>
            </w:r>
          </w:p>
        </w:tc>
      </w:tr>
      <w:tr w14:paraId="28E362E2">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189" w:type="pct"/>
            <w:tcBorders>
              <w:top w:val="nil"/>
              <w:left w:val="nil"/>
              <w:bottom w:val="nil"/>
              <w:right w:val="nil"/>
            </w:tcBorders>
            <w:shd w:val="clear" w:color="auto" w:fill="auto"/>
            <w:noWrap w:val="0"/>
            <w:tcMar>
              <w:top w:w="-1" w:type="dxa"/>
              <w:left w:w="-1" w:type="dxa"/>
              <w:bottom w:w="-1" w:type="dxa"/>
              <w:right w:w="-1" w:type="dxa"/>
            </w:tcMar>
            <w:vAlign w:val="center"/>
          </w:tcPr>
          <w:p w14:paraId="0B0CAF25">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Perceived necessity</w:t>
            </w:r>
          </w:p>
        </w:tc>
        <w:tc>
          <w:tcPr>
            <w:tcW w:w="3162" w:type="pct"/>
            <w:tcBorders>
              <w:top w:val="nil"/>
              <w:left w:val="nil"/>
              <w:bottom w:val="nil"/>
              <w:right w:val="nil"/>
            </w:tcBorders>
            <w:shd w:val="clear" w:color="auto" w:fill="auto"/>
            <w:noWrap w:val="0"/>
            <w:tcMar>
              <w:top w:w="-1" w:type="dxa"/>
              <w:left w:w="-1" w:type="dxa"/>
              <w:bottom w:w="-1" w:type="dxa"/>
              <w:right w:w="-1" w:type="dxa"/>
            </w:tcMar>
            <w:vAlign w:val="center"/>
          </w:tcPr>
          <w:p w14:paraId="38C700EC">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HPV vaccination necessary=1; not necessary=0</w:t>
            </w:r>
          </w:p>
        </w:tc>
        <w:tc>
          <w:tcPr>
            <w:tcW w:w="648" w:type="pct"/>
            <w:tcBorders>
              <w:top w:val="nil"/>
              <w:left w:val="nil"/>
              <w:bottom w:val="nil"/>
              <w:right w:val="nil"/>
            </w:tcBorders>
            <w:shd w:val="clear" w:color="auto" w:fill="auto"/>
            <w:noWrap w:val="0"/>
            <w:tcMar>
              <w:top w:w="-1" w:type="dxa"/>
              <w:left w:w="-1" w:type="dxa"/>
              <w:bottom w:w="-1" w:type="dxa"/>
              <w:right w:w="-1" w:type="dxa"/>
            </w:tcMar>
            <w:vAlign w:val="center"/>
          </w:tcPr>
          <w:p w14:paraId="2CAD3546">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 (0.0)</w:t>
            </w:r>
          </w:p>
        </w:tc>
      </w:tr>
      <w:tr w14:paraId="4AC1462E">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189" w:type="pct"/>
            <w:tcBorders>
              <w:top w:val="nil"/>
              <w:left w:val="nil"/>
              <w:bottom w:val="nil"/>
              <w:right w:val="nil"/>
            </w:tcBorders>
            <w:shd w:val="clear" w:color="auto" w:fill="auto"/>
            <w:noWrap w:val="0"/>
            <w:tcMar>
              <w:top w:w="-1" w:type="dxa"/>
              <w:left w:w="-1" w:type="dxa"/>
              <w:bottom w:w="-1" w:type="dxa"/>
              <w:right w:w="-1" w:type="dxa"/>
            </w:tcMar>
            <w:vAlign w:val="center"/>
          </w:tcPr>
          <w:p w14:paraId="68F0D96B">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HPV vaccine attention</w:t>
            </w:r>
          </w:p>
        </w:tc>
        <w:tc>
          <w:tcPr>
            <w:tcW w:w="3162" w:type="pct"/>
            <w:tcBorders>
              <w:top w:val="nil"/>
              <w:left w:val="nil"/>
              <w:bottom w:val="nil"/>
              <w:right w:val="nil"/>
            </w:tcBorders>
            <w:shd w:val="clear" w:color="auto" w:fill="auto"/>
            <w:noWrap w:val="0"/>
            <w:tcMar>
              <w:top w:w="-1" w:type="dxa"/>
              <w:left w:w="-1" w:type="dxa"/>
              <w:bottom w:w="-1" w:type="dxa"/>
              <w:right w:w="-1" w:type="dxa"/>
            </w:tcMar>
            <w:vAlign w:val="center"/>
          </w:tcPr>
          <w:p w14:paraId="2C2530D8">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Very low=1 to very high=5</w:t>
            </w:r>
          </w:p>
        </w:tc>
        <w:tc>
          <w:tcPr>
            <w:tcW w:w="648" w:type="pct"/>
            <w:tcBorders>
              <w:top w:val="nil"/>
              <w:left w:val="nil"/>
              <w:bottom w:val="nil"/>
              <w:right w:val="nil"/>
            </w:tcBorders>
            <w:shd w:val="clear" w:color="auto" w:fill="auto"/>
            <w:noWrap w:val="0"/>
            <w:tcMar>
              <w:top w:w="-1" w:type="dxa"/>
              <w:left w:w="-1" w:type="dxa"/>
              <w:bottom w:w="-1" w:type="dxa"/>
              <w:right w:w="-1" w:type="dxa"/>
            </w:tcMar>
            <w:vAlign w:val="center"/>
          </w:tcPr>
          <w:p w14:paraId="6ADB2D09">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 (0.0)</w:t>
            </w:r>
          </w:p>
        </w:tc>
      </w:tr>
      <w:tr w14:paraId="64722B1A">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189"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69871C3F">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Acceptable price</w:t>
            </w:r>
          </w:p>
        </w:tc>
        <w:tc>
          <w:tcPr>
            <w:tcW w:w="3162"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0E489802">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&lt;=1000, 1000-1999, 2000-2999, 3000-3999, &gt;=4000 yuan, or uncertain</w:t>
            </w:r>
          </w:p>
        </w:tc>
        <w:tc>
          <w:tcPr>
            <w:tcW w:w="648"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7E989B54">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 (0.0)</w:t>
            </w:r>
          </w:p>
        </w:tc>
      </w:tr>
    </w:tbl>
    <w:p w14:paraId="032127D5">
      <w:pPr>
        <w:spacing w:after="100" w:line="259" w:lineRule="auto"/>
        <w:rPr>
          <w:rFonts w:hint="default" w:ascii="Times New Roman" w:hAnsi="Times New Roman" w:eastAsia="宋体" w:cs="Times New Roman"/>
          <w:i/>
          <w:kern w:val="0"/>
          <w:sz w:val="21"/>
          <w:szCs w:val="21"/>
          <w:lang w:val="en-US" w:eastAsia="zh-CN" w:bidi="ar"/>
        </w:rPr>
      </w:pPr>
    </w:p>
    <w:p w14:paraId="13B07690">
      <w:pPr>
        <w:spacing w:after="100" w:line="259" w:lineRule="auto"/>
        <w:jc w:val="both"/>
        <w:rPr>
          <w:rFonts w:hint="default" w:ascii="Times New Roman" w:hAnsi="Times New Roman" w:eastAsia="宋体" w:cs="Times New Roman"/>
          <w:i/>
          <w:kern w:val="0"/>
          <w:sz w:val="21"/>
          <w:szCs w:val="21"/>
          <w:lang w:val="en-US" w:eastAsia="zh-CN" w:bidi="ar"/>
        </w:rPr>
      </w:pPr>
      <w:r>
        <w:rPr>
          <w:rFonts w:hint="eastAsia" w:ascii="Times New Roman" w:hAnsi="Times New Roman" w:eastAsia="宋体" w:cs="Times New Roman"/>
          <w:i/>
          <w:kern w:val="0"/>
          <w:sz w:val="21"/>
          <w:szCs w:val="21"/>
          <w:lang w:val="en-US" w:eastAsia="zh-CN" w:bidi="ar"/>
        </w:rPr>
        <w:t xml:space="preserve">Note: </w:t>
      </w:r>
      <w:r>
        <w:rPr>
          <w:rFonts w:hint="default" w:ascii="Times New Roman" w:hAnsi="Times New Roman" w:eastAsia="宋体" w:cs="Times New Roman"/>
          <w:i/>
          <w:kern w:val="0"/>
          <w:sz w:val="21"/>
          <w:szCs w:val="21"/>
          <w:lang w:val="en-US" w:eastAsia="zh-CN" w:bidi="ar"/>
        </w:rPr>
        <w:t>The 86 participants selecting uncertain for acceptable vaccine price represented a substantive response category and were not classified as missing.</w:t>
      </w:r>
    </w:p>
    <w:p w14:paraId="4CE65D98">
      <w:pPr>
        <w:pStyle w:val="3"/>
        <w:rPr>
          <w:rFonts w:hint="default" w:ascii="Times New Roman" w:hAnsi="Times New Roman" w:cs="Times New Roman"/>
          <w:color w:val="000000" w:themeColor="text1"/>
          <w14:textFill>
            <w14:solidFill>
              <w14:schemeClr w14:val="tx1"/>
            </w14:solidFill>
          </w14:textFill>
        </w:rPr>
      </w:pPr>
    </w:p>
    <w:p w14:paraId="56B910B5">
      <w:pPr>
        <w:pStyle w:val="3"/>
        <w:rPr>
          <w:rFonts w:hint="default" w:ascii="Times New Roman" w:hAnsi="Times New Roman" w:cs="Times New Roman"/>
          <w:color w:val="000000" w:themeColor="text1"/>
          <w14:textFill>
            <w14:solidFill>
              <w14:schemeClr w14:val="tx1"/>
            </w14:solidFill>
          </w14:textFill>
        </w:rPr>
      </w:pPr>
    </w:p>
    <w:p w14:paraId="1CFDE742">
      <w:pPr>
        <w:pStyle w:val="3"/>
        <w:rPr>
          <w:rFonts w:hint="default" w:ascii="Times New Roman" w:hAnsi="Times New Roman" w:eastAsia="Arial" w:cs="Times New Roman"/>
          <w:b/>
          <w:bCs w:val="0"/>
          <w:color w:val="000000" w:themeColor="text1"/>
          <w:sz w:val="24"/>
          <w:szCs w:val="24"/>
          <w:lang w:val="en-US" w:eastAsia="zh-CN" w:bidi="ar-SA"/>
          <w14:textFill>
            <w14:solidFill>
              <w14:schemeClr w14:val="tx1"/>
            </w14:solidFill>
          </w14:textFill>
        </w:rPr>
      </w:pPr>
      <w:r>
        <w:rPr>
          <w:rFonts w:hint="default" w:ascii="Times New Roman" w:hAnsi="Times New Roman" w:eastAsia="Arial" w:cs="Times New Roman"/>
          <w:b/>
          <w:bCs w:val="0"/>
          <w:color w:val="000000" w:themeColor="text1"/>
          <w:sz w:val="24"/>
          <w:szCs w:val="24"/>
          <w:lang w:val="en-US" w:eastAsia="zh-CN" w:bidi="ar-SA"/>
          <w14:textFill>
            <w14:solidFill>
              <w14:schemeClr w14:val="tx1"/>
            </w14:solidFill>
          </w14:textFill>
        </w:rPr>
        <w:t>Supplementary Table S2. Correlations with effectiveness trust and collinearity diagnostics for variables in the fully adjusted model</w:t>
      </w:r>
    </w:p>
    <w:tbl>
      <w:tblPr>
        <w:tblStyle w:val="34"/>
        <w:tblW w:w="4999" w:type="pct"/>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Layout w:type="autofit"/>
        <w:tblCellMar>
          <w:top w:w="0" w:type="dxa"/>
          <w:left w:w="108" w:type="dxa"/>
          <w:bottom w:w="0" w:type="dxa"/>
          <w:right w:w="108" w:type="dxa"/>
        </w:tblCellMar>
      </w:tblPr>
      <w:tblGrid>
        <w:gridCol w:w="4018"/>
        <w:gridCol w:w="4042"/>
        <w:gridCol w:w="828"/>
        <w:gridCol w:w="1298"/>
      </w:tblGrid>
      <w:tr w14:paraId="428914B2">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tblHeader/>
          <w:jc w:val="center"/>
        </w:trPr>
        <w:tc>
          <w:tcPr>
            <w:tcW w:w="1971"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2D663AE6">
            <w:pPr>
              <w:snapToGrid w:val="0"/>
              <w:spacing w:after="0" w:line="360" w:lineRule="auto"/>
              <w:ind w:left="0" w:leftChars="0" w:right="0" w:rightChars="0" w:firstLine="0" w:firstLineChars="0"/>
              <w:jc w:val="center"/>
              <w:rPr>
                <w:rFonts w:hint="default" w:ascii="Times New Roman" w:hAnsi="Times New Roman" w:eastAsia="Arial" w:cs="Times New Roman"/>
                <w:b/>
                <w:color w:val="000000" w:themeColor="text1"/>
                <w:sz w:val="21"/>
                <w:szCs w:val="21"/>
                <w14:textFill>
                  <w14:solidFill>
                    <w14:schemeClr w14:val="tx1"/>
                  </w14:solidFill>
                </w14:textFill>
              </w:rPr>
            </w:pPr>
            <w:r>
              <w:rPr>
                <w:rFonts w:hint="default" w:ascii="Times New Roman" w:hAnsi="Times New Roman" w:eastAsia="Arial" w:cs="Times New Roman"/>
                <w:b/>
                <w:color w:val="000000" w:themeColor="text1"/>
                <w:sz w:val="21"/>
                <w:szCs w:val="21"/>
                <w14:textFill>
                  <w14:solidFill>
                    <w14:schemeClr w14:val="tx1"/>
                  </w14:solidFill>
                </w14:textFill>
              </w:rPr>
              <w:t>Variable</w:t>
            </w:r>
          </w:p>
        </w:tc>
        <w:tc>
          <w:tcPr>
            <w:tcW w:w="1983"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5D80508F">
            <w:pPr>
              <w:snapToGrid w:val="0"/>
              <w:spacing w:after="0" w:line="360" w:lineRule="auto"/>
              <w:ind w:left="0" w:leftChars="0" w:right="0" w:rightChars="0" w:firstLine="0" w:firstLineChars="0"/>
              <w:jc w:val="center"/>
              <w:rPr>
                <w:rFonts w:hint="default" w:ascii="Times New Roman" w:hAnsi="Times New Roman" w:eastAsia="Arial" w:cs="Times New Roman"/>
                <w:b/>
                <w:color w:val="000000" w:themeColor="text1"/>
                <w:sz w:val="21"/>
                <w:szCs w:val="21"/>
                <w14:textFill>
                  <w14:solidFill>
                    <w14:schemeClr w14:val="tx1"/>
                  </w14:solidFill>
                </w14:textFill>
              </w:rPr>
            </w:pPr>
            <w:r>
              <w:rPr>
                <w:rFonts w:hint="default" w:ascii="Times New Roman" w:hAnsi="Times New Roman" w:eastAsia="Arial" w:cs="Times New Roman"/>
                <w:b/>
                <w:color w:val="000000" w:themeColor="text1"/>
                <w:sz w:val="21"/>
                <w:szCs w:val="21"/>
                <w14:textFill>
                  <w14:solidFill>
                    <w14:schemeClr w14:val="tx1"/>
                  </w14:solidFill>
                </w14:textFill>
              </w:rPr>
              <w:t>Spearman rho with effectiveness trust</w:t>
            </w:r>
          </w:p>
        </w:tc>
        <w:tc>
          <w:tcPr>
            <w:tcW w:w="406"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5D066BC8">
            <w:pPr>
              <w:snapToGrid w:val="0"/>
              <w:spacing w:after="0" w:line="360" w:lineRule="auto"/>
              <w:ind w:left="0" w:leftChars="0" w:right="0" w:rightChars="0" w:firstLine="0" w:firstLineChars="0"/>
              <w:jc w:val="center"/>
              <w:rPr>
                <w:rFonts w:hint="default" w:ascii="Times New Roman" w:hAnsi="Times New Roman" w:eastAsia="Arial" w:cs="Times New Roman"/>
                <w:b/>
                <w:color w:val="000000" w:themeColor="text1"/>
                <w:sz w:val="21"/>
                <w:szCs w:val="21"/>
                <w14:textFill>
                  <w14:solidFill>
                    <w14:schemeClr w14:val="tx1"/>
                  </w14:solidFill>
                </w14:textFill>
              </w:rPr>
            </w:pPr>
            <w:r>
              <w:rPr>
                <w:rFonts w:hint="default" w:ascii="Times New Roman" w:hAnsi="Times New Roman" w:eastAsia="Arial" w:cs="Times New Roman"/>
                <w:b/>
                <w:color w:val="000000" w:themeColor="text1"/>
                <w:sz w:val="21"/>
                <w:szCs w:val="21"/>
                <w14:textFill>
                  <w14:solidFill>
                    <w14:schemeClr w14:val="tx1"/>
                  </w14:solidFill>
                </w14:textFill>
              </w:rPr>
              <w:t>VIF</w:t>
            </w:r>
          </w:p>
        </w:tc>
        <w:tc>
          <w:tcPr>
            <w:tcW w:w="637"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57D17A06">
            <w:pPr>
              <w:snapToGrid w:val="0"/>
              <w:spacing w:after="0" w:line="360" w:lineRule="auto"/>
              <w:ind w:left="0" w:leftChars="0" w:right="0" w:rightChars="0" w:firstLine="0" w:firstLineChars="0"/>
              <w:jc w:val="center"/>
              <w:rPr>
                <w:rFonts w:hint="default" w:ascii="Times New Roman" w:hAnsi="Times New Roman" w:eastAsia="Arial" w:cs="Times New Roman"/>
                <w:b/>
                <w:color w:val="000000" w:themeColor="text1"/>
                <w:sz w:val="21"/>
                <w:szCs w:val="21"/>
                <w14:textFill>
                  <w14:solidFill>
                    <w14:schemeClr w14:val="tx1"/>
                  </w14:solidFill>
                </w14:textFill>
              </w:rPr>
            </w:pPr>
            <w:r>
              <w:rPr>
                <w:rFonts w:hint="default" w:ascii="Times New Roman" w:hAnsi="Times New Roman" w:eastAsia="Arial" w:cs="Times New Roman"/>
                <w:b/>
                <w:color w:val="000000" w:themeColor="text1"/>
                <w:sz w:val="21"/>
                <w:szCs w:val="21"/>
                <w14:textFill>
                  <w14:solidFill>
                    <w14:schemeClr w14:val="tx1"/>
                  </w14:solidFill>
                </w14:textFill>
              </w:rPr>
              <w:t>Tolerance</w:t>
            </w:r>
          </w:p>
        </w:tc>
      </w:tr>
      <w:tr w14:paraId="213CCAB3">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971" w:type="pct"/>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5F312614">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HPV vaccine effectiveness</w:t>
            </w:r>
          </w:p>
        </w:tc>
        <w:tc>
          <w:tcPr>
            <w:tcW w:w="1983" w:type="pct"/>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0E5B91D4">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w:t>
            </w:r>
          </w:p>
        </w:tc>
        <w:tc>
          <w:tcPr>
            <w:tcW w:w="406" w:type="pct"/>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3BB33AA6">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2.150</w:t>
            </w:r>
          </w:p>
        </w:tc>
        <w:tc>
          <w:tcPr>
            <w:tcW w:w="637" w:type="pct"/>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554CAF43">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0.465</w:t>
            </w:r>
          </w:p>
        </w:tc>
      </w:tr>
      <w:tr w14:paraId="4585BC9B">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971" w:type="pct"/>
            <w:tcBorders>
              <w:top w:val="nil"/>
              <w:left w:val="nil"/>
              <w:bottom w:val="nil"/>
              <w:right w:val="nil"/>
            </w:tcBorders>
            <w:shd w:val="clear" w:color="auto" w:fill="auto"/>
            <w:noWrap w:val="0"/>
            <w:tcMar>
              <w:top w:w="-1" w:type="dxa"/>
              <w:left w:w="-1" w:type="dxa"/>
              <w:bottom w:w="-1" w:type="dxa"/>
              <w:right w:w="-1" w:type="dxa"/>
            </w:tcMar>
            <w:vAlign w:val="center"/>
          </w:tcPr>
          <w:p w14:paraId="65FD63C1">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the safety of domestically produced bivalent HPV vaccines</w:t>
            </w:r>
          </w:p>
        </w:tc>
        <w:tc>
          <w:tcPr>
            <w:tcW w:w="1983" w:type="pct"/>
            <w:tcBorders>
              <w:top w:val="nil"/>
              <w:left w:val="nil"/>
              <w:bottom w:val="nil"/>
              <w:right w:val="nil"/>
            </w:tcBorders>
            <w:shd w:val="clear" w:color="auto" w:fill="auto"/>
            <w:noWrap w:val="0"/>
            <w:tcMar>
              <w:top w:w="-1" w:type="dxa"/>
              <w:left w:w="-1" w:type="dxa"/>
              <w:bottom w:w="-1" w:type="dxa"/>
              <w:right w:w="-1" w:type="dxa"/>
            </w:tcMar>
            <w:vAlign w:val="center"/>
          </w:tcPr>
          <w:p w14:paraId="797A7722">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0.619</w:t>
            </w:r>
          </w:p>
        </w:tc>
        <w:tc>
          <w:tcPr>
            <w:tcW w:w="406" w:type="pct"/>
            <w:tcBorders>
              <w:top w:val="nil"/>
              <w:left w:val="nil"/>
              <w:bottom w:val="nil"/>
              <w:right w:val="nil"/>
            </w:tcBorders>
            <w:shd w:val="clear" w:color="auto" w:fill="auto"/>
            <w:noWrap w:val="0"/>
            <w:tcMar>
              <w:top w:w="-1" w:type="dxa"/>
              <w:left w:w="-1" w:type="dxa"/>
              <w:bottom w:w="-1" w:type="dxa"/>
              <w:right w:w="-1" w:type="dxa"/>
            </w:tcMar>
            <w:vAlign w:val="center"/>
          </w:tcPr>
          <w:p w14:paraId="6D25C5DD">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2.152</w:t>
            </w:r>
          </w:p>
        </w:tc>
        <w:tc>
          <w:tcPr>
            <w:tcW w:w="637" w:type="pct"/>
            <w:tcBorders>
              <w:top w:val="nil"/>
              <w:left w:val="nil"/>
              <w:bottom w:val="nil"/>
              <w:right w:val="nil"/>
            </w:tcBorders>
            <w:shd w:val="clear" w:color="auto" w:fill="auto"/>
            <w:noWrap w:val="0"/>
            <w:tcMar>
              <w:top w:w="-1" w:type="dxa"/>
              <w:left w:w="-1" w:type="dxa"/>
              <w:bottom w:w="-1" w:type="dxa"/>
              <w:right w:w="-1" w:type="dxa"/>
            </w:tcMar>
            <w:vAlign w:val="center"/>
          </w:tcPr>
          <w:p w14:paraId="7F967F40">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0.465</w:t>
            </w:r>
          </w:p>
        </w:tc>
      </w:tr>
      <w:tr w14:paraId="14897BB0">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971" w:type="pct"/>
            <w:tcBorders>
              <w:top w:val="nil"/>
              <w:left w:val="nil"/>
              <w:bottom w:val="nil"/>
              <w:right w:val="nil"/>
            </w:tcBorders>
            <w:shd w:val="clear" w:color="auto" w:fill="auto"/>
            <w:noWrap w:val="0"/>
            <w:tcMar>
              <w:top w:w="-1" w:type="dxa"/>
              <w:left w:w="-1" w:type="dxa"/>
              <w:bottom w:w="-1" w:type="dxa"/>
              <w:right w:w="-1" w:type="dxa"/>
            </w:tcMar>
            <w:vAlign w:val="center"/>
          </w:tcPr>
          <w:p w14:paraId="0E50C331">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the safety of imported HPV vaccines</w:t>
            </w:r>
          </w:p>
        </w:tc>
        <w:tc>
          <w:tcPr>
            <w:tcW w:w="1983" w:type="pct"/>
            <w:tcBorders>
              <w:top w:val="nil"/>
              <w:left w:val="nil"/>
              <w:bottom w:val="nil"/>
              <w:right w:val="nil"/>
            </w:tcBorders>
            <w:shd w:val="clear" w:color="auto" w:fill="auto"/>
            <w:noWrap w:val="0"/>
            <w:tcMar>
              <w:top w:w="-1" w:type="dxa"/>
              <w:left w:w="-1" w:type="dxa"/>
              <w:bottom w:w="-1" w:type="dxa"/>
              <w:right w:w="-1" w:type="dxa"/>
            </w:tcMar>
            <w:vAlign w:val="center"/>
          </w:tcPr>
          <w:p w14:paraId="09E5673A">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0.625</w:t>
            </w:r>
          </w:p>
        </w:tc>
        <w:tc>
          <w:tcPr>
            <w:tcW w:w="406" w:type="pct"/>
            <w:tcBorders>
              <w:top w:val="nil"/>
              <w:left w:val="nil"/>
              <w:bottom w:val="nil"/>
              <w:right w:val="nil"/>
            </w:tcBorders>
            <w:shd w:val="clear" w:color="auto" w:fill="auto"/>
            <w:noWrap w:val="0"/>
            <w:tcMar>
              <w:top w:w="-1" w:type="dxa"/>
              <w:left w:w="-1" w:type="dxa"/>
              <w:bottom w:w="-1" w:type="dxa"/>
              <w:right w:w="-1" w:type="dxa"/>
            </w:tcMar>
            <w:vAlign w:val="center"/>
          </w:tcPr>
          <w:p w14:paraId="79D95489">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2.111</w:t>
            </w:r>
          </w:p>
        </w:tc>
        <w:tc>
          <w:tcPr>
            <w:tcW w:w="637" w:type="pct"/>
            <w:tcBorders>
              <w:top w:val="nil"/>
              <w:left w:val="nil"/>
              <w:bottom w:val="nil"/>
              <w:right w:val="nil"/>
            </w:tcBorders>
            <w:shd w:val="clear" w:color="auto" w:fill="auto"/>
            <w:noWrap w:val="0"/>
            <w:tcMar>
              <w:top w:w="-1" w:type="dxa"/>
              <w:left w:w="-1" w:type="dxa"/>
              <w:bottom w:w="-1" w:type="dxa"/>
              <w:right w:w="-1" w:type="dxa"/>
            </w:tcMar>
            <w:vAlign w:val="center"/>
          </w:tcPr>
          <w:p w14:paraId="45AC2B59">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0.474</w:t>
            </w:r>
          </w:p>
        </w:tc>
      </w:tr>
      <w:tr w14:paraId="4F98D7C9">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971" w:type="pct"/>
            <w:tcBorders>
              <w:top w:val="nil"/>
              <w:left w:val="nil"/>
              <w:bottom w:val="nil"/>
              <w:right w:val="nil"/>
            </w:tcBorders>
            <w:shd w:val="clear" w:color="auto" w:fill="auto"/>
            <w:noWrap w:val="0"/>
            <w:tcMar>
              <w:top w:w="-1" w:type="dxa"/>
              <w:left w:w="-1" w:type="dxa"/>
              <w:bottom w:w="-1" w:type="dxa"/>
              <w:right w:w="-1" w:type="dxa"/>
            </w:tcMar>
            <w:vAlign w:val="center"/>
          </w:tcPr>
          <w:p w14:paraId="3DCE6EE9">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Medical recommendation trust</w:t>
            </w:r>
          </w:p>
        </w:tc>
        <w:tc>
          <w:tcPr>
            <w:tcW w:w="1983" w:type="pct"/>
            <w:tcBorders>
              <w:top w:val="nil"/>
              <w:left w:val="nil"/>
              <w:bottom w:val="nil"/>
              <w:right w:val="nil"/>
            </w:tcBorders>
            <w:shd w:val="clear" w:color="auto" w:fill="auto"/>
            <w:noWrap w:val="0"/>
            <w:tcMar>
              <w:top w:w="-1" w:type="dxa"/>
              <w:left w:w="-1" w:type="dxa"/>
              <w:bottom w:w="-1" w:type="dxa"/>
              <w:right w:w="-1" w:type="dxa"/>
            </w:tcMar>
            <w:vAlign w:val="center"/>
          </w:tcPr>
          <w:p w14:paraId="62E76C47">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0.589</w:t>
            </w:r>
          </w:p>
        </w:tc>
        <w:tc>
          <w:tcPr>
            <w:tcW w:w="406" w:type="pct"/>
            <w:tcBorders>
              <w:top w:val="nil"/>
              <w:left w:val="nil"/>
              <w:bottom w:val="nil"/>
              <w:right w:val="nil"/>
            </w:tcBorders>
            <w:shd w:val="clear" w:color="auto" w:fill="auto"/>
            <w:noWrap w:val="0"/>
            <w:tcMar>
              <w:top w:w="-1" w:type="dxa"/>
              <w:left w:w="-1" w:type="dxa"/>
              <w:bottom w:w="-1" w:type="dxa"/>
              <w:right w:w="-1" w:type="dxa"/>
            </w:tcMar>
            <w:vAlign w:val="center"/>
          </w:tcPr>
          <w:p w14:paraId="369EFF98">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1.965</w:t>
            </w:r>
          </w:p>
        </w:tc>
        <w:tc>
          <w:tcPr>
            <w:tcW w:w="637" w:type="pct"/>
            <w:tcBorders>
              <w:top w:val="nil"/>
              <w:left w:val="nil"/>
              <w:bottom w:val="nil"/>
              <w:right w:val="nil"/>
            </w:tcBorders>
            <w:shd w:val="clear" w:color="auto" w:fill="auto"/>
            <w:noWrap w:val="0"/>
            <w:tcMar>
              <w:top w:w="-1" w:type="dxa"/>
              <w:left w:w="-1" w:type="dxa"/>
              <w:bottom w:w="-1" w:type="dxa"/>
              <w:right w:w="-1" w:type="dxa"/>
            </w:tcMar>
            <w:vAlign w:val="center"/>
          </w:tcPr>
          <w:p w14:paraId="55AAA835">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0.509</w:t>
            </w:r>
          </w:p>
        </w:tc>
      </w:tr>
      <w:tr w14:paraId="5C0E5DF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971" w:type="pct"/>
            <w:tcBorders>
              <w:top w:val="nil"/>
              <w:left w:val="nil"/>
              <w:bottom w:val="nil"/>
              <w:right w:val="nil"/>
            </w:tcBorders>
            <w:shd w:val="clear" w:color="auto" w:fill="auto"/>
            <w:noWrap w:val="0"/>
            <w:tcMar>
              <w:top w:w="-1" w:type="dxa"/>
              <w:left w:w="-1" w:type="dxa"/>
              <w:bottom w:w="-1" w:type="dxa"/>
              <w:right w:w="-1" w:type="dxa"/>
            </w:tcMar>
            <w:vAlign w:val="center"/>
          </w:tcPr>
          <w:p w14:paraId="48FBCDFA">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Attention to HPV vaccine information</w:t>
            </w:r>
          </w:p>
        </w:tc>
        <w:tc>
          <w:tcPr>
            <w:tcW w:w="1983" w:type="pct"/>
            <w:tcBorders>
              <w:top w:val="nil"/>
              <w:left w:val="nil"/>
              <w:bottom w:val="nil"/>
              <w:right w:val="nil"/>
            </w:tcBorders>
            <w:shd w:val="clear" w:color="auto" w:fill="auto"/>
            <w:noWrap w:val="0"/>
            <w:tcMar>
              <w:top w:w="-1" w:type="dxa"/>
              <w:left w:w="-1" w:type="dxa"/>
              <w:bottom w:w="-1" w:type="dxa"/>
              <w:right w:w="-1" w:type="dxa"/>
            </w:tcMar>
            <w:vAlign w:val="center"/>
          </w:tcPr>
          <w:p w14:paraId="62C0E308">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0.604</w:t>
            </w:r>
          </w:p>
        </w:tc>
        <w:tc>
          <w:tcPr>
            <w:tcW w:w="406" w:type="pct"/>
            <w:tcBorders>
              <w:top w:val="nil"/>
              <w:left w:val="nil"/>
              <w:bottom w:val="nil"/>
              <w:right w:val="nil"/>
            </w:tcBorders>
            <w:shd w:val="clear" w:color="auto" w:fill="auto"/>
            <w:noWrap w:val="0"/>
            <w:tcMar>
              <w:top w:w="-1" w:type="dxa"/>
              <w:left w:w="-1" w:type="dxa"/>
              <w:bottom w:w="-1" w:type="dxa"/>
              <w:right w:w="-1" w:type="dxa"/>
            </w:tcMar>
            <w:vAlign w:val="center"/>
          </w:tcPr>
          <w:p w14:paraId="014699B6">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1.977</w:t>
            </w:r>
          </w:p>
        </w:tc>
        <w:tc>
          <w:tcPr>
            <w:tcW w:w="637" w:type="pct"/>
            <w:tcBorders>
              <w:top w:val="nil"/>
              <w:left w:val="nil"/>
              <w:bottom w:val="nil"/>
              <w:right w:val="nil"/>
            </w:tcBorders>
            <w:shd w:val="clear" w:color="auto" w:fill="auto"/>
            <w:noWrap w:val="0"/>
            <w:tcMar>
              <w:top w:w="-1" w:type="dxa"/>
              <w:left w:w="-1" w:type="dxa"/>
              <w:bottom w:w="-1" w:type="dxa"/>
              <w:right w:w="-1" w:type="dxa"/>
            </w:tcMar>
            <w:vAlign w:val="center"/>
          </w:tcPr>
          <w:p w14:paraId="18412DCA">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0.506</w:t>
            </w:r>
          </w:p>
        </w:tc>
      </w:tr>
      <w:tr w14:paraId="16F7C973">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971" w:type="pct"/>
            <w:tcBorders>
              <w:top w:val="nil"/>
              <w:left w:val="nil"/>
              <w:bottom w:val="nil"/>
              <w:right w:val="nil"/>
            </w:tcBorders>
            <w:shd w:val="clear" w:color="auto" w:fill="auto"/>
            <w:noWrap w:val="0"/>
            <w:tcMar>
              <w:top w:w="-1" w:type="dxa"/>
              <w:left w:w="-1" w:type="dxa"/>
              <w:bottom w:w="-1" w:type="dxa"/>
              <w:right w:w="-1" w:type="dxa"/>
            </w:tcMar>
            <w:vAlign w:val="center"/>
          </w:tcPr>
          <w:p w14:paraId="36F70941">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Perceived necessity of HPV vaccination</w:t>
            </w:r>
          </w:p>
        </w:tc>
        <w:tc>
          <w:tcPr>
            <w:tcW w:w="1983" w:type="pct"/>
            <w:tcBorders>
              <w:top w:val="nil"/>
              <w:left w:val="nil"/>
              <w:bottom w:val="nil"/>
              <w:right w:val="nil"/>
            </w:tcBorders>
            <w:shd w:val="clear" w:color="auto" w:fill="auto"/>
            <w:noWrap w:val="0"/>
            <w:tcMar>
              <w:top w:w="-1" w:type="dxa"/>
              <w:left w:w="-1" w:type="dxa"/>
              <w:bottom w:w="-1" w:type="dxa"/>
              <w:right w:w="-1" w:type="dxa"/>
            </w:tcMar>
            <w:vAlign w:val="center"/>
          </w:tcPr>
          <w:p w14:paraId="2E28513A">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0.233</w:t>
            </w:r>
          </w:p>
        </w:tc>
        <w:tc>
          <w:tcPr>
            <w:tcW w:w="406" w:type="pct"/>
            <w:tcBorders>
              <w:top w:val="nil"/>
              <w:left w:val="nil"/>
              <w:bottom w:val="nil"/>
              <w:right w:val="nil"/>
            </w:tcBorders>
            <w:shd w:val="clear" w:color="auto" w:fill="auto"/>
            <w:noWrap w:val="0"/>
            <w:tcMar>
              <w:top w:w="-1" w:type="dxa"/>
              <w:left w:w="-1" w:type="dxa"/>
              <w:bottom w:w="-1" w:type="dxa"/>
              <w:right w:w="-1" w:type="dxa"/>
            </w:tcMar>
            <w:vAlign w:val="center"/>
          </w:tcPr>
          <w:p w14:paraId="74A43B2D">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1.251</w:t>
            </w:r>
          </w:p>
        </w:tc>
        <w:tc>
          <w:tcPr>
            <w:tcW w:w="637" w:type="pct"/>
            <w:tcBorders>
              <w:top w:val="nil"/>
              <w:left w:val="nil"/>
              <w:bottom w:val="nil"/>
              <w:right w:val="nil"/>
            </w:tcBorders>
            <w:shd w:val="clear" w:color="auto" w:fill="auto"/>
            <w:noWrap w:val="0"/>
            <w:tcMar>
              <w:top w:w="-1" w:type="dxa"/>
              <w:left w:w="-1" w:type="dxa"/>
              <w:bottom w:w="-1" w:type="dxa"/>
              <w:right w:w="-1" w:type="dxa"/>
            </w:tcMar>
            <w:vAlign w:val="center"/>
          </w:tcPr>
          <w:p w14:paraId="25F1797A">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0.800</w:t>
            </w:r>
          </w:p>
        </w:tc>
      </w:tr>
      <w:tr w14:paraId="22CB56D3">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971" w:type="pct"/>
            <w:tcBorders>
              <w:top w:val="nil"/>
              <w:left w:val="nil"/>
              <w:bottom w:val="nil"/>
              <w:right w:val="nil"/>
            </w:tcBorders>
            <w:shd w:val="clear" w:color="auto" w:fill="auto"/>
            <w:noWrap w:val="0"/>
            <w:tcMar>
              <w:top w:w="-1" w:type="dxa"/>
              <w:left w:w="-1" w:type="dxa"/>
              <w:bottom w:w="-1" w:type="dxa"/>
              <w:right w:w="-1" w:type="dxa"/>
            </w:tcMar>
            <w:vAlign w:val="center"/>
          </w:tcPr>
          <w:p w14:paraId="05B8D276">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Age</w:t>
            </w:r>
          </w:p>
        </w:tc>
        <w:tc>
          <w:tcPr>
            <w:tcW w:w="1983" w:type="pct"/>
            <w:tcBorders>
              <w:top w:val="nil"/>
              <w:left w:val="nil"/>
              <w:bottom w:val="nil"/>
              <w:right w:val="nil"/>
            </w:tcBorders>
            <w:shd w:val="clear" w:color="auto" w:fill="auto"/>
            <w:noWrap w:val="0"/>
            <w:tcMar>
              <w:top w:w="-1" w:type="dxa"/>
              <w:left w:w="-1" w:type="dxa"/>
              <w:bottom w:w="-1" w:type="dxa"/>
              <w:right w:w="-1" w:type="dxa"/>
            </w:tcMar>
            <w:vAlign w:val="center"/>
          </w:tcPr>
          <w:p w14:paraId="3EFADD9D">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w:t>
            </w:r>
          </w:p>
        </w:tc>
        <w:tc>
          <w:tcPr>
            <w:tcW w:w="406" w:type="pct"/>
            <w:tcBorders>
              <w:top w:val="nil"/>
              <w:left w:val="nil"/>
              <w:bottom w:val="nil"/>
              <w:right w:val="nil"/>
            </w:tcBorders>
            <w:shd w:val="clear" w:color="auto" w:fill="auto"/>
            <w:noWrap w:val="0"/>
            <w:tcMar>
              <w:top w:w="-1" w:type="dxa"/>
              <w:left w:w="-1" w:type="dxa"/>
              <w:bottom w:w="-1" w:type="dxa"/>
              <w:right w:w="-1" w:type="dxa"/>
            </w:tcMar>
            <w:vAlign w:val="center"/>
          </w:tcPr>
          <w:p w14:paraId="4739BDED">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1.293</w:t>
            </w:r>
          </w:p>
        </w:tc>
        <w:tc>
          <w:tcPr>
            <w:tcW w:w="637" w:type="pct"/>
            <w:tcBorders>
              <w:top w:val="nil"/>
              <w:left w:val="nil"/>
              <w:bottom w:val="nil"/>
              <w:right w:val="nil"/>
            </w:tcBorders>
            <w:shd w:val="clear" w:color="auto" w:fill="auto"/>
            <w:noWrap w:val="0"/>
            <w:tcMar>
              <w:top w:w="-1" w:type="dxa"/>
              <w:left w:w="-1" w:type="dxa"/>
              <w:bottom w:w="-1" w:type="dxa"/>
              <w:right w:w="-1" w:type="dxa"/>
            </w:tcMar>
            <w:vAlign w:val="center"/>
          </w:tcPr>
          <w:p w14:paraId="489DDC83">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0.773</w:t>
            </w:r>
          </w:p>
        </w:tc>
      </w:tr>
      <w:tr w14:paraId="5748B860">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971" w:type="pct"/>
            <w:tcBorders>
              <w:top w:val="nil"/>
              <w:left w:val="nil"/>
              <w:bottom w:val="nil"/>
              <w:right w:val="nil"/>
            </w:tcBorders>
            <w:shd w:val="clear" w:color="auto" w:fill="auto"/>
            <w:noWrap w:val="0"/>
            <w:tcMar>
              <w:top w:w="-1" w:type="dxa"/>
              <w:left w:w="-1" w:type="dxa"/>
              <w:bottom w:w="-1" w:type="dxa"/>
              <w:right w:w="-1" w:type="dxa"/>
            </w:tcMar>
            <w:vAlign w:val="center"/>
          </w:tcPr>
          <w:p w14:paraId="2EE33D53">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Educational level</w:t>
            </w:r>
          </w:p>
        </w:tc>
        <w:tc>
          <w:tcPr>
            <w:tcW w:w="1983" w:type="pct"/>
            <w:tcBorders>
              <w:top w:val="nil"/>
              <w:left w:val="nil"/>
              <w:bottom w:val="nil"/>
              <w:right w:val="nil"/>
            </w:tcBorders>
            <w:shd w:val="clear" w:color="auto" w:fill="auto"/>
            <w:noWrap w:val="0"/>
            <w:tcMar>
              <w:top w:w="-1" w:type="dxa"/>
              <w:left w:w="-1" w:type="dxa"/>
              <w:bottom w:w="-1" w:type="dxa"/>
              <w:right w:w="-1" w:type="dxa"/>
            </w:tcMar>
            <w:vAlign w:val="center"/>
          </w:tcPr>
          <w:p w14:paraId="2758955B">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w:t>
            </w:r>
          </w:p>
        </w:tc>
        <w:tc>
          <w:tcPr>
            <w:tcW w:w="406" w:type="pct"/>
            <w:tcBorders>
              <w:top w:val="nil"/>
              <w:left w:val="nil"/>
              <w:bottom w:val="nil"/>
              <w:right w:val="nil"/>
            </w:tcBorders>
            <w:shd w:val="clear" w:color="auto" w:fill="auto"/>
            <w:noWrap w:val="0"/>
            <w:tcMar>
              <w:top w:w="-1" w:type="dxa"/>
              <w:left w:w="-1" w:type="dxa"/>
              <w:bottom w:w="-1" w:type="dxa"/>
              <w:right w:w="-1" w:type="dxa"/>
            </w:tcMar>
            <w:vAlign w:val="center"/>
          </w:tcPr>
          <w:p w14:paraId="1FD73B28">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1.096</w:t>
            </w:r>
          </w:p>
        </w:tc>
        <w:tc>
          <w:tcPr>
            <w:tcW w:w="637" w:type="pct"/>
            <w:tcBorders>
              <w:top w:val="nil"/>
              <w:left w:val="nil"/>
              <w:bottom w:val="nil"/>
              <w:right w:val="nil"/>
            </w:tcBorders>
            <w:shd w:val="clear" w:color="auto" w:fill="auto"/>
            <w:noWrap w:val="0"/>
            <w:tcMar>
              <w:top w:w="-1" w:type="dxa"/>
              <w:left w:w="-1" w:type="dxa"/>
              <w:bottom w:w="-1" w:type="dxa"/>
              <w:right w:w="-1" w:type="dxa"/>
            </w:tcMar>
            <w:vAlign w:val="center"/>
          </w:tcPr>
          <w:p w14:paraId="16820B29">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0.912</w:t>
            </w:r>
          </w:p>
        </w:tc>
      </w:tr>
      <w:tr w14:paraId="5395717E">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971" w:type="pct"/>
            <w:tcBorders>
              <w:top w:val="nil"/>
              <w:left w:val="nil"/>
              <w:bottom w:val="nil"/>
              <w:right w:val="nil"/>
            </w:tcBorders>
            <w:shd w:val="clear" w:color="auto" w:fill="auto"/>
            <w:noWrap w:val="0"/>
            <w:tcMar>
              <w:top w:w="-1" w:type="dxa"/>
              <w:left w:w="-1" w:type="dxa"/>
              <w:bottom w:w="-1" w:type="dxa"/>
              <w:right w:w="-1" w:type="dxa"/>
            </w:tcMar>
            <w:vAlign w:val="center"/>
          </w:tcPr>
          <w:p w14:paraId="67B5B6D6">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Rural residence</w:t>
            </w:r>
          </w:p>
        </w:tc>
        <w:tc>
          <w:tcPr>
            <w:tcW w:w="1983" w:type="pct"/>
            <w:tcBorders>
              <w:top w:val="nil"/>
              <w:left w:val="nil"/>
              <w:bottom w:val="nil"/>
              <w:right w:val="nil"/>
            </w:tcBorders>
            <w:shd w:val="clear" w:color="auto" w:fill="auto"/>
            <w:noWrap w:val="0"/>
            <w:tcMar>
              <w:top w:w="-1" w:type="dxa"/>
              <w:left w:w="-1" w:type="dxa"/>
              <w:bottom w:w="-1" w:type="dxa"/>
              <w:right w:w="-1" w:type="dxa"/>
            </w:tcMar>
            <w:vAlign w:val="center"/>
          </w:tcPr>
          <w:p w14:paraId="7991AA40">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w:t>
            </w:r>
          </w:p>
        </w:tc>
        <w:tc>
          <w:tcPr>
            <w:tcW w:w="406" w:type="pct"/>
            <w:tcBorders>
              <w:top w:val="nil"/>
              <w:left w:val="nil"/>
              <w:bottom w:val="nil"/>
              <w:right w:val="nil"/>
            </w:tcBorders>
            <w:shd w:val="clear" w:color="auto" w:fill="auto"/>
            <w:noWrap w:val="0"/>
            <w:tcMar>
              <w:top w:w="-1" w:type="dxa"/>
              <w:left w:w="-1" w:type="dxa"/>
              <w:bottom w:w="-1" w:type="dxa"/>
              <w:right w:w="-1" w:type="dxa"/>
            </w:tcMar>
            <w:vAlign w:val="center"/>
          </w:tcPr>
          <w:p w14:paraId="6E52A5F3">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1.009</w:t>
            </w:r>
          </w:p>
        </w:tc>
        <w:tc>
          <w:tcPr>
            <w:tcW w:w="637" w:type="pct"/>
            <w:tcBorders>
              <w:top w:val="nil"/>
              <w:left w:val="nil"/>
              <w:bottom w:val="nil"/>
              <w:right w:val="nil"/>
            </w:tcBorders>
            <w:shd w:val="clear" w:color="auto" w:fill="auto"/>
            <w:noWrap w:val="0"/>
            <w:tcMar>
              <w:top w:w="-1" w:type="dxa"/>
              <w:left w:w="-1" w:type="dxa"/>
              <w:bottom w:w="-1" w:type="dxa"/>
              <w:right w:w="-1" w:type="dxa"/>
            </w:tcMar>
            <w:vAlign w:val="center"/>
          </w:tcPr>
          <w:p w14:paraId="2590688C">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0.991</w:t>
            </w:r>
          </w:p>
        </w:tc>
      </w:tr>
      <w:tr w14:paraId="28D0E39D">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971" w:type="pct"/>
            <w:tcBorders>
              <w:top w:val="nil"/>
              <w:left w:val="nil"/>
              <w:bottom w:val="nil"/>
              <w:right w:val="nil"/>
            </w:tcBorders>
            <w:shd w:val="clear" w:color="auto" w:fill="auto"/>
            <w:noWrap w:val="0"/>
            <w:tcMar>
              <w:top w:w="-1" w:type="dxa"/>
              <w:left w:w="-1" w:type="dxa"/>
              <w:bottom w:w="-1" w:type="dxa"/>
              <w:right w:w="-1" w:type="dxa"/>
            </w:tcMar>
            <w:vAlign w:val="center"/>
          </w:tcPr>
          <w:p w14:paraId="71D208F0">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Medical or health-related major</w:t>
            </w:r>
          </w:p>
        </w:tc>
        <w:tc>
          <w:tcPr>
            <w:tcW w:w="1983" w:type="pct"/>
            <w:tcBorders>
              <w:top w:val="nil"/>
              <w:left w:val="nil"/>
              <w:bottom w:val="nil"/>
              <w:right w:val="nil"/>
            </w:tcBorders>
            <w:shd w:val="clear" w:color="auto" w:fill="auto"/>
            <w:noWrap w:val="0"/>
            <w:tcMar>
              <w:top w:w="-1" w:type="dxa"/>
              <w:left w:w="-1" w:type="dxa"/>
              <w:bottom w:w="-1" w:type="dxa"/>
              <w:right w:w="-1" w:type="dxa"/>
            </w:tcMar>
            <w:vAlign w:val="center"/>
          </w:tcPr>
          <w:p w14:paraId="542FB707">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w:t>
            </w:r>
          </w:p>
        </w:tc>
        <w:tc>
          <w:tcPr>
            <w:tcW w:w="406" w:type="pct"/>
            <w:tcBorders>
              <w:top w:val="nil"/>
              <w:left w:val="nil"/>
              <w:bottom w:val="nil"/>
              <w:right w:val="nil"/>
            </w:tcBorders>
            <w:shd w:val="clear" w:color="auto" w:fill="auto"/>
            <w:noWrap w:val="0"/>
            <w:tcMar>
              <w:top w:w="-1" w:type="dxa"/>
              <w:left w:w="-1" w:type="dxa"/>
              <w:bottom w:w="-1" w:type="dxa"/>
              <w:right w:w="-1" w:type="dxa"/>
            </w:tcMar>
            <w:vAlign w:val="center"/>
          </w:tcPr>
          <w:p w14:paraId="390F621B">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1.051</w:t>
            </w:r>
          </w:p>
        </w:tc>
        <w:tc>
          <w:tcPr>
            <w:tcW w:w="637" w:type="pct"/>
            <w:tcBorders>
              <w:top w:val="nil"/>
              <w:left w:val="nil"/>
              <w:bottom w:val="nil"/>
              <w:right w:val="nil"/>
            </w:tcBorders>
            <w:shd w:val="clear" w:color="auto" w:fill="auto"/>
            <w:noWrap w:val="0"/>
            <w:tcMar>
              <w:top w:w="-1" w:type="dxa"/>
              <w:left w:w="-1" w:type="dxa"/>
              <w:bottom w:w="-1" w:type="dxa"/>
              <w:right w:w="-1" w:type="dxa"/>
            </w:tcMar>
            <w:vAlign w:val="center"/>
          </w:tcPr>
          <w:p w14:paraId="10E7D031">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0.952</w:t>
            </w:r>
          </w:p>
        </w:tc>
      </w:tr>
      <w:tr w14:paraId="7E7E0872">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971" w:type="pct"/>
            <w:tcBorders>
              <w:top w:val="nil"/>
              <w:left w:val="nil"/>
              <w:bottom w:val="nil"/>
              <w:right w:val="nil"/>
            </w:tcBorders>
            <w:shd w:val="clear" w:color="auto" w:fill="auto"/>
            <w:noWrap w:val="0"/>
            <w:tcMar>
              <w:top w:w="-1" w:type="dxa"/>
              <w:left w:w="-1" w:type="dxa"/>
              <w:bottom w:w="-1" w:type="dxa"/>
              <w:right w:w="-1" w:type="dxa"/>
            </w:tcMar>
            <w:vAlign w:val="center"/>
          </w:tcPr>
          <w:p w14:paraId="55E7D819">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Adverse-event report exposure</w:t>
            </w:r>
          </w:p>
        </w:tc>
        <w:tc>
          <w:tcPr>
            <w:tcW w:w="1983" w:type="pct"/>
            <w:tcBorders>
              <w:top w:val="nil"/>
              <w:left w:val="nil"/>
              <w:bottom w:val="nil"/>
              <w:right w:val="nil"/>
            </w:tcBorders>
            <w:shd w:val="clear" w:color="auto" w:fill="auto"/>
            <w:noWrap w:val="0"/>
            <w:tcMar>
              <w:top w:w="-1" w:type="dxa"/>
              <w:left w:w="-1" w:type="dxa"/>
              <w:bottom w:w="-1" w:type="dxa"/>
              <w:right w:w="-1" w:type="dxa"/>
            </w:tcMar>
            <w:vAlign w:val="center"/>
          </w:tcPr>
          <w:p w14:paraId="48C1B081">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w:t>
            </w:r>
          </w:p>
        </w:tc>
        <w:tc>
          <w:tcPr>
            <w:tcW w:w="406" w:type="pct"/>
            <w:tcBorders>
              <w:top w:val="nil"/>
              <w:left w:val="nil"/>
              <w:bottom w:val="nil"/>
              <w:right w:val="nil"/>
            </w:tcBorders>
            <w:shd w:val="clear" w:color="auto" w:fill="auto"/>
            <w:noWrap w:val="0"/>
            <w:tcMar>
              <w:top w:w="-1" w:type="dxa"/>
              <w:left w:w="-1" w:type="dxa"/>
              <w:bottom w:w="-1" w:type="dxa"/>
              <w:right w:w="-1" w:type="dxa"/>
            </w:tcMar>
            <w:vAlign w:val="center"/>
          </w:tcPr>
          <w:p w14:paraId="2DB4DB3E">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1.096</w:t>
            </w:r>
          </w:p>
        </w:tc>
        <w:tc>
          <w:tcPr>
            <w:tcW w:w="637" w:type="pct"/>
            <w:tcBorders>
              <w:top w:val="nil"/>
              <w:left w:val="nil"/>
              <w:bottom w:val="nil"/>
              <w:right w:val="nil"/>
            </w:tcBorders>
            <w:shd w:val="clear" w:color="auto" w:fill="auto"/>
            <w:noWrap w:val="0"/>
            <w:tcMar>
              <w:top w:w="-1" w:type="dxa"/>
              <w:left w:w="-1" w:type="dxa"/>
              <w:bottom w:w="-1" w:type="dxa"/>
              <w:right w:w="-1" w:type="dxa"/>
            </w:tcMar>
            <w:vAlign w:val="center"/>
          </w:tcPr>
          <w:p w14:paraId="59BA131C">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0.913</w:t>
            </w:r>
          </w:p>
        </w:tc>
      </w:tr>
      <w:tr w14:paraId="3E5F522F">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971"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7873BB06">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Acceptable vaccine price</w:t>
            </w:r>
          </w:p>
        </w:tc>
        <w:tc>
          <w:tcPr>
            <w:tcW w:w="1983"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0A4CA65D">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w:t>
            </w:r>
          </w:p>
        </w:tc>
        <w:tc>
          <w:tcPr>
            <w:tcW w:w="406"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06DF864C">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1.112</w:t>
            </w:r>
          </w:p>
        </w:tc>
        <w:tc>
          <w:tcPr>
            <w:tcW w:w="637"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2F2A31DD">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0.899</w:t>
            </w:r>
          </w:p>
        </w:tc>
      </w:tr>
    </w:tbl>
    <w:p w14:paraId="6BF3EFA7">
      <w:pPr>
        <w:rPr>
          <w:rFonts w:hint="default" w:ascii="Times New Roman" w:hAnsi="Times New Roman" w:cs="Times New Roman"/>
          <w:color w:val="000000" w:themeColor="text1"/>
          <w14:textFill>
            <w14:solidFill>
              <w14:schemeClr w14:val="tx1"/>
            </w14:solidFill>
          </w14:textFill>
        </w:rPr>
      </w:pPr>
    </w:p>
    <w:p w14:paraId="3096A376">
      <w:pPr>
        <w:spacing w:after="100" w:line="259" w:lineRule="auto"/>
        <w:jc w:val="both"/>
        <w:rPr>
          <w:rFonts w:hint="default" w:ascii="Times New Roman" w:hAnsi="Times New Roman" w:eastAsia="宋体" w:cs="Times New Roman"/>
          <w:i/>
          <w:kern w:val="0"/>
          <w:sz w:val="21"/>
          <w:szCs w:val="21"/>
          <w:lang w:val="en-US" w:eastAsia="zh-CN" w:bidi="ar"/>
        </w:rPr>
      </w:pPr>
      <w:r>
        <w:rPr>
          <w:rFonts w:hint="eastAsia" w:ascii="Times New Roman" w:hAnsi="Times New Roman" w:eastAsia="宋体" w:cs="Times New Roman"/>
          <w:i/>
          <w:kern w:val="0"/>
          <w:sz w:val="21"/>
          <w:szCs w:val="21"/>
          <w:lang w:val="en-US" w:eastAsia="zh-CN" w:bidi="ar"/>
        </w:rPr>
        <w:t xml:space="preserve">Note: Spearman correlations among all trust and perception-related variables are presented in Supplementary Figure S1. This table reports correlations with trust in HPV vaccine effectiveness. </w:t>
      </w:r>
      <w:r>
        <w:rPr>
          <w:rFonts w:hint="default" w:ascii="Times New Roman" w:hAnsi="Times New Roman" w:eastAsia="宋体" w:cs="Times New Roman"/>
          <w:i/>
          <w:kern w:val="0"/>
          <w:sz w:val="21"/>
          <w:szCs w:val="21"/>
          <w:lang w:val="en-US" w:eastAsia="zh-CN" w:bidi="ar"/>
        </w:rPr>
        <w:t>VIFs were calculated from the same 32-predictor dummy-variable design matrix used for Model 3, rather than from ordinal-coded variables. The maximum VIF was 2.855 (very trustful domestic safety); the corresponding tolerance was 0.350. The correlation column reports Spearman correlations with effectiveness trust. Correlations are descriptive and do not establish construct independence. The moderate correlations support interpreting Model 3 as a conditional association model.</w:t>
      </w:r>
    </w:p>
    <w:p w14:paraId="24C5CAA8">
      <w:pPr>
        <w:spacing w:after="100" w:line="259" w:lineRule="auto"/>
        <w:jc w:val="both"/>
        <w:rPr>
          <w:rFonts w:hint="default" w:ascii="Times New Roman" w:hAnsi="Times New Roman" w:cs="Times New Roman"/>
          <w:b w:val="0"/>
          <w:color w:val="000000" w:themeColor="text1"/>
          <w:sz w:val="24"/>
          <w:szCs w:val="24"/>
          <w14:textFill>
            <w14:solidFill>
              <w14:schemeClr w14:val="tx1"/>
            </w14:solidFill>
          </w14:textFill>
        </w:rPr>
      </w:pPr>
    </w:p>
    <w:p w14:paraId="2A99C8AC">
      <w:pPr>
        <w:rPr>
          <w:rFonts w:hint="default" w:ascii="Times New Roman" w:hAnsi="Times New Roman" w:cs="Times New Roman"/>
          <w:color w:val="000000" w:themeColor="text1"/>
          <w14:textFill>
            <w14:solidFill>
              <w14:schemeClr w14:val="tx1"/>
            </w14:solidFill>
          </w14:textFill>
        </w:rPr>
      </w:pPr>
    </w:p>
    <w:p w14:paraId="695797FA">
      <w:pPr>
        <w:pStyle w:val="3"/>
        <w:rPr>
          <w:rFonts w:hint="default" w:ascii="Times New Roman" w:hAnsi="Times New Roman" w:cs="Times New Roman"/>
          <w:color w:val="000000" w:themeColor="text1"/>
          <w14:textFill>
            <w14:solidFill>
              <w14:schemeClr w14:val="tx1"/>
            </w14:solidFill>
          </w14:textFill>
        </w:rPr>
      </w:pPr>
    </w:p>
    <w:p w14:paraId="7F682DD2">
      <w:pPr>
        <w:pStyle w:val="3"/>
        <w:rPr>
          <w:rFonts w:hint="default" w:ascii="Times New Roman" w:hAnsi="Times New Roman" w:cs="Times New Roman"/>
          <w:color w:val="000000" w:themeColor="text1"/>
          <w14:textFill>
            <w14:solidFill>
              <w14:schemeClr w14:val="tx1"/>
            </w14:solidFill>
          </w14:textFill>
        </w:rPr>
      </w:pPr>
    </w:p>
    <w:p w14:paraId="76731982">
      <w:pPr>
        <w:pStyle w:val="3"/>
        <w:rPr>
          <w:rFonts w:hint="default" w:ascii="Times New Roman" w:hAnsi="Times New Roman" w:cs="Times New Roman"/>
          <w:color w:val="000000" w:themeColor="text1"/>
          <w14:textFill>
            <w14:solidFill>
              <w14:schemeClr w14:val="tx1"/>
            </w14:solidFill>
          </w14:textFill>
        </w:rPr>
      </w:pPr>
    </w:p>
    <w:p w14:paraId="47E71872">
      <w:pPr>
        <w:rPr>
          <w:rFonts w:hint="default" w:ascii="Times New Roman" w:hAnsi="Times New Roman" w:cs="Times New Roman"/>
          <w:color w:val="000000" w:themeColor="text1"/>
          <w14:textFill>
            <w14:solidFill>
              <w14:schemeClr w14:val="tx1"/>
            </w14:solidFill>
          </w14:textFill>
        </w:rPr>
      </w:pPr>
    </w:p>
    <w:p w14:paraId="01C00220">
      <w:pPr>
        <w:rPr>
          <w:rFonts w:hint="default" w:ascii="Times New Roman" w:hAnsi="Times New Roman" w:cs="Times New Roman"/>
          <w:color w:val="000000" w:themeColor="text1"/>
          <w14:textFill>
            <w14:solidFill>
              <w14:schemeClr w14:val="tx1"/>
            </w14:solidFill>
          </w14:textFill>
        </w:rPr>
      </w:pPr>
    </w:p>
    <w:p w14:paraId="639BE48E">
      <w:pPr>
        <w:pStyle w:val="3"/>
        <w:rPr>
          <w:rFonts w:hint="default" w:ascii="Times New Roman" w:hAnsi="Times New Roman" w:eastAsia="Arial" w:cs="Times New Roman"/>
          <w:b/>
          <w:bCs w:val="0"/>
          <w:color w:val="000000" w:themeColor="text1"/>
          <w:sz w:val="24"/>
          <w:szCs w:val="24"/>
          <w:lang w:val="en-US" w:eastAsia="zh-CN" w:bidi="ar-SA"/>
          <w14:textFill>
            <w14:solidFill>
              <w14:schemeClr w14:val="tx1"/>
            </w14:solidFill>
          </w14:textFill>
        </w:rPr>
      </w:pPr>
      <w:r>
        <w:rPr>
          <w:rFonts w:hint="default" w:ascii="Times New Roman" w:hAnsi="Times New Roman" w:eastAsia="Arial" w:cs="Times New Roman"/>
          <w:b/>
          <w:bCs w:val="0"/>
          <w:color w:val="000000" w:themeColor="text1"/>
          <w:sz w:val="24"/>
          <w:szCs w:val="24"/>
          <w:lang w:val="en-US" w:eastAsia="zh-CN" w:bidi="ar-SA"/>
          <w14:textFill>
            <w14:solidFill>
              <w14:schemeClr w14:val="tx1"/>
            </w14:solidFill>
          </w14:textFill>
        </w:rPr>
        <w:t>Supplementary Table S3. Complete Model 3 adjusted odds ratios for high HPV vaccination willingness</w:t>
      </w:r>
    </w:p>
    <w:tbl>
      <w:tblPr>
        <w:tblStyle w:val="3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908"/>
        <w:gridCol w:w="1171"/>
        <w:gridCol w:w="1264"/>
        <w:gridCol w:w="949"/>
      </w:tblGrid>
      <w:tr w14:paraId="2B900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356" w:type="pct"/>
            <w:tcBorders>
              <w:top w:val="single" w:color="000000" w:sz="12" w:space="0"/>
              <w:left w:val="nil"/>
              <w:bottom w:val="single" w:color="000000" w:sz="6" w:space="0"/>
              <w:right w:val="nil"/>
            </w:tcBorders>
            <w:shd w:val="clear" w:color="auto" w:fill="auto"/>
            <w:tcMar>
              <w:top w:w="80" w:type="dxa"/>
              <w:left w:w="160" w:type="dxa"/>
              <w:bottom w:w="80" w:type="dxa"/>
              <w:right w:w="160" w:type="dxa"/>
            </w:tcMar>
            <w:vAlign w:val="center"/>
          </w:tcPr>
          <w:p w14:paraId="3E28E836">
            <w:pPr>
              <w:snapToGrid w:val="0"/>
              <w:spacing w:after="0" w:line="240" w:lineRule="auto"/>
              <w:ind w:left="0" w:leftChars="0" w:right="0" w:rightChars="0" w:firstLine="0" w:firstLineChars="0"/>
              <w:jc w:val="center"/>
              <w:rPr>
                <w:rFonts w:hint="default" w:ascii="Times New Roman" w:hAnsi="Times New Roman" w:eastAsia="Arial" w:cs="Times New Roman"/>
                <w:b/>
                <w:bCs/>
                <w:color w:val="000000" w:themeColor="text1"/>
                <w:sz w:val="21"/>
                <w:szCs w:val="21"/>
                <w14:textFill>
                  <w14:solidFill>
                    <w14:schemeClr w14:val="tx1"/>
                  </w14:solidFill>
                </w14:textFill>
              </w:rPr>
            </w:pPr>
            <w:r>
              <w:rPr>
                <w:rFonts w:hint="default" w:ascii="Times New Roman" w:hAnsi="Times New Roman" w:eastAsia="Arial" w:cs="Times New Roman"/>
                <w:b/>
                <w:bCs/>
                <w:color w:val="000000" w:themeColor="text1"/>
                <w:sz w:val="21"/>
                <w:szCs w:val="21"/>
                <w:lang w:val="en-US" w:eastAsia="zh-CN"/>
                <w14:textFill>
                  <w14:solidFill>
                    <w14:schemeClr w14:val="tx1"/>
                  </w14:solidFill>
                </w14:textFill>
              </w:rPr>
              <w:t>Trust category</w:t>
            </w:r>
          </w:p>
        </w:tc>
        <w:tc>
          <w:tcPr>
            <w:tcW w:w="568" w:type="pct"/>
            <w:tcBorders>
              <w:top w:val="single" w:color="000000" w:sz="12" w:space="0"/>
              <w:left w:val="nil"/>
              <w:bottom w:val="single" w:color="000000" w:sz="6" w:space="0"/>
              <w:right w:val="nil"/>
            </w:tcBorders>
            <w:shd w:val="clear" w:color="auto" w:fill="auto"/>
            <w:tcMar>
              <w:top w:w="80" w:type="dxa"/>
              <w:left w:w="160" w:type="dxa"/>
              <w:bottom w:w="80" w:type="dxa"/>
              <w:right w:w="160" w:type="dxa"/>
            </w:tcMar>
            <w:vAlign w:val="center"/>
          </w:tcPr>
          <w:p w14:paraId="237E477D">
            <w:pPr>
              <w:snapToGrid w:val="0"/>
              <w:spacing w:after="0" w:line="240" w:lineRule="auto"/>
              <w:ind w:left="0" w:leftChars="0" w:right="0" w:rightChars="0" w:firstLine="0" w:firstLineChars="0"/>
              <w:jc w:val="center"/>
              <w:rPr>
                <w:rFonts w:hint="default" w:ascii="Times New Roman" w:hAnsi="Times New Roman" w:eastAsia="Arial" w:cs="Times New Roman"/>
                <w:b/>
                <w:bCs/>
                <w:color w:val="000000" w:themeColor="text1"/>
                <w:sz w:val="21"/>
                <w:szCs w:val="21"/>
                <w14:textFill>
                  <w14:solidFill>
                    <w14:schemeClr w14:val="tx1"/>
                  </w14:solidFill>
                </w14:textFill>
              </w:rPr>
            </w:pPr>
            <w:r>
              <w:rPr>
                <w:rFonts w:hint="default" w:ascii="Times New Roman" w:hAnsi="Times New Roman" w:eastAsia="Arial" w:cs="Times New Roman"/>
                <w:b/>
                <w:bCs/>
                <w:color w:val="000000" w:themeColor="text1"/>
                <w:sz w:val="21"/>
                <w:szCs w:val="21"/>
                <w:lang w:val="en-US" w:eastAsia="zh-CN"/>
                <w14:textFill>
                  <w14:solidFill>
                    <w14:schemeClr w14:val="tx1"/>
                  </w14:solidFill>
                </w14:textFill>
              </w:rPr>
              <w:t>aOR</w:t>
            </w:r>
          </w:p>
        </w:tc>
        <w:tc>
          <w:tcPr>
            <w:tcW w:w="614" w:type="pct"/>
            <w:tcBorders>
              <w:top w:val="single" w:color="000000" w:sz="12" w:space="0"/>
              <w:left w:val="nil"/>
              <w:bottom w:val="single" w:color="000000" w:sz="6" w:space="0"/>
              <w:right w:val="nil"/>
            </w:tcBorders>
            <w:shd w:val="clear" w:color="auto" w:fill="auto"/>
            <w:tcMar>
              <w:top w:w="80" w:type="dxa"/>
              <w:left w:w="160" w:type="dxa"/>
              <w:bottom w:w="80" w:type="dxa"/>
              <w:right w:w="160" w:type="dxa"/>
            </w:tcMar>
            <w:vAlign w:val="center"/>
          </w:tcPr>
          <w:p w14:paraId="791CBDF4">
            <w:pPr>
              <w:snapToGrid w:val="0"/>
              <w:spacing w:after="0" w:line="240" w:lineRule="auto"/>
              <w:ind w:left="0" w:leftChars="0" w:right="0" w:rightChars="0" w:firstLine="0" w:firstLineChars="0"/>
              <w:jc w:val="center"/>
              <w:rPr>
                <w:rFonts w:hint="default" w:ascii="Times New Roman" w:hAnsi="Times New Roman" w:eastAsia="Arial" w:cs="Times New Roman"/>
                <w:b/>
                <w:bCs/>
                <w:color w:val="000000" w:themeColor="text1"/>
                <w:sz w:val="21"/>
                <w:szCs w:val="21"/>
                <w14:textFill>
                  <w14:solidFill>
                    <w14:schemeClr w14:val="tx1"/>
                  </w14:solidFill>
                </w14:textFill>
              </w:rPr>
            </w:pPr>
            <w:r>
              <w:rPr>
                <w:rFonts w:hint="default" w:ascii="Times New Roman" w:hAnsi="Times New Roman" w:eastAsia="Arial" w:cs="Times New Roman"/>
                <w:b/>
                <w:bCs/>
                <w:color w:val="000000" w:themeColor="text1"/>
                <w:sz w:val="21"/>
                <w:szCs w:val="21"/>
                <w:lang w:val="en-US" w:eastAsia="zh-CN"/>
                <w14:textFill>
                  <w14:solidFill>
                    <w14:schemeClr w14:val="tx1"/>
                  </w14:solidFill>
                </w14:textFill>
              </w:rPr>
              <w:t>95% CI</w:t>
            </w:r>
          </w:p>
        </w:tc>
        <w:tc>
          <w:tcPr>
            <w:tcW w:w="461" w:type="pct"/>
            <w:tcBorders>
              <w:top w:val="single" w:color="000000" w:sz="12" w:space="0"/>
              <w:left w:val="nil"/>
              <w:bottom w:val="single" w:color="000000" w:sz="6" w:space="0"/>
              <w:right w:val="nil"/>
            </w:tcBorders>
            <w:shd w:val="clear" w:color="auto" w:fill="auto"/>
            <w:tcMar>
              <w:top w:w="80" w:type="dxa"/>
              <w:left w:w="160" w:type="dxa"/>
              <w:bottom w:w="80" w:type="dxa"/>
              <w:right w:w="160" w:type="dxa"/>
            </w:tcMar>
            <w:vAlign w:val="center"/>
          </w:tcPr>
          <w:p w14:paraId="208F9619">
            <w:pPr>
              <w:snapToGrid w:val="0"/>
              <w:spacing w:after="0" w:line="240" w:lineRule="auto"/>
              <w:ind w:left="0" w:leftChars="0" w:right="0" w:rightChars="0" w:firstLine="0" w:firstLineChars="0"/>
              <w:jc w:val="center"/>
              <w:rPr>
                <w:rFonts w:hint="default" w:ascii="Times New Roman" w:hAnsi="Times New Roman" w:eastAsia="Arial" w:cs="Times New Roman"/>
                <w:b/>
                <w:bCs/>
                <w:color w:val="000000" w:themeColor="text1"/>
                <w:sz w:val="21"/>
                <w:szCs w:val="21"/>
                <w14:textFill>
                  <w14:solidFill>
                    <w14:schemeClr w14:val="tx1"/>
                  </w14:solidFill>
                </w14:textFill>
              </w:rPr>
            </w:pPr>
            <w:r>
              <w:rPr>
                <w:rFonts w:hint="default" w:ascii="Times New Roman" w:hAnsi="Times New Roman" w:eastAsia="Arial" w:cs="Times New Roman"/>
                <w:b/>
                <w:bCs/>
                <w:i/>
                <w:iCs/>
                <w:color w:val="000000" w:themeColor="text1"/>
                <w:sz w:val="21"/>
                <w:szCs w:val="21"/>
                <w:lang w:val="en-US" w:eastAsia="zh-CN"/>
                <w14:textFill>
                  <w14:solidFill>
                    <w14:schemeClr w14:val="tx1"/>
                  </w14:solidFill>
                </w14:textFill>
              </w:rPr>
              <w:t xml:space="preserve">p </w:t>
            </w:r>
            <w:r>
              <w:rPr>
                <w:rFonts w:hint="default" w:ascii="Times New Roman" w:hAnsi="Times New Roman" w:eastAsia="Arial" w:cs="Times New Roman"/>
                <w:b/>
                <w:bCs/>
                <w:color w:val="000000" w:themeColor="text1"/>
                <w:sz w:val="21"/>
                <w:szCs w:val="21"/>
                <w:lang w:val="en-US" w:eastAsia="zh-CN"/>
                <w14:textFill>
                  <w14:solidFill>
                    <w14:schemeClr w14:val="tx1"/>
                  </w14:solidFill>
                </w14:textFill>
              </w:rPr>
              <w:t>value</w:t>
            </w:r>
          </w:p>
        </w:tc>
      </w:tr>
      <w:tr w14:paraId="073B4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356" w:type="pct"/>
            <w:tcBorders>
              <w:top w:val="nil"/>
              <w:left w:val="nil"/>
              <w:bottom w:val="nil"/>
              <w:right w:val="nil"/>
            </w:tcBorders>
            <w:shd w:val="clear" w:color="auto" w:fill="auto"/>
            <w:tcMar>
              <w:top w:w="80" w:type="dxa"/>
              <w:left w:w="160" w:type="dxa"/>
              <w:bottom w:w="80" w:type="dxa"/>
              <w:right w:w="160" w:type="dxa"/>
            </w:tcMar>
            <w:vAlign w:val="center"/>
          </w:tcPr>
          <w:p w14:paraId="3B57CA22">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Trust in HPV vaccine effectiveness: very distrustful</w:t>
            </w:r>
          </w:p>
        </w:tc>
        <w:tc>
          <w:tcPr>
            <w:tcW w:w="568" w:type="pct"/>
            <w:tcBorders>
              <w:top w:val="nil"/>
              <w:left w:val="nil"/>
              <w:bottom w:val="nil"/>
              <w:right w:val="nil"/>
            </w:tcBorders>
            <w:shd w:val="clear" w:color="auto" w:fill="auto"/>
            <w:tcMar>
              <w:top w:w="80" w:type="dxa"/>
              <w:left w:w="160" w:type="dxa"/>
              <w:bottom w:w="80" w:type="dxa"/>
              <w:right w:w="160" w:type="dxa"/>
            </w:tcMar>
            <w:vAlign w:val="center"/>
          </w:tcPr>
          <w:p w14:paraId="650CE303">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Reference</w:t>
            </w:r>
          </w:p>
        </w:tc>
        <w:tc>
          <w:tcPr>
            <w:tcW w:w="614" w:type="pct"/>
            <w:tcBorders>
              <w:top w:val="nil"/>
              <w:left w:val="nil"/>
              <w:bottom w:val="nil"/>
              <w:right w:val="nil"/>
            </w:tcBorders>
            <w:shd w:val="clear" w:color="auto" w:fill="auto"/>
            <w:tcMar>
              <w:top w:w="80" w:type="dxa"/>
              <w:left w:w="160" w:type="dxa"/>
              <w:bottom w:w="80" w:type="dxa"/>
              <w:right w:w="160" w:type="dxa"/>
            </w:tcMar>
            <w:vAlign w:val="center"/>
          </w:tcPr>
          <w:p w14:paraId="2052F393">
            <w:pPr>
              <w:snapToGrid w:val="0"/>
              <w:spacing w:after="0" w:line="240" w:lineRule="auto"/>
              <w:ind w:left="0" w:leftChars="0" w:right="0" w:rightChars="0" w:firstLine="0" w:firstLineChars="0"/>
              <w:jc w:val="center"/>
              <w:rPr>
                <w:rFonts w:hint="eastAsia" w:ascii="Times New Roman" w:hAnsi="Times New Roman" w:eastAsia="Arial" w:cs="Times New Roman"/>
                <w:b w:val="0"/>
                <w:color w:val="000000" w:themeColor="text1"/>
                <w:sz w:val="21"/>
                <w:szCs w:val="21"/>
                <w14:textFill>
                  <w14:solidFill>
                    <w14:schemeClr w14:val="tx1"/>
                  </w14:solidFill>
                </w14:textFill>
              </w:rPr>
            </w:pPr>
          </w:p>
        </w:tc>
        <w:tc>
          <w:tcPr>
            <w:tcW w:w="461" w:type="pct"/>
            <w:tcBorders>
              <w:top w:val="nil"/>
              <w:left w:val="nil"/>
              <w:bottom w:val="nil"/>
              <w:right w:val="nil"/>
            </w:tcBorders>
            <w:shd w:val="clear" w:color="auto" w:fill="auto"/>
            <w:tcMar>
              <w:top w:w="80" w:type="dxa"/>
              <w:left w:w="160" w:type="dxa"/>
              <w:bottom w:w="80" w:type="dxa"/>
              <w:right w:w="160" w:type="dxa"/>
            </w:tcMar>
            <w:vAlign w:val="center"/>
          </w:tcPr>
          <w:p w14:paraId="03989115">
            <w:pPr>
              <w:snapToGrid w:val="0"/>
              <w:spacing w:after="0" w:line="240" w:lineRule="auto"/>
              <w:ind w:left="0" w:leftChars="0" w:right="0" w:rightChars="0" w:firstLine="0" w:firstLineChars="0"/>
              <w:jc w:val="center"/>
              <w:rPr>
                <w:rFonts w:hint="eastAsia" w:ascii="Times New Roman" w:hAnsi="Times New Roman" w:eastAsia="Arial" w:cs="Times New Roman"/>
                <w:b w:val="0"/>
                <w:color w:val="000000" w:themeColor="text1"/>
                <w:sz w:val="21"/>
                <w:szCs w:val="21"/>
                <w14:textFill>
                  <w14:solidFill>
                    <w14:schemeClr w14:val="tx1"/>
                  </w14:solidFill>
                </w14:textFill>
              </w:rPr>
            </w:pPr>
          </w:p>
        </w:tc>
      </w:tr>
      <w:tr w14:paraId="7B211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356" w:type="pct"/>
            <w:tcBorders>
              <w:top w:val="nil"/>
              <w:left w:val="nil"/>
              <w:bottom w:val="nil"/>
              <w:right w:val="nil"/>
            </w:tcBorders>
            <w:shd w:val="clear" w:color="auto" w:fill="auto"/>
            <w:tcMar>
              <w:top w:w="80" w:type="dxa"/>
              <w:left w:w="160" w:type="dxa"/>
              <w:bottom w:w="80" w:type="dxa"/>
              <w:right w:w="160" w:type="dxa"/>
            </w:tcMar>
            <w:vAlign w:val="center"/>
          </w:tcPr>
          <w:p w14:paraId="38BE4A20">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Trust in HPV vaccine effectiveness: somewhat distrustful</w:t>
            </w:r>
          </w:p>
        </w:tc>
        <w:tc>
          <w:tcPr>
            <w:tcW w:w="568" w:type="pct"/>
            <w:tcBorders>
              <w:top w:val="nil"/>
              <w:left w:val="nil"/>
              <w:bottom w:val="nil"/>
              <w:right w:val="nil"/>
            </w:tcBorders>
            <w:shd w:val="clear" w:color="auto" w:fill="auto"/>
            <w:tcMar>
              <w:top w:w="80" w:type="dxa"/>
              <w:left w:w="160" w:type="dxa"/>
              <w:bottom w:w="80" w:type="dxa"/>
              <w:right w:w="160" w:type="dxa"/>
            </w:tcMar>
            <w:vAlign w:val="center"/>
          </w:tcPr>
          <w:p w14:paraId="287F9628">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1.343</w:t>
            </w:r>
          </w:p>
        </w:tc>
        <w:tc>
          <w:tcPr>
            <w:tcW w:w="614" w:type="pct"/>
            <w:tcBorders>
              <w:top w:val="nil"/>
              <w:left w:val="nil"/>
              <w:bottom w:val="nil"/>
              <w:right w:val="nil"/>
            </w:tcBorders>
            <w:shd w:val="clear" w:color="auto" w:fill="auto"/>
            <w:tcMar>
              <w:top w:w="80" w:type="dxa"/>
              <w:left w:w="160" w:type="dxa"/>
              <w:bottom w:w="80" w:type="dxa"/>
              <w:right w:w="160" w:type="dxa"/>
            </w:tcMar>
            <w:vAlign w:val="center"/>
          </w:tcPr>
          <w:p w14:paraId="7E5B5AE9">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0.838-2.153</w:t>
            </w:r>
          </w:p>
        </w:tc>
        <w:tc>
          <w:tcPr>
            <w:tcW w:w="461" w:type="pct"/>
            <w:tcBorders>
              <w:top w:val="nil"/>
              <w:left w:val="nil"/>
              <w:bottom w:val="nil"/>
              <w:right w:val="nil"/>
            </w:tcBorders>
            <w:shd w:val="clear" w:color="auto" w:fill="auto"/>
            <w:tcMar>
              <w:top w:w="80" w:type="dxa"/>
              <w:left w:w="160" w:type="dxa"/>
              <w:bottom w:w="80" w:type="dxa"/>
              <w:right w:w="160" w:type="dxa"/>
            </w:tcMar>
            <w:vAlign w:val="center"/>
          </w:tcPr>
          <w:p w14:paraId="3EF7E6C8">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0.220</w:t>
            </w:r>
          </w:p>
        </w:tc>
      </w:tr>
      <w:tr w14:paraId="5C1F2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356" w:type="pct"/>
            <w:tcBorders>
              <w:top w:val="nil"/>
              <w:left w:val="nil"/>
              <w:bottom w:val="nil"/>
              <w:right w:val="nil"/>
            </w:tcBorders>
            <w:shd w:val="clear" w:color="auto" w:fill="auto"/>
            <w:tcMar>
              <w:top w:w="80" w:type="dxa"/>
              <w:left w:w="160" w:type="dxa"/>
              <w:bottom w:w="80" w:type="dxa"/>
              <w:right w:w="160" w:type="dxa"/>
            </w:tcMar>
            <w:vAlign w:val="center"/>
          </w:tcPr>
          <w:p w14:paraId="77E296AB">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Trust in HPV vaccine effectiveness: neutral</w:t>
            </w:r>
          </w:p>
        </w:tc>
        <w:tc>
          <w:tcPr>
            <w:tcW w:w="568" w:type="pct"/>
            <w:tcBorders>
              <w:top w:val="nil"/>
              <w:left w:val="nil"/>
              <w:bottom w:val="nil"/>
              <w:right w:val="nil"/>
            </w:tcBorders>
            <w:shd w:val="clear" w:color="auto" w:fill="auto"/>
            <w:tcMar>
              <w:top w:w="80" w:type="dxa"/>
              <w:left w:w="160" w:type="dxa"/>
              <w:bottom w:w="80" w:type="dxa"/>
              <w:right w:w="160" w:type="dxa"/>
            </w:tcMar>
            <w:vAlign w:val="center"/>
          </w:tcPr>
          <w:p w14:paraId="4CF3A62D">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1.831</w:t>
            </w:r>
          </w:p>
        </w:tc>
        <w:tc>
          <w:tcPr>
            <w:tcW w:w="614" w:type="pct"/>
            <w:tcBorders>
              <w:top w:val="nil"/>
              <w:left w:val="nil"/>
              <w:bottom w:val="nil"/>
              <w:right w:val="nil"/>
            </w:tcBorders>
            <w:shd w:val="clear" w:color="auto" w:fill="auto"/>
            <w:tcMar>
              <w:top w:w="80" w:type="dxa"/>
              <w:left w:w="160" w:type="dxa"/>
              <w:bottom w:w="80" w:type="dxa"/>
              <w:right w:w="160" w:type="dxa"/>
            </w:tcMar>
            <w:vAlign w:val="center"/>
          </w:tcPr>
          <w:p w14:paraId="688396EA">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1.130-2.965</w:t>
            </w:r>
          </w:p>
        </w:tc>
        <w:tc>
          <w:tcPr>
            <w:tcW w:w="461" w:type="pct"/>
            <w:tcBorders>
              <w:top w:val="nil"/>
              <w:left w:val="nil"/>
              <w:bottom w:val="nil"/>
              <w:right w:val="nil"/>
            </w:tcBorders>
            <w:shd w:val="clear" w:color="auto" w:fill="auto"/>
            <w:tcMar>
              <w:top w:w="80" w:type="dxa"/>
              <w:left w:w="160" w:type="dxa"/>
              <w:bottom w:w="80" w:type="dxa"/>
              <w:right w:w="160" w:type="dxa"/>
            </w:tcMar>
            <w:vAlign w:val="center"/>
          </w:tcPr>
          <w:p w14:paraId="6E3FD5DD">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0.014</w:t>
            </w:r>
          </w:p>
        </w:tc>
      </w:tr>
      <w:tr w14:paraId="210AB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356" w:type="pct"/>
            <w:tcBorders>
              <w:top w:val="nil"/>
              <w:left w:val="nil"/>
              <w:bottom w:val="nil"/>
              <w:right w:val="nil"/>
            </w:tcBorders>
            <w:shd w:val="clear" w:color="auto" w:fill="auto"/>
            <w:tcMar>
              <w:top w:w="80" w:type="dxa"/>
              <w:left w:w="160" w:type="dxa"/>
              <w:bottom w:w="80" w:type="dxa"/>
              <w:right w:w="160" w:type="dxa"/>
            </w:tcMar>
            <w:vAlign w:val="center"/>
          </w:tcPr>
          <w:p w14:paraId="0BBBDCB7">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HPV vaccine effectiveness: somewhat trustful</w:t>
            </w:r>
          </w:p>
        </w:tc>
        <w:tc>
          <w:tcPr>
            <w:tcW w:w="568" w:type="pct"/>
            <w:tcBorders>
              <w:top w:val="nil"/>
              <w:left w:val="nil"/>
              <w:bottom w:val="nil"/>
              <w:right w:val="nil"/>
            </w:tcBorders>
            <w:shd w:val="clear" w:color="auto" w:fill="auto"/>
            <w:tcMar>
              <w:top w:w="80" w:type="dxa"/>
              <w:left w:w="160" w:type="dxa"/>
              <w:bottom w:w="80" w:type="dxa"/>
              <w:right w:w="160" w:type="dxa"/>
            </w:tcMar>
            <w:vAlign w:val="center"/>
          </w:tcPr>
          <w:p w14:paraId="7468778C">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3.665</w:t>
            </w:r>
          </w:p>
        </w:tc>
        <w:tc>
          <w:tcPr>
            <w:tcW w:w="614" w:type="pct"/>
            <w:tcBorders>
              <w:top w:val="nil"/>
              <w:left w:val="nil"/>
              <w:bottom w:val="nil"/>
              <w:right w:val="nil"/>
            </w:tcBorders>
            <w:shd w:val="clear" w:color="auto" w:fill="auto"/>
            <w:tcMar>
              <w:top w:w="80" w:type="dxa"/>
              <w:left w:w="160" w:type="dxa"/>
              <w:bottom w:w="80" w:type="dxa"/>
              <w:right w:w="160" w:type="dxa"/>
            </w:tcMar>
            <w:vAlign w:val="center"/>
          </w:tcPr>
          <w:p w14:paraId="7E2DDB95">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2.228-6.028</w:t>
            </w:r>
          </w:p>
        </w:tc>
        <w:tc>
          <w:tcPr>
            <w:tcW w:w="461" w:type="pct"/>
            <w:tcBorders>
              <w:top w:val="nil"/>
              <w:left w:val="nil"/>
              <w:bottom w:val="nil"/>
              <w:right w:val="nil"/>
            </w:tcBorders>
            <w:shd w:val="clear" w:color="auto" w:fill="auto"/>
            <w:tcMar>
              <w:top w:w="80" w:type="dxa"/>
              <w:left w:w="160" w:type="dxa"/>
              <w:bottom w:w="80" w:type="dxa"/>
              <w:right w:w="160" w:type="dxa"/>
            </w:tcMar>
            <w:vAlign w:val="center"/>
          </w:tcPr>
          <w:p w14:paraId="7679353F">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&lt;0.001</w:t>
            </w:r>
          </w:p>
        </w:tc>
      </w:tr>
      <w:tr w14:paraId="73E41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356" w:type="pct"/>
            <w:tcBorders>
              <w:top w:val="nil"/>
              <w:left w:val="nil"/>
              <w:bottom w:val="nil"/>
              <w:right w:val="nil"/>
            </w:tcBorders>
            <w:shd w:val="clear" w:color="auto" w:fill="auto"/>
            <w:tcMar>
              <w:top w:w="80" w:type="dxa"/>
              <w:left w:w="160" w:type="dxa"/>
              <w:bottom w:w="80" w:type="dxa"/>
              <w:right w:w="160" w:type="dxa"/>
            </w:tcMar>
            <w:vAlign w:val="center"/>
          </w:tcPr>
          <w:p w14:paraId="51501829">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HPV vaccine effectiveness: very trustful</w:t>
            </w:r>
          </w:p>
        </w:tc>
        <w:tc>
          <w:tcPr>
            <w:tcW w:w="568" w:type="pct"/>
            <w:tcBorders>
              <w:top w:val="nil"/>
              <w:left w:val="nil"/>
              <w:bottom w:val="nil"/>
              <w:right w:val="nil"/>
            </w:tcBorders>
            <w:shd w:val="clear" w:color="auto" w:fill="auto"/>
            <w:tcMar>
              <w:top w:w="80" w:type="dxa"/>
              <w:left w:w="160" w:type="dxa"/>
              <w:bottom w:w="80" w:type="dxa"/>
              <w:right w:w="160" w:type="dxa"/>
            </w:tcMar>
            <w:vAlign w:val="center"/>
          </w:tcPr>
          <w:p w14:paraId="368A2E8D">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5.397</w:t>
            </w:r>
          </w:p>
        </w:tc>
        <w:tc>
          <w:tcPr>
            <w:tcW w:w="614" w:type="pct"/>
            <w:tcBorders>
              <w:top w:val="nil"/>
              <w:left w:val="nil"/>
              <w:bottom w:val="nil"/>
              <w:right w:val="nil"/>
            </w:tcBorders>
            <w:shd w:val="clear" w:color="auto" w:fill="auto"/>
            <w:tcMar>
              <w:top w:w="80" w:type="dxa"/>
              <w:left w:w="160" w:type="dxa"/>
              <w:bottom w:w="80" w:type="dxa"/>
              <w:right w:w="160" w:type="dxa"/>
            </w:tcMar>
            <w:vAlign w:val="center"/>
          </w:tcPr>
          <w:p w14:paraId="1C63E00E">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3.246-8.973</w:t>
            </w:r>
          </w:p>
        </w:tc>
        <w:tc>
          <w:tcPr>
            <w:tcW w:w="461" w:type="pct"/>
            <w:tcBorders>
              <w:top w:val="nil"/>
              <w:left w:val="nil"/>
              <w:bottom w:val="nil"/>
              <w:right w:val="nil"/>
            </w:tcBorders>
            <w:shd w:val="clear" w:color="auto" w:fill="auto"/>
            <w:tcMar>
              <w:top w:w="80" w:type="dxa"/>
              <w:left w:w="160" w:type="dxa"/>
              <w:bottom w:w="80" w:type="dxa"/>
              <w:right w:w="160" w:type="dxa"/>
            </w:tcMar>
            <w:vAlign w:val="center"/>
          </w:tcPr>
          <w:p w14:paraId="352864CF">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&lt;0.001</w:t>
            </w:r>
          </w:p>
        </w:tc>
      </w:tr>
      <w:tr w14:paraId="1B62E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356" w:type="pct"/>
            <w:tcBorders>
              <w:top w:val="nil"/>
              <w:left w:val="nil"/>
              <w:bottom w:val="nil"/>
              <w:right w:val="nil"/>
            </w:tcBorders>
            <w:shd w:val="clear" w:color="auto" w:fill="auto"/>
            <w:tcMar>
              <w:top w:w="80" w:type="dxa"/>
              <w:left w:w="160" w:type="dxa"/>
              <w:bottom w:w="80" w:type="dxa"/>
              <w:right w:w="160" w:type="dxa"/>
            </w:tcMar>
            <w:vAlign w:val="center"/>
          </w:tcPr>
          <w:p w14:paraId="666778EF">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 xml:space="preserve">Trust in the safety of domestically produced bivalent HPV vaccines: </w:t>
            </w:r>
          </w:p>
          <w:p w14:paraId="200436D1">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very distrustful</w:t>
            </w:r>
          </w:p>
        </w:tc>
        <w:tc>
          <w:tcPr>
            <w:tcW w:w="568" w:type="pct"/>
            <w:tcBorders>
              <w:top w:val="nil"/>
              <w:left w:val="nil"/>
              <w:bottom w:val="nil"/>
              <w:right w:val="nil"/>
            </w:tcBorders>
            <w:shd w:val="clear" w:color="auto" w:fill="auto"/>
            <w:tcMar>
              <w:top w:w="80" w:type="dxa"/>
              <w:left w:w="160" w:type="dxa"/>
              <w:bottom w:w="80" w:type="dxa"/>
              <w:right w:w="160" w:type="dxa"/>
            </w:tcMar>
            <w:vAlign w:val="center"/>
          </w:tcPr>
          <w:p w14:paraId="0012BB50">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Reference</w:t>
            </w:r>
          </w:p>
        </w:tc>
        <w:tc>
          <w:tcPr>
            <w:tcW w:w="614" w:type="pct"/>
            <w:tcBorders>
              <w:top w:val="nil"/>
              <w:left w:val="nil"/>
              <w:bottom w:val="nil"/>
              <w:right w:val="nil"/>
            </w:tcBorders>
            <w:shd w:val="clear" w:color="auto" w:fill="auto"/>
            <w:tcMar>
              <w:top w:w="80" w:type="dxa"/>
              <w:left w:w="160" w:type="dxa"/>
              <w:bottom w:w="80" w:type="dxa"/>
              <w:right w:w="160" w:type="dxa"/>
            </w:tcMar>
            <w:vAlign w:val="center"/>
          </w:tcPr>
          <w:p w14:paraId="79D3FF05">
            <w:pPr>
              <w:snapToGrid w:val="0"/>
              <w:spacing w:after="0" w:line="240" w:lineRule="auto"/>
              <w:ind w:left="0" w:leftChars="0" w:right="0" w:rightChars="0" w:firstLine="0" w:firstLineChars="0"/>
              <w:jc w:val="center"/>
              <w:rPr>
                <w:rFonts w:hint="eastAsia" w:ascii="Times New Roman" w:hAnsi="Times New Roman" w:eastAsia="Arial" w:cs="Times New Roman"/>
                <w:b w:val="0"/>
                <w:color w:val="000000" w:themeColor="text1"/>
                <w:sz w:val="21"/>
                <w:szCs w:val="21"/>
                <w14:textFill>
                  <w14:solidFill>
                    <w14:schemeClr w14:val="tx1"/>
                  </w14:solidFill>
                </w14:textFill>
              </w:rPr>
            </w:pPr>
          </w:p>
        </w:tc>
        <w:tc>
          <w:tcPr>
            <w:tcW w:w="461" w:type="pct"/>
            <w:tcBorders>
              <w:top w:val="nil"/>
              <w:left w:val="nil"/>
              <w:bottom w:val="nil"/>
              <w:right w:val="nil"/>
            </w:tcBorders>
            <w:shd w:val="clear" w:color="auto" w:fill="auto"/>
            <w:tcMar>
              <w:top w:w="80" w:type="dxa"/>
              <w:left w:w="160" w:type="dxa"/>
              <w:bottom w:w="80" w:type="dxa"/>
              <w:right w:w="160" w:type="dxa"/>
            </w:tcMar>
            <w:vAlign w:val="center"/>
          </w:tcPr>
          <w:p w14:paraId="522C8F91">
            <w:pPr>
              <w:snapToGrid w:val="0"/>
              <w:spacing w:after="0" w:line="240" w:lineRule="auto"/>
              <w:ind w:left="0" w:leftChars="0" w:right="0" w:rightChars="0" w:firstLine="0" w:firstLineChars="0"/>
              <w:jc w:val="center"/>
              <w:rPr>
                <w:rFonts w:hint="eastAsia" w:ascii="Times New Roman" w:hAnsi="Times New Roman" w:eastAsia="Arial" w:cs="Times New Roman"/>
                <w:b w:val="0"/>
                <w:color w:val="000000" w:themeColor="text1"/>
                <w:sz w:val="21"/>
                <w:szCs w:val="21"/>
                <w14:textFill>
                  <w14:solidFill>
                    <w14:schemeClr w14:val="tx1"/>
                  </w14:solidFill>
                </w14:textFill>
              </w:rPr>
            </w:pPr>
          </w:p>
        </w:tc>
      </w:tr>
      <w:tr w14:paraId="41FF4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356" w:type="pct"/>
            <w:tcBorders>
              <w:top w:val="nil"/>
              <w:left w:val="nil"/>
              <w:bottom w:val="nil"/>
              <w:right w:val="nil"/>
            </w:tcBorders>
            <w:shd w:val="clear" w:color="auto" w:fill="auto"/>
            <w:tcMar>
              <w:top w:w="80" w:type="dxa"/>
              <w:left w:w="160" w:type="dxa"/>
              <w:bottom w:w="80" w:type="dxa"/>
              <w:right w:w="160" w:type="dxa"/>
            </w:tcMar>
            <w:vAlign w:val="center"/>
          </w:tcPr>
          <w:p w14:paraId="7B80C11B">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the safety of domestically produced bivalent HPV vaccines: somewhat distrustful</w:t>
            </w:r>
          </w:p>
        </w:tc>
        <w:tc>
          <w:tcPr>
            <w:tcW w:w="568" w:type="pct"/>
            <w:tcBorders>
              <w:top w:val="nil"/>
              <w:left w:val="nil"/>
              <w:bottom w:val="nil"/>
              <w:right w:val="nil"/>
            </w:tcBorders>
            <w:shd w:val="clear" w:color="auto" w:fill="auto"/>
            <w:tcMar>
              <w:top w:w="80" w:type="dxa"/>
              <w:left w:w="160" w:type="dxa"/>
              <w:bottom w:w="80" w:type="dxa"/>
              <w:right w:w="160" w:type="dxa"/>
            </w:tcMar>
            <w:vAlign w:val="center"/>
          </w:tcPr>
          <w:p w14:paraId="374535BF">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1.075</w:t>
            </w:r>
          </w:p>
        </w:tc>
        <w:tc>
          <w:tcPr>
            <w:tcW w:w="614" w:type="pct"/>
            <w:tcBorders>
              <w:top w:val="nil"/>
              <w:left w:val="nil"/>
              <w:bottom w:val="nil"/>
              <w:right w:val="nil"/>
            </w:tcBorders>
            <w:shd w:val="clear" w:color="auto" w:fill="auto"/>
            <w:tcMar>
              <w:top w:w="80" w:type="dxa"/>
              <w:left w:w="160" w:type="dxa"/>
              <w:bottom w:w="80" w:type="dxa"/>
              <w:right w:w="160" w:type="dxa"/>
            </w:tcMar>
            <w:vAlign w:val="center"/>
          </w:tcPr>
          <w:p w14:paraId="7DAE7FF7">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0.645-1.793</w:t>
            </w:r>
          </w:p>
        </w:tc>
        <w:tc>
          <w:tcPr>
            <w:tcW w:w="461" w:type="pct"/>
            <w:tcBorders>
              <w:top w:val="nil"/>
              <w:left w:val="nil"/>
              <w:bottom w:val="nil"/>
              <w:right w:val="nil"/>
            </w:tcBorders>
            <w:shd w:val="clear" w:color="auto" w:fill="auto"/>
            <w:tcMar>
              <w:top w:w="80" w:type="dxa"/>
              <w:left w:w="160" w:type="dxa"/>
              <w:bottom w:w="80" w:type="dxa"/>
              <w:right w:w="160" w:type="dxa"/>
            </w:tcMar>
            <w:vAlign w:val="center"/>
          </w:tcPr>
          <w:p w14:paraId="22936FC6">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0.781</w:t>
            </w:r>
          </w:p>
        </w:tc>
      </w:tr>
      <w:tr w14:paraId="78DCC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356" w:type="pct"/>
            <w:tcBorders>
              <w:top w:val="nil"/>
              <w:left w:val="nil"/>
              <w:bottom w:val="nil"/>
              <w:right w:val="nil"/>
            </w:tcBorders>
            <w:shd w:val="clear" w:color="auto" w:fill="auto"/>
            <w:tcMar>
              <w:top w:w="80" w:type="dxa"/>
              <w:left w:w="160" w:type="dxa"/>
              <w:bottom w:w="80" w:type="dxa"/>
              <w:right w:w="160" w:type="dxa"/>
            </w:tcMar>
            <w:vAlign w:val="center"/>
          </w:tcPr>
          <w:p w14:paraId="24C3DCE1">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the safety of domestically produced bivalent HPV vaccines: neutral</w:t>
            </w:r>
          </w:p>
        </w:tc>
        <w:tc>
          <w:tcPr>
            <w:tcW w:w="568" w:type="pct"/>
            <w:tcBorders>
              <w:top w:val="nil"/>
              <w:left w:val="nil"/>
              <w:bottom w:val="nil"/>
              <w:right w:val="nil"/>
            </w:tcBorders>
            <w:shd w:val="clear" w:color="auto" w:fill="auto"/>
            <w:tcMar>
              <w:top w:w="80" w:type="dxa"/>
              <w:left w:w="160" w:type="dxa"/>
              <w:bottom w:w="80" w:type="dxa"/>
              <w:right w:w="160" w:type="dxa"/>
            </w:tcMar>
            <w:vAlign w:val="center"/>
          </w:tcPr>
          <w:p w14:paraId="11AD294C">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1.977</w:t>
            </w:r>
          </w:p>
        </w:tc>
        <w:tc>
          <w:tcPr>
            <w:tcW w:w="614" w:type="pct"/>
            <w:tcBorders>
              <w:top w:val="nil"/>
              <w:left w:val="nil"/>
              <w:bottom w:val="nil"/>
              <w:right w:val="nil"/>
            </w:tcBorders>
            <w:shd w:val="clear" w:color="auto" w:fill="auto"/>
            <w:tcMar>
              <w:top w:w="80" w:type="dxa"/>
              <w:left w:w="160" w:type="dxa"/>
              <w:bottom w:w="80" w:type="dxa"/>
              <w:right w:w="160" w:type="dxa"/>
            </w:tcMar>
            <w:vAlign w:val="center"/>
          </w:tcPr>
          <w:p w14:paraId="0AC093F2">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1.203-3.248</w:t>
            </w:r>
          </w:p>
        </w:tc>
        <w:tc>
          <w:tcPr>
            <w:tcW w:w="461" w:type="pct"/>
            <w:tcBorders>
              <w:top w:val="nil"/>
              <w:left w:val="nil"/>
              <w:bottom w:val="nil"/>
              <w:right w:val="nil"/>
            </w:tcBorders>
            <w:shd w:val="clear" w:color="auto" w:fill="auto"/>
            <w:tcMar>
              <w:top w:w="80" w:type="dxa"/>
              <w:left w:w="160" w:type="dxa"/>
              <w:bottom w:w="80" w:type="dxa"/>
              <w:right w:w="160" w:type="dxa"/>
            </w:tcMar>
            <w:vAlign w:val="center"/>
          </w:tcPr>
          <w:p w14:paraId="088DB86D">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0.007</w:t>
            </w:r>
          </w:p>
        </w:tc>
      </w:tr>
      <w:tr w14:paraId="63B28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356" w:type="pct"/>
            <w:tcBorders>
              <w:top w:val="nil"/>
              <w:left w:val="nil"/>
              <w:bottom w:val="nil"/>
              <w:right w:val="nil"/>
            </w:tcBorders>
            <w:shd w:val="clear" w:color="auto" w:fill="auto"/>
            <w:tcMar>
              <w:top w:w="80" w:type="dxa"/>
              <w:left w:w="160" w:type="dxa"/>
              <w:bottom w:w="80" w:type="dxa"/>
              <w:right w:w="160" w:type="dxa"/>
            </w:tcMar>
            <w:vAlign w:val="center"/>
          </w:tcPr>
          <w:p w14:paraId="71354F2A">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the safety of domestically produced bivalent HPV vaccines: somewhat trustful</w:t>
            </w:r>
          </w:p>
        </w:tc>
        <w:tc>
          <w:tcPr>
            <w:tcW w:w="568" w:type="pct"/>
            <w:tcBorders>
              <w:top w:val="nil"/>
              <w:left w:val="nil"/>
              <w:bottom w:val="nil"/>
              <w:right w:val="nil"/>
            </w:tcBorders>
            <w:shd w:val="clear" w:color="auto" w:fill="auto"/>
            <w:tcMar>
              <w:top w:w="80" w:type="dxa"/>
              <w:left w:w="160" w:type="dxa"/>
              <w:bottom w:w="80" w:type="dxa"/>
              <w:right w:w="160" w:type="dxa"/>
            </w:tcMar>
            <w:vAlign w:val="center"/>
          </w:tcPr>
          <w:p w14:paraId="4F57FF4B">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2.802</w:t>
            </w:r>
          </w:p>
        </w:tc>
        <w:tc>
          <w:tcPr>
            <w:tcW w:w="614" w:type="pct"/>
            <w:tcBorders>
              <w:top w:val="nil"/>
              <w:left w:val="nil"/>
              <w:bottom w:val="nil"/>
              <w:right w:val="nil"/>
            </w:tcBorders>
            <w:shd w:val="clear" w:color="auto" w:fill="auto"/>
            <w:tcMar>
              <w:top w:w="80" w:type="dxa"/>
              <w:left w:w="160" w:type="dxa"/>
              <w:bottom w:w="80" w:type="dxa"/>
              <w:right w:w="160" w:type="dxa"/>
            </w:tcMar>
            <w:vAlign w:val="center"/>
          </w:tcPr>
          <w:p w14:paraId="7813872E">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1.658-4.735</w:t>
            </w:r>
          </w:p>
        </w:tc>
        <w:tc>
          <w:tcPr>
            <w:tcW w:w="461" w:type="pct"/>
            <w:tcBorders>
              <w:top w:val="nil"/>
              <w:left w:val="nil"/>
              <w:bottom w:val="nil"/>
              <w:right w:val="nil"/>
            </w:tcBorders>
            <w:shd w:val="clear" w:color="auto" w:fill="auto"/>
            <w:tcMar>
              <w:top w:w="80" w:type="dxa"/>
              <w:left w:w="160" w:type="dxa"/>
              <w:bottom w:w="80" w:type="dxa"/>
              <w:right w:w="160" w:type="dxa"/>
            </w:tcMar>
            <w:vAlign w:val="center"/>
          </w:tcPr>
          <w:p w14:paraId="6B332541">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&lt;0.001</w:t>
            </w:r>
          </w:p>
        </w:tc>
      </w:tr>
      <w:tr w14:paraId="69B60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356" w:type="pct"/>
            <w:tcBorders>
              <w:top w:val="nil"/>
              <w:left w:val="nil"/>
              <w:bottom w:val="nil"/>
              <w:right w:val="nil"/>
            </w:tcBorders>
            <w:shd w:val="clear" w:color="auto" w:fill="auto"/>
            <w:tcMar>
              <w:top w:w="80" w:type="dxa"/>
              <w:left w:w="160" w:type="dxa"/>
              <w:bottom w:w="80" w:type="dxa"/>
              <w:right w:w="160" w:type="dxa"/>
            </w:tcMar>
            <w:vAlign w:val="center"/>
          </w:tcPr>
          <w:p w14:paraId="1CD60205">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the safety of domestically produced bivalent HPV vaccines: very trustful</w:t>
            </w:r>
          </w:p>
        </w:tc>
        <w:tc>
          <w:tcPr>
            <w:tcW w:w="568" w:type="pct"/>
            <w:tcBorders>
              <w:top w:val="nil"/>
              <w:left w:val="nil"/>
              <w:bottom w:val="nil"/>
              <w:right w:val="nil"/>
            </w:tcBorders>
            <w:shd w:val="clear" w:color="auto" w:fill="auto"/>
            <w:tcMar>
              <w:top w:w="80" w:type="dxa"/>
              <w:left w:w="160" w:type="dxa"/>
              <w:bottom w:w="80" w:type="dxa"/>
              <w:right w:w="160" w:type="dxa"/>
            </w:tcMar>
            <w:vAlign w:val="center"/>
          </w:tcPr>
          <w:p w14:paraId="547A7D9C">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3.307</w:t>
            </w:r>
          </w:p>
        </w:tc>
        <w:tc>
          <w:tcPr>
            <w:tcW w:w="614" w:type="pct"/>
            <w:tcBorders>
              <w:top w:val="nil"/>
              <w:left w:val="nil"/>
              <w:bottom w:val="nil"/>
              <w:right w:val="nil"/>
            </w:tcBorders>
            <w:shd w:val="clear" w:color="auto" w:fill="auto"/>
            <w:tcMar>
              <w:top w:w="80" w:type="dxa"/>
              <w:left w:w="160" w:type="dxa"/>
              <w:bottom w:w="80" w:type="dxa"/>
              <w:right w:w="160" w:type="dxa"/>
            </w:tcMar>
            <w:vAlign w:val="center"/>
          </w:tcPr>
          <w:p w14:paraId="1F983AB9">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1.930-5.665</w:t>
            </w:r>
          </w:p>
        </w:tc>
        <w:tc>
          <w:tcPr>
            <w:tcW w:w="461" w:type="pct"/>
            <w:tcBorders>
              <w:top w:val="nil"/>
              <w:left w:val="nil"/>
              <w:bottom w:val="nil"/>
              <w:right w:val="nil"/>
            </w:tcBorders>
            <w:shd w:val="clear" w:color="auto" w:fill="auto"/>
            <w:tcMar>
              <w:top w:w="80" w:type="dxa"/>
              <w:left w:w="160" w:type="dxa"/>
              <w:bottom w:w="80" w:type="dxa"/>
              <w:right w:w="160" w:type="dxa"/>
            </w:tcMar>
            <w:vAlign w:val="center"/>
          </w:tcPr>
          <w:p w14:paraId="2FAD564E">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&lt;0.001</w:t>
            </w:r>
          </w:p>
        </w:tc>
      </w:tr>
      <w:tr w14:paraId="7E385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356" w:type="pct"/>
            <w:tcBorders>
              <w:top w:val="nil"/>
              <w:left w:val="nil"/>
              <w:bottom w:val="nil"/>
              <w:right w:val="nil"/>
            </w:tcBorders>
            <w:shd w:val="clear" w:color="auto" w:fill="auto"/>
            <w:tcMar>
              <w:top w:w="80" w:type="dxa"/>
              <w:left w:w="160" w:type="dxa"/>
              <w:bottom w:w="80" w:type="dxa"/>
              <w:right w:w="160" w:type="dxa"/>
            </w:tcMar>
            <w:vAlign w:val="center"/>
          </w:tcPr>
          <w:p w14:paraId="0146EEA7">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the safety of imported HPV vaccines: very distrustful</w:t>
            </w:r>
          </w:p>
        </w:tc>
        <w:tc>
          <w:tcPr>
            <w:tcW w:w="568" w:type="pct"/>
            <w:tcBorders>
              <w:top w:val="nil"/>
              <w:left w:val="nil"/>
              <w:bottom w:val="nil"/>
              <w:right w:val="nil"/>
            </w:tcBorders>
            <w:shd w:val="clear" w:color="auto" w:fill="auto"/>
            <w:tcMar>
              <w:top w:w="80" w:type="dxa"/>
              <w:left w:w="160" w:type="dxa"/>
              <w:bottom w:w="80" w:type="dxa"/>
              <w:right w:w="160" w:type="dxa"/>
            </w:tcMar>
            <w:vAlign w:val="center"/>
          </w:tcPr>
          <w:p w14:paraId="7B3A7B3F">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Reference</w:t>
            </w:r>
          </w:p>
        </w:tc>
        <w:tc>
          <w:tcPr>
            <w:tcW w:w="614" w:type="pct"/>
            <w:tcBorders>
              <w:top w:val="nil"/>
              <w:left w:val="nil"/>
              <w:bottom w:val="nil"/>
              <w:right w:val="nil"/>
            </w:tcBorders>
            <w:shd w:val="clear" w:color="auto" w:fill="auto"/>
            <w:tcMar>
              <w:top w:w="80" w:type="dxa"/>
              <w:left w:w="160" w:type="dxa"/>
              <w:bottom w:w="80" w:type="dxa"/>
              <w:right w:w="160" w:type="dxa"/>
            </w:tcMar>
            <w:vAlign w:val="center"/>
          </w:tcPr>
          <w:p w14:paraId="71D6345D">
            <w:pPr>
              <w:snapToGrid w:val="0"/>
              <w:spacing w:after="0" w:line="240" w:lineRule="auto"/>
              <w:ind w:left="0" w:leftChars="0" w:right="0" w:rightChars="0" w:firstLine="0" w:firstLineChars="0"/>
              <w:jc w:val="center"/>
              <w:rPr>
                <w:rFonts w:hint="eastAsia" w:ascii="Times New Roman" w:hAnsi="Times New Roman" w:eastAsia="Arial" w:cs="Times New Roman"/>
                <w:b w:val="0"/>
                <w:color w:val="000000" w:themeColor="text1"/>
                <w:sz w:val="21"/>
                <w:szCs w:val="21"/>
                <w14:textFill>
                  <w14:solidFill>
                    <w14:schemeClr w14:val="tx1"/>
                  </w14:solidFill>
                </w14:textFill>
              </w:rPr>
            </w:pPr>
          </w:p>
        </w:tc>
        <w:tc>
          <w:tcPr>
            <w:tcW w:w="461" w:type="pct"/>
            <w:tcBorders>
              <w:top w:val="nil"/>
              <w:left w:val="nil"/>
              <w:bottom w:val="nil"/>
              <w:right w:val="nil"/>
            </w:tcBorders>
            <w:shd w:val="clear" w:color="auto" w:fill="auto"/>
            <w:tcMar>
              <w:top w:w="80" w:type="dxa"/>
              <w:left w:w="160" w:type="dxa"/>
              <w:bottom w:w="80" w:type="dxa"/>
              <w:right w:w="160" w:type="dxa"/>
            </w:tcMar>
            <w:vAlign w:val="center"/>
          </w:tcPr>
          <w:p w14:paraId="2B3CB19D">
            <w:pPr>
              <w:snapToGrid w:val="0"/>
              <w:spacing w:after="0" w:line="240" w:lineRule="auto"/>
              <w:ind w:left="0" w:leftChars="0" w:right="0" w:rightChars="0" w:firstLine="0" w:firstLineChars="0"/>
              <w:jc w:val="center"/>
              <w:rPr>
                <w:rFonts w:hint="eastAsia" w:ascii="Times New Roman" w:hAnsi="Times New Roman" w:eastAsia="Arial" w:cs="Times New Roman"/>
                <w:b w:val="0"/>
                <w:color w:val="000000" w:themeColor="text1"/>
                <w:sz w:val="21"/>
                <w:szCs w:val="21"/>
                <w14:textFill>
                  <w14:solidFill>
                    <w14:schemeClr w14:val="tx1"/>
                  </w14:solidFill>
                </w14:textFill>
              </w:rPr>
            </w:pPr>
          </w:p>
        </w:tc>
      </w:tr>
      <w:tr w14:paraId="605ED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356" w:type="pct"/>
            <w:tcBorders>
              <w:top w:val="nil"/>
              <w:left w:val="nil"/>
              <w:bottom w:val="nil"/>
              <w:right w:val="nil"/>
            </w:tcBorders>
            <w:shd w:val="clear" w:color="auto" w:fill="auto"/>
            <w:tcMar>
              <w:top w:w="80" w:type="dxa"/>
              <w:left w:w="160" w:type="dxa"/>
              <w:bottom w:w="80" w:type="dxa"/>
              <w:right w:w="160" w:type="dxa"/>
            </w:tcMar>
            <w:vAlign w:val="center"/>
          </w:tcPr>
          <w:p w14:paraId="15025F8C">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the safety of imported HPV vaccines: somewhat distrustful</w:t>
            </w:r>
          </w:p>
        </w:tc>
        <w:tc>
          <w:tcPr>
            <w:tcW w:w="568" w:type="pct"/>
            <w:tcBorders>
              <w:top w:val="nil"/>
              <w:left w:val="nil"/>
              <w:bottom w:val="nil"/>
              <w:right w:val="nil"/>
            </w:tcBorders>
            <w:shd w:val="clear" w:color="auto" w:fill="auto"/>
            <w:tcMar>
              <w:top w:w="80" w:type="dxa"/>
              <w:left w:w="160" w:type="dxa"/>
              <w:bottom w:w="80" w:type="dxa"/>
              <w:right w:w="160" w:type="dxa"/>
            </w:tcMar>
            <w:vAlign w:val="center"/>
          </w:tcPr>
          <w:p w14:paraId="540660C4">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1.890</w:t>
            </w:r>
          </w:p>
        </w:tc>
        <w:tc>
          <w:tcPr>
            <w:tcW w:w="614" w:type="pct"/>
            <w:tcBorders>
              <w:top w:val="nil"/>
              <w:left w:val="nil"/>
              <w:bottom w:val="nil"/>
              <w:right w:val="nil"/>
            </w:tcBorders>
            <w:shd w:val="clear" w:color="auto" w:fill="auto"/>
            <w:tcMar>
              <w:top w:w="80" w:type="dxa"/>
              <w:left w:w="160" w:type="dxa"/>
              <w:bottom w:w="80" w:type="dxa"/>
              <w:right w:w="160" w:type="dxa"/>
            </w:tcMar>
            <w:vAlign w:val="center"/>
          </w:tcPr>
          <w:p w14:paraId="6679CB33">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1.099-3.251</w:t>
            </w:r>
          </w:p>
        </w:tc>
        <w:tc>
          <w:tcPr>
            <w:tcW w:w="461" w:type="pct"/>
            <w:tcBorders>
              <w:top w:val="nil"/>
              <w:left w:val="nil"/>
              <w:bottom w:val="nil"/>
              <w:right w:val="nil"/>
            </w:tcBorders>
            <w:shd w:val="clear" w:color="auto" w:fill="auto"/>
            <w:tcMar>
              <w:top w:w="80" w:type="dxa"/>
              <w:left w:w="160" w:type="dxa"/>
              <w:bottom w:w="80" w:type="dxa"/>
              <w:right w:w="160" w:type="dxa"/>
            </w:tcMar>
            <w:vAlign w:val="center"/>
          </w:tcPr>
          <w:p w14:paraId="24A6EFED">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0.021</w:t>
            </w:r>
          </w:p>
        </w:tc>
      </w:tr>
      <w:tr w14:paraId="6784D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356" w:type="pct"/>
            <w:tcBorders>
              <w:top w:val="nil"/>
              <w:left w:val="nil"/>
              <w:bottom w:val="nil"/>
              <w:right w:val="nil"/>
            </w:tcBorders>
            <w:shd w:val="clear" w:color="auto" w:fill="auto"/>
            <w:tcMar>
              <w:top w:w="80" w:type="dxa"/>
              <w:left w:w="160" w:type="dxa"/>
              <w:bottom w:w="80" w:type="dxa"/>
              <w:right w:w="160" w:type="dxa"/>
            </w:tcMar>
            <w:vAlign w:val="center"/>
          </w:tcPr>
          <w:p w14:paraId="0F1B9228">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the safety of imported HPV vaccines: neutral</w:t>
            </w:r>
          </w:p>
        </w:tc>
        <w:tc>
          <w:tcPr>
            <w:tcW w:w="568" w:type="pct"/>
            <w:tcBorders>
              <w:top w:val="nil"/>
              <w:left w:val="nil"/>
              <w:bottom w:val="nil"/>
              <w:right w:val="nil"/>
            </w:tcBorders>
            <w:shd w:val="clear" w:color="auto" w:fill="auto"/>
            <w:tcMar>
              <w:top w:w="80" w:type="dxa"/>
              <w:left w:w="160" w:type="dxa"/>
              <w:bottom w:w="80" w:type="dxa"/>
              <w:right w:w="160" w:type="dxa"/>
            </w:tcMar>
            <w:vAlign w:val="center"/>
          </w:tcPr>
          <w:p w14:paraId="7D4175C4">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2.569</w:t>
            </w:r>
          </w:p>
        </w:tc>
        <w:tc>
          <w:tcPr>
            <w:tcW w:w="614" w:type="pct"/>
            <w:tcBorders>
              <w:top w:val="nil"/>
              <w:left w:val="nil"/>
              <w:bottom w:val="nil"/>
              <w:right w:val="nil"/>
            </w:tcBorders>
            <w:shd w:val="clear" w:color="auto" w:fill="auto"/>
            <w:tcMar>
              <w:top w:w="80" w:type="dxa"/>
              <w:left w:w="160" w:type="dxa"/>
              <w:bottom w:w="80" w:type="dxa"/>
              <w:right w:w="160" w:type="dxa"/>
            </w:tcMar>
            <w:vAlign w:val="center"/>
          </w:tcPr>
          <w:p w14:paraId="2CC914F2">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1.502-4.395</w:t>
            </w:r>
          </w:p>
        </w:tc>
        <w:tc>
          <w:tcPr>
            <w:tcW w:w="461" w:type="pct"/>
            <w:tcBorders>
              <w:top w:val="nil"/>
              <w:left w:val="nil"/>
              <w:bottom w:val="nil"/>
              <w:right w:val="nil"/>
            </w:tcBorders>
            <w:shd w:val="clear" w:color="auto" w:fill="auto"/>
            <w:tcMar>
              <w:top w:w="80" w:type="dxa"/>
              <w:left w:w="160" w:type="dxa"/>
              <w:bottom w:w="80" w:type="dxa"/>
              <w:right w:w="160" w:type="dxa"/>
            </w:tcMar>
            <w:vAlign w:val="center"/>
          </w:tcPr>
          <w:p w14:paraId="5DDC7772">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&lt;0.001</w:t>
            </w:r>
          </w:p>
        </w:tc>
      </w:tr>
      <w:tr w14:paraId="4A1A3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356" w:type="pct"/>
            <w:tcBorders>
              <w:top w:val="nil"/>
              <w:left w:val="nil"/>
              <w:bottom w:val="nil"/>
              <w:right w:val="nil"/>
            </w:tcBorders>
            <w:shd w:val="clear" w:color="auto" w:fill="auto"/>
            <w:tcMar>
              <w:top w:w="80" w:type="dxa"/>
              <w:left w:w="160" w:type="dxa"/>
              <w:bottom w:w="80" w:type="dxa"/>
              <w:right w:w="160" w:type="dxa"/>
            </w:tcMar>
            <w:vAlign w:val="center"/>
          </w:tcPr>
          <w:p w14:paraId="3130F7AE">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the safety of imported HPV vaccines: somewhat trustful</w:t>
            </w:r>
          </w:p>
        </w:tc>
        <w:tc>
          <w:tcPr>
            <w:tcW w:w="568" w:type="pct"/>
            <w:tcBorders>
              <w:top w:val="nil"/>
              <w:left w:val="nil"/>
              <w:bottom w:val="nil"/>
              <w:right w:val="nil"/>
            </w:tcBorders>
            <w:shd w:val="clear" w:color="auto" w:fill="auto"/>
            <w:tcMar>
              <w:top w:w="80" w:type="dxa"/>
              <w:left w:w="160" w:type="dxa"/>
              <w:bottom w:w="80" w:type="dxa"/>
              <w:right w:w="160" w:type="dxa"/>
            </w:tcMar>
            <w:vAlign w:val="center"/>
          </w:tcPr>
          <w:p w14:paraId="0F349BEA">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3.143</w:t>
            </w:r>
          </w:p>
        </w:tc>
        <w:tc>
          <w:tcPr>
            <w:tcW w:w="614" w:type="pct"/>
            <w:tcBorders>
              <w:top w:val="nil"/>
              <w:left w:val="nil"/>
              <w:bottom w:val="nil"/>
              <w:right w:val="nil"/>
            </w:tcBorders>
            <w:shd w:val="clear" w:color="auto" w:fill="auto"/>
            <w:tcMar>
              <w:top w:w="80" w:type="dxa"/>
              <w:left w:w="160" w:type="dxa"/>
              <w:bottom w:w="80" w:type="dxa"/>
              <w:right w:w="160" w:type="dxa"/>
            </w:tcMar>
            <w:vAlign w:val="center"/>
          </w:tcPr>
          <w:p w14:paraId="574D2A17">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1.772-5.575</w:t>
            </w:r>
          </w:p>
        </w:tc>
        <w:tc>
          <w:tcPr>
            <w:tcW w:w="461" w:type="pct"/>
            <w:tcBorders>
              <w:top w:val="nil"/>
              <w:left w:val="nil"/>
              <w:bottom w:val="nil"/>
              <w:right w:val="nil"/>
            </w:tcBorders>
            <w:shd w:val="clear" w:color="auto" w:fill="auto"/>
            <w:tcMar>
              <w:top w:w="80" w:type="dxa"/>
              <w:left w:w="160" w:type="dxa"/>
              <w:bottom w:w="80" w:type="dxa"/>
              <w:right w:w="160" w:type="dxa"/>
            </w:tcMar>
            <w:vAlign w:val="center"/>
          </w:tcPr>
          <w:p w14:paraId="3C9B56CE">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&lt;0.001</w:t>
            </w:r>
          </w:p>
        </w:tc>
      </w:tr>
      <w:tr w14:paraId="2CA4B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356" w:type="pct"/>
            <w:tcBorders>
              <w:top w:val="nil"/>
              <w:left w:val="nil"/>
              <w:bottom w:val="single" w:color="000000" w:sz="12" w:space="0"/>
              <w:right w:val="nil"/>
            </w:tcBorders>
            <w:shd w:val="clear" w:color="auto" w:fill="auto"/>
            <w:tcMar>
              <w:top w:w="80" w:type="dxa"/>
              <w:left w:w="160" w:type="dxa"/>
              <w:bottom w:w="80" w:type="dxa"/>
              <w:right w:w="160" w:type="dxa"/>
            </w:tcMar>
            <w:vAlign w:val="center"/>
          </w:tcPr>
          <w:p w14:paraId="16AB353B">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ITrust in the safety of imported HPV vaccines: very trustful</w:t>
            </w:r>
          </w:p>
        </w:tc>
        <w:tc>
          <w:tcPr>
            <w:tcW w:w="568" w:type="pct"/>
            <w:tcBorders>
              <w:top w:val="nil"/>
              <w:left w:val="nil"/>
              <w:bottom w:val="single" w:color="000000" w:sz="12" w:space="0"/>
              <w:right w:val="nil"/>
            </w:tcBorders>
            <w:shd w:val="clear" w:color="auto" w:fill="auto"/>
            <w:tcMar>
              <w:top w:w="80" w:type="dxa"/>
              <w:left w:w="160" w:type="dxa"/>
              <w:bottom w:w="80" w:type="dxa"/>
              <w:right w:w="160" w:type="dxa"/>
            </w:tcMar>
            <w:vAlign w:val="center"/>
          </w:tcPr>
          <w:p w14:paraId="3F06DD73">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5.022</w:t>
            </w:r>
          </w:p>
        </w:tc>
        <w:tc>
          <w:tcPr>
            <w:tcW w:w="614" w:type="pct"/>
            <w:tcBorders>
              <w:top w:val="nil"/>
              <w:left w:val="nil"/>
              <w:bottom w:val="single" w:color="000000" w:sz="12" w:space="0"/>
              <w:right w:val="nil"/>
            </w:tcBorders>
            <w:shd w:val="clear" w:color="auto" w:fill="auto"/>
            <w:tcMar>
              <w:top w:w="80" w:type="dxa"/>
              <w:left w:w="160" w:type="dxa"/>
              <w:bottom w:w="80" w:type="dxa"/>
              <w:right w:w="160" w:type="dxa"/>
            </w:tcMar>
            <w:vAlign w:val="center"/>
          </w:tcPr>
          <w:p w14:paraId="3F7338AF">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2.741-9.201</w:t>
            </w:r>
          </w:p>
        </w:tc>
        <w:tc>
          <w:tcPr>
            <w:tcW w:w="461" w:type="pct"/>
            <w:tcBorders>
              <w:top w:val="nil"/>
              <w:left w:val="nil"/>
              <w:bottom w:val="single" w:color="000000" w:sz="12" w:space="0"/>
              <w:right w:val="nil"/>
            </w:tcBorders>
            <w:shd w:val="clear" w:color="auto" w:fill="auto"/>
            <w:tcMar>
              <w:top w:w="80" w:type="dxa"/>
              <w:left w:w="160" w:type="dxa"/>
              <w:bottom w:w="80" w:type="dxa"/>
              <w:right w:w="160" w:type="dxa"/>
            </w:tcMar>
            <w:vAlign w:val="center"/>
          </w:tcPr>
          <w:p w14:paraId="11DEB6EC">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&lt;0.001</w:t>
            </w:r>
          </w:p>
        </w:tc>
      </w:tr>
    </w:tbl>
    <w:p w14:paraId="79C7343B">
      <w:pPr>
        <w:pStyle w:val="30"/>
        <w:keepNext w:val="0"/>
        <w:keepLines w:val="0"/>
        <w:widowControl/>
        <w:suppressLineNumbers w:val="0"/>
        <w:spacing w:before="80" w:beforeAutospacing="0" w:after="80" w:afterAutospacing="0"/>
        <w:ind w:left="0" w:right="0"/>
        <w:jc w:val="both"/>
        <w:rPr>
          <w:rFonts w:hint="eastAsia" w:ascii="Times New Roman" w:hAnsi="Times New Roman" w:eastAsia="宋体" w:cs="Times New Roman"/>
          <w:i/>
          <w:kern w:val="0"/>
          <w:sz w:val="21"/>
          <w:szCs w:val="21"/>
          <w:lang w:val="en-US" w:eastAsia="zh-CN" w:bidi="ar"/>
        </w:rPr>
      </w:pPr>
      <w:r>
        <w:rPr>
          <w:rFonts w:hint="eastAsia" w:ascii="Times New Roman" w:hAnsi="Times New Roman" w:eastAsia="宋体" w:cs="Times New Roman"/>
          <w:i/>
          <w:kern w:val="0"/>
          <w:sz w:val="21"/>
          <w:szCs w:val="21"/>
          <w:lang w:val="en-US" w:eastAsia="zh-CN" w:bidi="ar"/>
        </w:rPr>
        <w:t>Note: The full Model 3 includes all three trust measures simultaneously, along with age, educational level, residence, medical or health-related major, trust in medical recommendations, exposure to media reports of adverse vaccine events, acceptable HPV vaccine price, perceived necessity of HPV vaccination, and attention to HPV vaccine information. The estimates shown above are conditional cross-sectional associations.</w:t>
      </w:r>
    </w:p>
    <w:p w14:paraId="596AFD65">
      <w:pPr>
        <w:rPr>
          <w:rFonts w:hint="default" w:ascii="Times New Roman" w:hAnsi="Times New Roman" w:cs="Times New Roman"/>
          <w:color w:val="000000" w:themeColor="text1"/>
          <w14:textFill>
            <w14:solidFill>
              <w14:schemeClr w14:val="tx1"/>
            </w14:solidFill>
          </w14:textFill>
        </w:rPr>
      </w:pPr>
    </w:p>
    <w:p w14:paraId="207BC880">
      <w:pPr>
        <w:pStyle w:val="3"/>
        <w:rPr>
          <w:rFonts w:hint="default" w:ascii="Times New Roman" w:hAnsi="Times New Roman" w:eastAsia="Arial" w:cs="Times New Roman"/>
          <w:b/>
          <w:bCs w:val="0"/>
          <w:color w:val="000000" w:themeColor="text1"/>
          <w:sz w:val="24"/>
          <w:szCs w:val="24"/>
          <w:lang w:val="en-US" w:eastAsia="zh-CN" w:bidi="ar-SA"/>
          <w14:textFill>
            <w14:solidFill>
              <w14:schemeClr w14:val="tx1"/>
            </w14:solidFill>
          </w14:textFill>
        </w:rPr>
      </w:pPr>
      <w:r>
        <w:rPr>
          <w:rFonts w:hint="default" w:ascii="Times New Roman" w:hAnsi="Times New Roman" w:eastAsia="Arial" w:cs="Times New Roman"/>
          <w:b/>
          <w:bCs w:val="0"/>
          <w:color w:val="000000" w:themeColor="text1"/>
          <w:sz w:val="24"/>
          <w:szCs w:val="24"/>
          <w:lang w:val="en-US" w:eastAsia="zh-CN" w:bidi="ar-SA"/>
          <w14:textFill>
            <w14:solidFill>
              <w14:schemeClr w14:val="tx1"/>
            </w14:solidFill>
          </w14:textFill>
        </w:rPr>
        <w:t>Supplementary Table S4. Acceptable HPV vaccine price and high vaccination willingness among unvaccinated participants</w:t>
      </w:r>
    </w:p>
    <w:tbl>
      <w:tblPr>
        <w:tblStyle w:val="34"/>
        <w:tblW w:w="4998" w:type="pct"/>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Layout w:type="autofit"/>
        <w:tblCellMar>
          <w:top w:w="0" w:type="dxa"/>
          <w:left w:w="108" w:type="dxa"/>
          <w:bottom w:w="0" w:type="dxa"/>
          <w:right w:w="108" w:type="dxa"/>
        </w:tblCellMar>
      </w:tblPr>
      <w:tblGrid>
        <w:gridCol w:w="2099"/>
        <w:gridCol w:w="1080"/>
        <w:gridCol w:w="2668"/>
        <w:gridCol w:w="3295"/>
        <w:gridCol w:w="1042"/>
      </w:tblGrid>
      <w:tr w14:paraId="4B6BB3A7">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tblHeader/>
          <w:jc w:val="center"/>
        </w:trPr>
        <w:tc>
          <w:tcPr>
            <w:tcW w:w="1030"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646E74E1">
            <w:pPr>
              <w:snapToGrid w:val="0"/>
              <w:spacing w:after="0" w:line="360" w:lineRule="auto"/>
              <w:ind w:left="0" w:leftChars="0" w:right="0" w:rightChars="0" w:firstLine="0" w:firstLineChars="0"/>
              <w:jc w:val="center"/>
              <w:rPr>
                <w:rFonts w:hint="default" w:ascii="Times New Roman" w:hAnsi="Times New Roman" w:eastAsia="Arial" w:cs="Times New Roman"/>
                <w:b/>
                <w:color w:val="000000" w:themeColor="text1"/>
                <w:sz w:val="21"/>
                <w:szCs w:val="21"/>
                <w14:textFill>
                  <w14:solidFill>
                    <w14:schemeClr w14:val="tx1"/>
                  </w14:solidFill>
                </w14:textFill>
              </w:rPr>
            </w:pPr>
            <w:r>
              <w:rPr>
                <w:rFonts w:hint="default" w:ascii="Times New Roman" w:hAnsi="Times New Roman" w:eastAsia="Arial" w:cs="Times New Roman"/>
                <w:b/>
                <w:color w:val="000000" w:themeColor="text1"/>
                <w:sz w:val="21"/>
                <w:szCs w:val="21"/>
                <w14:textFill>
                  <w14:solidFill>
                    <w14:schemeClr w14:val="tx1"/>
                  </w14:solidFill>
                </w14:textFill>
              </w:rPr>
              <w:t>Acceptable price</w:t>
            </w:r>
          </w:p>
        </w:tc>
        <w:tc>
          <w:tcPr>
            <w:tcW w:w="530"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5CD89FA7">
            <w:pPr>
              <w:snapToGrid w:val="0"/>
              <w:spacing w:after="0" w:line="360" w:lineRule="auto"/>
              <w:ind w:left="0" w:leftChars="0" w:right="0" w:rightChars="0" w:firstLine="0" w:firstLineChars="0"/>
              <w:jc w:val="center"/>
              <w:rPr>
                <w:rFonts w:hint="default" w:ascii="Times New Roman" w:hAnsi="Times New Roman" w:eastAsia="Arial" w:cs="Times New Roman"/>
                <w:b/>
                <w:color w:val="000000" w:themeColor="text1"/>
                <w:sz w:val="21"/>
                <w:szCs w:val="21"/>
                <w14:textFill>
                  <w14:solidFill>
                    <w14:schemeClr w14:val="tx1"/>
                  </w14:solidFill>
                </w14:textFill>
              </w:rPr>
            </w:pPr>
            <w:r>
              <w:rPr>
                <w:rFonts w:hint="default" w:ascii="Times New Roman" w:hAnsi="Times New Roman" w:eastAsia="Arial" w:cs="Times New Roman"/>
                <w:b/>
                <w:color w:val="000000" w:themeColor="text1"/>
                <w:sz w:val="21"/>
                <w:szCs w:val="21"/>
                <w14:textFill>
                  <w14:solidFill>
                    <w14:schemeClr w14:val="tx1"/>
                  </w14:solidFill>
                </w14:textFill>
              </w:rPr>
              <w:t xml:space="preserve">Total </w:t>
            </w:r>
            <w:r>
              <w:rPr>
                <w:rFonts w:hint="default" w:ascii="Times New Roman" w:hAnsi="Times New Roman" w:eastAsia="Arial" w:cs="Times New Roman"/>
                <w:b/>
                <w:i/>
                <w:iCs/>
                <w:color w:val="000000" w:themeColor="text1"/>
                <w:sz w:val="21"/>
                <w:szCs w:val="21"/>
                <w14:textFill>
                  <w14:solidFill>
                    <w14:schemeClr w14:val="tx1"/>
                  </w14:solidFill>
                </w14:textFill>
              </w:rPr>
              <w:t>N</w:t>
            </w:r>
          </w:p>
        </w:tc>
        <w:tc>
          <w:tcPr>
            <w:tcW w:w="1309"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4CE20242">
            <w:pPr>
              <w:snapToGrid w:val="0"/>
              <w:spacing w:after="0" w:line="360" w:lineRule="auto"/>
              <w:ind w:left="0" w:leftChars="0" w:right="0" w:rightChars="0" w:firstLine="0" w:firstLineChars="0"/>
              <w:jc w:val="center"/>
              <w:rPr>
                <w:rFonts w:hint="default" w:ascii="Times New Roman" w:hAnsi="Times New Roman" w:eastAsia="Arial" w:cs="Times New Roman"/>
                <w:b/>
                <w:color w:val="000000" w:themeColor="text1"/>
                <w:sz w:val="21"/>
                <w:szCs w:val="21"/>
                <w14:textFill>
                  <w14:solidFill>
                    <w14:schemeClr w14:val="tx1"/>
                  </w14:solidFill>
                </w14:textFill>
              </w:rPr>
            </w:pPr>
            <w:r>
              <w:rPr>
                <w:rFonts w:hint="default" w:ascii="Times New Roman" w:hAnsi="Times New Roman" w:eastAsia="Arial" w:cs="Times New Roman"/>
                <w:b/>
                <w:color w:val="000000" w:themeColor="text1"/>
                <w:sz w:val="21"/>
                <w:szCs w:val="21"/>
                <w14:textFill>
                  <w14:solidFill>
                    <w14:schemeClr w14:val="tx1"/>
                  </w14:solidFill>
                </w14:textFill>
              </w:rPr>
              <w:t>High willingness, n (%)</w:t>
            </w:r>
          </w:p>
        </w:tc>
        <w:tc>
          <w:tcPr>
            <w:tcW w:w="1617"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33015B34">
            <w:pPr>
              <w:snapToGrid w:val="0"/>
              <w:spacing w:after="0" w:line="360" w:lineRule="auto"/>
              <w:ind w:left="0" w:leftChars="0" w:right="0" w:rightChars="0" w:firstLine="0" w:firstLineChars="0"/>
              <w:jc w:val="center"/>
              <w:rPr>
                <w:rFonts w:hint="default" w:ascii="Times New Roman" w:hAnsi="Times New Roman" w:eastAsia="Arial" w:cs="Times New Roman"/>
                <w:b/>
                <w:color w:val="000000" w:themeColor="text1"/>
                <w:sz w:val="21"/>
                <w:szCs w:val="21"/>
                <w14:textFill>
                  <w14:solidFill>
                    <w14:schemeClr w14:val="tx1"/>
                  </w14:solidFill>
                </w14:textFill>
              </w:rPr>
            </w:pPr>
            <w:r>
              <w:rPr>
                <w:rFonts w:hint="default" w:ascii="Times New Roman" w:hAnsi="Times New Roman" w:eastAsia="Arial" w:cs="Times New Roman"/>
                <w:b/>
                <w:color w:val="000000" w:themeColor="text1"/>
                <w:sz w:val="21"/>
                <w:szCs w:val="21"/>
                <w14:textFill>
                  <w14:solidFill>
                    <w14:schemeClr w14:val="tx1"/>
                  </w14:solidFill>
                </w14:textFill>
              </w:rPr>
              <w:t>Fully adjusted aOR (95% CI)</w:t>
            </w:r>
          </w:p>
        </w:tc>
        <w:tc>
          <w:tcPr>
            <w:tcW w:w="511"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5B9E3447">
            <w:pPr>
              <w:snapToGrid w:val="0"/>
              <w:spacing w:after="0" w:line="360" w:lineRule="auto"/>
              <w:ind w:left="0" w:leftChars="0" w:right="0" w:rightChars="0" w:firstLine="0" w:firstLineChars="0"/>
              <w:jc w:val="center"/>
              <w:rPr>
                <w:rFonts w:hint="default" w:ascii="Times New Roman" w:hAnsi="Times New Roman" w:eastAsia="Arial" w:cs="Times New Roman"/>
                <w:b/>
                <w:color w:val="000000" w:themeColor="text1"/>
                <w:sz w:val="21"/>
                <w:szCs w:val="21"/>
                <w14:textFill>
                  <w14:solidFill>
                    <w14:schemeClr w14:val="tx1"/>
                  </w14:solidFill>
                </w14:textFill>
              </w:rPr>
            </w:pPr>
            <w:r>
              <w:rPr>
                <w:rFonts w:hint="default" w:ascii="Times New Roman" w:hAnsi="Times New Roman" w:eastAsia="Arial" w:cs="Times New Roman"/>
                <w:b/>
                <w:i/>
                <w:iCs/>
                <w:color w:val="000000" w:themeColor="text1"/>
                <w:sz w:val="21"/>
                <w:szCs w:val="21"/>
                <w14:textFill>
                  <w14:solidFill>
                    <w14:schemeClr w14:val="tx1"/>
                  </w14:solidFill>
                </w14:textFill>
              </w:rPr>
              <w:t>p</w:t>
            </w:r>
            <w:r>
              <w:rPr>
                <w:rFonts w:hint="default" w:ascii="Times New Roman" w:hAnsi="Times New Roman" w:eastAsia="Arial" w:cs="Times New Roman"/>
                <w:b/>
                <w:color w:val="000000" w:themeColor="text1"/>
                <w:sz w:val="21"/>
                <w:szCs w:val="21"/>
                <w14:textFill>
                  <w14:solidFill>
                    <w14:schemeClr w14:val="tx1"/>
                  </w14:solidFill>
                </w14:textFill>
              </w:rPr>
              <w:t xml:space="preserve"> value</w:t>
            </w:r>
          </w:p>
        </w:tc>
      </w:tr>
      <w:tr w14:paraId="06F8FCA2">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030" w:type="pct"/>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275E4E5A">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1000 yuan or less</w:t>
            </w:r>
          </w:p>
        </w:tc>
        <w:tc>
          <w:tcPr>
            <w:tcW w:w="530" w:type="pct"/>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5230AA5F">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553</w:t>
            </w:r>
          </w:p>
        </w:tc>
        <w:tc>
          <w:tcPr>
            <w:tcW w:w="1309" w:type="pct"/>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385EBF04">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297 (53.7)</w:t>
            </w:r>
          </w:p>
        </w:tc>
        <w:tc>
          <w:tcPr>
            <w:tcW w:w="1617" w:type="pct"/>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25881A35">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Reference</w:t>
            </w:r>
          </w:p>
        </w:tc>
        <w:tc>
          <w:tcPr>
            <w:tcW w:w="511" w:type="pct"/>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012F1949">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p>
        </w:tc>
      </w:tr>
      <w:tr w14:paraId="188022B2">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030" w:type="pct"/>
            <w:tcBorders>
              <w:top w:val="nil"/>
              <w:left w:val="nil"/>
              <w:bottom w:val="nil"/>
              <w:right w:val="nil"/>
            </w:tcBorders>
            <w:shd w:val="clear" w:color="auto" w:fill="auto"/>
            <w:noWrap w:val="0"/>
            <w:tcMar>
              <w:top w:w="-1" w:type="dxa"/>
              <w:left w:w="-1" w:type="dxa"/>
              <w:bottom w:w="-1" w:type="dxa"/>
              <w:right w:w="-1" w:type="dxa"/>
            </w:tcMar>
            <w:vAlign w:val="center"/>
          </w:tcPr>
          <w:p w14:paraId="2E00DCE0">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1000-1999 yuan</w:t>
            </w:r>
          </w:p>
        </w:tc>
        <w:tc>
          <w:tcPr>
            <w:tcW w:w="530" w:type="pct"/>
            <w:tcBorders>
              <w:top w:val="nil"/>
              <w:left w:val="nil"/>
              <w:bottom w:val="nil"/>
              <w:right w:val="nil"/>
            </w:tcBorders>
            <w:shd w:val="clear" w:color="auto" w:fill="auto"/>
            <w:noWrap w:val="0"/>
            <w:tcMar>
              <w:top w:w="-1" w:type="dxa"/>
              <w:left w:w="-1" w:type="dxa"/>
              <w:bottom w:w="-1" w:type="dxa"/>
              <w:right w:w="-1" w:type="dxa"/>
            </w:tcMar>
            <w:vAlign w:val="center"/>
          </w:tcPr>
          <w:p w14:paraId="3B7D05EF">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511</w:t>
            </w:r>
          </w:p>
        </w:tc>
        <w:tc>
          <w:tcPr>
            <w:tcW w:w="1309" w:type="pct"/>
            <w:tcBorders>
              <w:top w:val="nil"/>
              <w:left w:val="nil"/>
              <w:bottom w:val="nil"/>
              <w:right w:val="nil"/>
            </w:tcBorders>
            <w:shd w:val="clear" w:color="auto" w:fill="auto"/>
            <w:noWrap w:val="0"/>
            <w:tcMar>
              <w:top w:w="-1" w:type="dxa"/>
              <w:left w:w="-1" w:type="dxa"/>
              <w:bottom w:w="-1" w:type="dxa"/>
              <w:right w:w="-1" w:type="dxa"/>
            </w:tcMar>
            <w:vAlign w:val="center"/>
          </w:tcPr>
          <w:p w14:paraId="210C6078">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180 (35.2)</w:t>
            </w:r>
          </w:p>
        </w:tc>
        <w:tc>
          <w:tcPr>
            <w:tcW w:w="1617" w:type="pct"/>
            <w:tcBorders>
              <w:top w:val="nil"/>
              <w:left w:val="nil"/>
              <w:bottom w:val="nil"/>
              <w:right w:val="nil"/>
            </w:tcBorders>
            <w:shd w:val="clear" w:color="auto" w:fill="auto"/>
            <w:noWrap w:val="0"/>
            <w:tcMar>
              <w:top w:w="-1" w:type="dxa"/>
              <w:left w:w="-1" w:type="dxa"/>
              <w:bottom w:w="-1" w:type="dxa"/>
              <w:right w:w="-1" w:type="dxa"/>
            </w:tcMar>
            <w:vAlign w:val="center"/>
          </w:tcPr>
          <w:p w14:paraId="318A5D25">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0.808 (0.574-1.138)</w:t>
            </w:r>
          </w:p>
        </w:tc>
        <w:tc>
          <w:tcPr>
            <w:tcW w:w="511" w:type="pct"/>
            <w:tcBorders>
              <w:top w:val="nil"/>
              <w:left w:val="nil"/>
              <w:bottom w:val="nil"/>
              <w:right w:val="nil"/>
            </w:tcBorders>
            <w:shd w:val="clear" w:color="auto" w:fill="auto"/>
            <w:noWrap w:val="0"/>
            <w:tcMar>
              <w:top w:w="-1" w:type="dxa"/>
              <w:left w:w="-1" w:type="dxa"/>
              <w:bottom w:w="-1" w:type="dxa"/>
              <w:right w:w="-1" w:type="dxa"/>
            </w:tcMar>
            <w:vAlign w:val="center"/>
          </w:tcPr>
          <w:p w14:paraId="372BD7F7">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0.223</w:t>
            </w:r>
          </w:p>
        </w:tc>
      </w:tr>
      <w:tr w14:paraId="54C4E726">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030" w:type="pct"/>
            <w:tcBorders>
              <w:top w:val="nil"/>
              <w:left w:val="nil"/>
              <w:bottom w:val="nil"/>
              <w:right w:val="nil"/>
            </w:tcBorders>
            <w:shd w:val="clear" w:color="auto" w:fill="auto"/>
            <w:noWrap w:val="0"/>
            <w:tcMar>
              <w:top w:w="-1" w:type="dxa"/>
              <w:left w:w="-1" w:type="dxa"/>
              <w:bottom w:w="-1" w:type="dxa"/>
              <w:right w:w="-1" w:type="dxa"/>
            </w:tcMar>
            <w:vAlign w:val="center"/>
          </w:tcPr>
          <w:p w14:paraId="6F68F1C0">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2000-2999 yuan</w:t>
            </w:r>
          </w:p>
        </w:tc>
        <w:tc>
          <w:tcPr>
            <w:tcW w:w="530" w:type="pct"/>
            <w:tcBorders>
              <w:top w:val="nil"/>
              <w:left w:val="nil"/>
              <w:bottom w:val="nil"/>
              <w:right w:val="nil"/>
            </w:tcBorders>
            <w:shd w:val="clear" w:color="auto" w:fill="auto"/>
            <w:noWrap w:val="0"/>
            <w:tcMar>
              <w:top w:w="-1" w:type="dxa"/>
              <w:left w:w="-1" w:type="dxa"/>
              <w:bottom w:w="-1" w:type="dxa"/>
              <w:right w:w="-1" w:type="dxa"/>
            </w:tcMar>
            <w:vAlign w:val="center"/>
          </w:tcPr>
          <w:p w14:paraId="65561D21">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426</w:t>
            </w:r>
          </w:p>
        </w:tc>
        <w:tc>
          <w:tcPr>
            <w:tcW w:w="1309" w:type="pct"/>
            <w:tcBorders>
              <w:top w:val="nil"/>
              <w:left w:val="nil"/>
              <w:bottom w:val="nil"/>
              <w:right w:val="nil"/>
            </w:tcBorders>
            <w:shd w:val="clear" w:color="auto" w:fill="auto"/>
            <w:noWrap w:val="0"/>
            <w:tcMar>
              <w:top w:w="-1" w:type="dxa"/>
              <w:left w:w="-1" w:type="dxa"/>
              <w:bottom w:w="-1" w:type="dxa"/>
              <w:right w:w="-1" w:type="dxa"/>
            </w:tcMar>
            <w:vAlign w:val="center"/>
          </w:tcPr>
          <w:p w14:paraId="240C3FCB">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140 (32.9)</w:t>
            </w:r>
          </w:p>
        </w:tc>
        <w:tc>
          <w:tcPr>
            <w:tcW w:w="1617" w:type="pct"/>
            <w:tcBorders>
              <w:top w:val="nil"/>
              <w:left w:val="nil"/>
              <w:bottom w:val="nil"/>
              <w:right w:val="nil"/>
            </w:tcBorders>
            <w:shd w:val="clear" w:color="auto" w:fill="auto"/>
            <w:noWrap w:val="0"/>
            <w:tcMar>
              <w:top w:w="-1" w:type="dxa"/>
              <w:left w:w="-1" w:type="dxa"/>
              <w:bottom w:w="-1" w:type="dxa"/>
              <w:right w:w="-1" w:type="dxa"/>
            </w:tcMar>
            <w:vAlign w:val="center"/>
          </w:tcPr>
          <w:p w14:paraId="0DEA467C">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0.684 (0.472-0.990)</w:t>
            </w:r>
          </w:p>
        </w:tc>
        <w:tc>
          <w:tcPr>
            <w:tcW w:w="511" w:type="pct"/>
            <w:tcBorders>
              <w:top w:val="nil"/>
              <w:left w:val="nil"/>
              <w:bottom w:val="nil"/>
              <w:right w:val="nil"/>
            </w:tcBorders>
            <w:shd w:val="clear" w:color="auto" w:fill="auto"/>
            <w:noWrap w:val="0"/>
            <w:tcMar>
              <w:top w:w="-1" w:type="dxa"/>
              <w:left w:w="-1" w:type="dxa"/>
              <w:bottom w:w="-1" w:type="dxa"/>
              <w:right w:w="-1" w:type="dxa"/>
            </w:tcMar>
            <w:vAlign w:val="center"/>
          </w:tcPr>
          <w:p w14:paraId="0ED8E191">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0.044</w:t>
            </w:r>
          </w:p>
        </w:tc>
      </w:tr>
      <w:tr w14:paraId="71B03BF0">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030" w:type="pct"/>
            <w:tcBorders>
              <w:top w:val="nil"/>
              <w:left w:val="nil"/>
              <w:bottom w:val="nil"/>
              <w:right w:val="nil"/>
            </w:tcBorders>
            <w:shd w:val="clear" w:color="auto" w:fill="auto"/>
            <w:noWrap w:val="0"/>
            <w:tcMar>
              <w:top w:w="-1" w:type="dxa"/>
              <w:left w:w="-1" w:type="dxa"/>
              <w:bottom w:w="-1" w:type="dxa"/>
              <w:right w:w="-1" w:type="dxa"/>
            </w:tcMar>
            <w:vAlign w:val="center"/>
          </w:tcPr>
          <w:p w14:paraId="11905AAA">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3000-3999 yuan</w:t>
            </w:r>
          </w:p>
        </w:tc>
        <w:tc>
          <w:tcPr>
            <w:tcW w:w="530" w:type="pct"/>
            <w:tcBorders>
              <w:top w:val="nil"/>
              <w:left w:val="nil"/>
              <w:bottom w:val="nil"/>
              <w:right w:val="nil"/>
            </w:tcBorders>
            <w:shd w:val="clear" w:color="auto" w:fill="auto"/>
            <w:noWrap w:val="0"/>
            <w:tcMar>
              <w:top w:w="-1" w:type="dxa"/>
              <w:left w:w="-1" w:type="dxa"/>
              <w:bottom w:w="-1" w:type="dxa"/>
              <w:right w:w="-1" w:type="dxa"/>
            </w:tcMar>
            <w:vAlign w:val="center"/>
          </w:tcPr>
          <w:p w14:paraId="05367B4B">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379</w:t>
            </w:r>
          </w:p>
        </w:tc>
        <w:tc>
          <w:tcPr>
            <w:tcW w:w="1309" w:type="pct"/>
            <w:tcBorders>
              <w:top w:val="nil"/>
              <w:left w:val="nil"/>
              <w:bottom w:val="nil"/>
              <w:right w:val="nil"/>
            </w:tcBorders>
            <w:shd w:val="clear" w:color="auto" w:fill="auto"/>
            <w:noWrap w:val="0"/>
            <w:tcMar>
              <w:top w:w="-1" w:type="dxa"/>
              <w:left w:w="-1" w:type="dxa"/>
              <w:bottom w:w="-1" w:type="dxa"/>
              <w:right w:w="-1" w:type="dxa"/>
            </w:tcMar>
            <w:vAlign w:val="center"/>
          </w:tcPr>
          <w:p w14:paraId="1C1B9D14">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95 (25.1)</w:t>
            </w:r>
          </w:p>
        </w:tc>
        <w:tc>
          <w:tcPr>
            <w:tcW w:w="1617" w:type="pct"/>
            <w:tcBorders>
              <w:top w:val="nil"/>
              <w:left w:val="nil"/>
              <w:bottom w:val="nil"/>
              <w:right w:val="nil"/>
            </w:tcBorders>
            <w:shd w:val="clear" w:color="auto" w:fill="auto"/>
            <w:noWrap w:val="0"/>
            <w:tcMar>
              <w:top w:w="-1" w:type="dxa"/>
              <w:left w:w="-1" w:type="dxa"/>
              <w:bottom w:w="-1" w:type="dxa"/>
              <w:right w:w="-1" w:type="dxa"/>
            </w:tcMar>
            <w:vAlign w:val="center"/>
          </w:tcPr>
          <w:p w14:paraId="6B9ECC7D">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0.563 (0.376-0.842)</w:t>
            </w:r>
          </w:p>
        </w:tc>
        <w:tc>
          <w:tcPr>
            <w:tcW w:w="511" w:type="pct"/>
            <w:tcBorders>
              <w:top w:val="nil"/>
              <w:left w:val="nil"/>
              <w:bottom w:val="nil"/>
              <w:right w:val="nil"/>
            </w:tcBorders>
            <w:shd w:val="clear" w:color="auto" w:fill="auto"/>
            <w:noWrap w:val="0"/>
            <w:tcMar>
              <w:top w:w="-1" w:type="dxa"/>
              <w:left w:w="-1" w:type="dxa"/>
              <w:bottom w:w="-1" w:type="dxa"/>
              <w:right w:w="-1" w:type="dxa"/>
            </w:tcMar>
            <w:vAlign w:val="center"/>
          </w:tcPr>
          <w:p w14:paraId="190D5C2A">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0.005</w:t>
            </w:r>
          </w:p>
        </w:tc>
      </w:tr>
      <w:tr w14:paraId="02B67820">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030" w:type="pct"/>
            <w:tcBorders>
              <w:top w:val="nil"/>
              <w:left w:val="nil"/>
              <w:bottom w:val="nil"/>
              <w:right w:val="nil"/>
            </w:tcBorders>
            <w:shd w:val="clear" w:color="auto" w:fill="auto"/>
            <w:noWrap w:val="0"/>
            <w:tcMar>
              <w:top w:w="-1" w:type="dxa"/>
              <w:left w:w="-1" w:type="dxa"/>
              <w:bottom w:w="-1" w:type="dxa"/>
              <w:right w:w="-1" w:type="dxa"/>
            </w:tcMar>
            <w:vAlign w:val="center"/>
          </w:tcPr>
          <w:p w14:paraId="1051B544">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4000 yuan or more</w:t>
            </w:r>
          </w:p>
        </w:tc>
        <w:tc>
          <w:tcPr>
            <w:tcW w:w="530" w:type="pct"/>
            <w:tcBorders>
              <w:top w:val="nil"/>
              <w:left w:val="nil"/>
              <w:bottom w:val="nil"/>
              <w:right w:val="nil"/>
            </w:tcBorders>
            <w:shd w:val="clear" w:color="auto" w:fill="auto"/>
            <w:noWrap w:val="0"/>
            <w:tcMar>
              <w:top w:w="-1" w:type="dxa"/>
              <w:left w:w="-1" w:type="dxa"/>
              <w:bottom w:w="-1" w:type="dxa"/>
              <w:right w:w="-1" w:type="dxa"/>
            </w:tcMar>
            <w:vAlign w:val="center"/>
          </w:tcPr>
          <w:p w14:paraId="2B3E2268">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260</w:t>
            </w:r>
          </w:p>
        </w:tc>
        <w:tc>
          <w:tcPr>
            <w:tcW w:w="1309" w:type="pct"/>
            <w:tcBorders>
              <w:top w:val="nil"/>
              <w:left w:val="nil"/>
              <w:bottom w:val="nil"/>
              <w:right w:val="nil"/>
            </w:tcBorders>
            <w:shd w:val="clear" w:color="auto" w:fill="auto"/>
            <w:noWrap w:val="0"/>
            <w:tcMar>
              <w:top w:w="-1" w:type="dxa"/>
              <w:left w:w="-1" w:type="dxa"/>
              <w:bottom w:w="-1" w:type="dxa"/>
              <w:right w:w="-1" w:type="dxa"/>
            </w:tcMar>
            <w:vAlign w:val="center"/>
          </w:tcPr>
          <w:p w14:paraId="4DF977C8">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65 (25.0)</w:t>
            </w:r>
          </w:p>
        </w:tc>
        <w:tc>
          <w:tcPr>
            <w:tcW w:w="1617" w:type="pct"/>
            <w:tcBorders>
              <w:top w:val="nil"/>
              <w:left w:val="nil"/>
              <w:bottom w:val="nil"/>
              <w:right w:val="nil"/>
            </w:tcBorders>
            <w:shd w:val="clear" w:color="auto" w:fill="auto"/>
            <w:noWrap w:val="0"/>
            <w:tcMar>
              <w:top w:w="-1" w:type="dxa"/>
              <w:left w:w="-1" w:type="dxa"/>
              <w:bottom w:w="-1" w:type="dxa"/>
              <w:right w:w="-1" w:type="dxa"/>
            </w:tcMar>
            <w:vAlign w:val="center"/>
          </w:tcPr>
          <w:p w14:paraId="54DE0144">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0.567 (0.363-0.885)</w:t>
            </w:r>
          </w:p>
        </w:tc>
        <w:tc>
          <w:tcPr>
            <w:tcW w:w="511" w:type="pct"/>
            <w:tcBorders>
              <w:top w:val="nil"/>
              <w:left w:val="nil"/>
              <w:bottom w:val="nil"/>
              <w:right w:val="nil"/>
            </w:tcBorders>
            <w:shd w:val="clear" w:color="auto" w:fill="auto"/>
            <w:noWrap w:val="0"/>
            <w:tcMar>
              <w:top w:w="-1" w:type="dxa"/>
              <w:left w:w="-1" w:type="dxa"/>
              <w:bottom w:w="-1" w:type="dxa"/>
              <w:right w:w="-1" w:type="dxa"/>
            </w:tcMar>
            <w:vAlign w:val="center"/>
          </w:tcPr>
          <w:p w14:paraId="1C261511">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0.012</w:t>
            </w:r>
          </w:p>
        </w:tc>
      </w:tr>
      <w:tr w14:paraId="33AF20B9">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1030"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69664D48">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Uncertain</w:t>
            </w:r>
          </w:p>
        </w:tc>
        <w:tc>
          <w:tcPr>
            <w:tcW w:w="530"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37A01EE3">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86</w:t>
            </w:r>
          </w:p>
        </w:tc>
        <w:tc>
          <w:tcPr>
            <w:tcW w:w="1309"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75AF9094">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41 (47.7)</w:t>
            </w:r>
          </w:p>
        </w:tc>
        <w:tc>
          <w:tcPr>
            <w:tcW w:w="1617"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1F0DAFB9">
            <w:pPr>
              <w:snapToGrid w:val="0"/>
              <w:spacing w:after="0" w:line="360" w:lineRule="auto"/>
              <w:ind w:left="0" w:leftChars="0" w:right="0" w:rightChars="0" w:firstLine="0" w:firstLineChars="0"/>
              <w:jc w:val="right"/>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0.763 (0.408-1.427)</w:t>
            </w:r>
          </w:p>
        </w:tc>
        <w:tc>
          <w:tcPr>
            <w:tcW w:w="511"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7C04920A">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0.397</w:t>
            </w:r>
          </w:p>
        </w:tc>
      </w:tr>
    </w:tbl>
    <w:p w14:paraId="3B7FE2C3">
      <w:pPr>
        <w:spacing w:after="100" w:line="259" w:lineRule="auto"/>
        <w:jc w:val="both"/>
        <w:rPr>
          <w:rFonts w:hint="default" w:ascii="Times New Roman" w:hAnsi="Times New Roman" w:eastAsia="宋体" w:cs="Times New Roman"/>
          <w:i/>
          <w:kern w:val="0"/>
          <w:sz w:val="21"/>
          <w:szCs w:val="21"/>
          <w:lang w:val="en-US" w:eastAsia="zh-CN" w:bidi="ar"/>
        </w:rPr>
      </w:pPr>
      <w:r>
        <w:rPr>
          <w:rFonts w:hint="eastAsia" w:ascii="Times New Roman" w:hAnsi="Times New Roman" w:eastAsia="宋体" w:cs="Times New Roman"/>
          <w:i/>
          <w:kern w:val="0"/>
          <w:sz w:val="21"/>
          <w:szCs w:val="21"/>
          <w:lang w:val="en-US" w:eastAsia="zh-CN" w:bidi="ar"/>
        </w:rPr>
        <w:t xml:space="preserve">Note: </w:t>
      </w:r>
      <w:r>
        <w:rPr>
          <w:rFonts w:hint="default" w:ascii="Times New Roman" w:hAnsi="Times New Roman" w:eastAsia="宋体" w:cs="Times New Roman"/>
          <w:i/>
          <w:kern w:val="0"/>
          <w:sz w:val="21"/>
          <w:szCs w:val="21"/>
          <w:lang w:val="en-US" w:eastAsia="zh-CN" w:bidi="ar"/>
        </w:rPr>
        <w:t>Percentages represent the proportion with high willingness within each price category. The fully adjusted model included age, educational level, residence, medical or health-related major, trust in medical recommendations, exposure to media reports of adverse vaccine events, perceived necessity of HPV vaccination, attention to HPV vaccine information, and all three trust measures simultaneously. These associations are cross-sectional and should not be interpreted as causal effects of affordability or willingness to pay.</w:t>
      </w:r>
    </w:p>
    <w:p w14:paraId="0EB686B5">
      <w:pPr>
        <w:spacing w:after="100" w:line="259" w:lineRule="auto"/>
        <w:jc w:val="both"/>
        <w:rPr>
          <w:rFonts w:hint="default" w:ascii="Times New Roman" w:hAnsi="Times New Roman" w:cs="Times New Roman"/>
          <w:b w:val="0"/>
          <w:color w:val="000000" w:themeColor="text1"/>
          <w:sz w:val="24"/>
          <w:szCs w:val="24"/>
          <w14:textFill>
            <w14:solidFill>
              <w14:schemeClr w14:val="tx1"/>
            </w14:solidFill>
          </w14:textFill>
        </w:rPr>
      </w:pPr>
    </w:p>
    <w:p w14:paraId="16B8006C">
      <w:pPr>
        <w:spacing w:after="100" w:line="259" w:lineRule="auto"/>
        <w:jc w:val="both"/>
        <w:rPr>
          <w:rFonts w:hint="default" w:ascii="Times New Roman" w:hAnsi="Times New Roman" w:cs="Times New Roman"/>
          <w:b w:val="0"/>
          <w:color w:val="000000" w:themeColor="text1"/>
          <w:sz w:val="24"/>
          <w:szCs w:val="24"/>
          <w14:textFill>
            <w14:solidFill>
              <w14:schemeClr w14:val="tx1"/>
            </w14:solidFill>
          </w14:textFill>
        </w:rPr>
      </w:pPr>
    </w:p>
    <w:p w14:paraId="4512A946">
      <w:pPr>
        <w:spacing w:after="100" w:line="259" w:lineRule="auto"/>
        <w:jc w:val="both"/>
        <w:rPr>
          <w:rFonts w:hint="default" w:ascii="Times New Roman" w:hAnsi="Times New Roman" w:cs="Times New Roman"/>
          <w:b w:val="0"/>
          <w:color w:val="000000" w:themeColor="text1"/>
          <w:sz w:val="24"/>
          <w:szCs w:val="24"/>
          <w14:textFill>
            <w14:solidFill>
              <w14:schemeClr w14:val="tx1"/>
            </w14:solidFill>
          </w14:textFill>
        </w:rPr>
      </w:pPr>
    </w:p>
    <w:p w14:paraId="09D81EC2">
      <w:pPr>
        <w:pStyle w:val="3"/>
        <w:rPr>
          <w:rFonts w:hint="default" w:ascii="Times New Roman" w:hAnsi="Times New Roman" w:eastAsia="Arial" w:cs="Times New Roman"/>
          <w:b/>
          <w:bCs w:val="0"/>
          <w:color w:val="000000" w:themeColor="text1"/>
          <w:sz w:val="24"/>
          <w:szCs w:val="24"/>
          <w:lang w:val="en-US" w:eastAsia="zh-CN" w:bidi="ar-SA"/>
          <w14:textFill>
            <w14:solidFill>
              <w14:schemeClr w14:val="tx1"/>
            </w14:solidFill>
          </w14:textFill>
        </w:rPr>
      </w:pPr>
      <w:r>
        <w:rPr>
          <w:rFonts w:hint="default" w:ascii="Times New Roman" w:hAnsi="Times New Roman" w:eastAsia="Arial" w:cs="Times New Roman"/>
          <w:b/>
          <w:bCs w:val="0"/>
          <w:color w:val="000000" w:themeColor="text1"/>
          <w:sz w:val="24"/>
          <w:szCs w:val="24"/>
          <w:lang w:val="en-US" w:eastAsia="zh-CN" w:bidi="ar-SA"/>
          <w14:textFill>
            <w14:solidFill>
              <w14:schemeClr w14:val="tx1"/>
            </w14:solidFill>
          </w14:textFill>
        </w:rPr>
        <w:t>Supplementary Table S5. Sensitivity analysis excluding participants reporting uncertain vaccination willingness</w:t>
      </w:r>
    </w:p>
    <w:tbl>
      <w:tblPr>
        <w:tblStyle w:val="34"/>
        <w:tblW w:w="4999" w:type="pct"/>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Layout w:type="autofit"/>
        <w:tblCellMar>
          <w:top w:w="0" w:type="dxa"/>
          <w:left w:w="108" w:type="dxa"/>
          <w:bottom w:w="0" w:type="dxa"/>
          <w:right w:w="108" w:type="dxa"/>
        </w:tblCellMar>
      </w:tblPr>
      <w:tblGrid>
        <w:gridCol w:w="5697"/>
        <w:gridCol w:w="4489"/>
      </w:tblGrid>
      <w:tr w14:paraId="026111AE">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tblHeader/>
          <w:jc w:val="center"/>
        </w:trPr>
        <w:tc>
          <w:tcPr>
            <w:tcW w:w="2796"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3293A882">
            <w:pPr>
              <w:snapToGrid w:val="0"/>
              <w:spacing w:after="0" w:line="360" w:lineRule="auto"/>
              <w:ind w:left="0" w:leftChars="0" w:right="0" w:rightChars="0" w:firstLine="0" w:firstLineChars="0"/>
              <w:jc w:val="center"/>
              <w:rPr>
                <w:rFonts w:hint="default" w:ascii="Times New Roman" w:hAnsi="Times New Roman" w:eastAsia="Arial" w:cs="Times New Roman"/>
                <w:b/>
                <w:color w:val="000000" w:themeColor="text1"/>
                <w:sz w:val="21"/>
                <w:szCs w:val="21"/>
                <w14:textFill>
                  <w14:solidFill>
                    <w14:schemeClr w14:val="tx1"/>
                  </w14:solidFill>
                </w14:textFill>
              </w:rPr>
            </w:pPr>
            <w:r>
              <w:rPr>
                <w:rFonts w:hint="default" w:ascii="Times New Roman" w:hAnsi="Times New Roman" w:eastAsia="Arial" w:cs="Times New Roman"/>
                <w:b/>
                <w:color w:val="000000" w:themeColor="text1"/>
                <w:sz w:val="21"/>
                <w:szCs w:val="21"/>
                <w14:textFill>
                  <w14:solidFill>
                    <w14:schemeClr w14:val="tx1"/>
                  </w14:solidFill>
                </w14:textFill>
              </w:rPr>
              <w:t>Measure</w:t>
            </w:r>
          </w:p>
        </w:tc>
        <w:tc>
          <w:tcPr>
            <w:tcW w:w="2203" w:type="pct"/>
            <w:tcBorders>
              <w:top w:val="single" w:color="auto" w:sz="12" w:space="0"/>
              <w:left w:val="nil"/>
              <w:bottom w:val="nil"/>
              <w:right w:val="nil"/>
            </w:tcBorders>
            <w:shd w:val="clear" w:color="auto" w:fill="auto"/>
            <w:noWrap w:val="0"/>
            <w:tcMar>
              <w:top w:w="-1" w:type="dxa"/>
              <w:left w:w="-1" w:type="dxa"/>
              <w:bottom w:w="-1" w:type="dxa"/>
              <w:right w:w="-1" w:type="dxa"/>
            </w:tcMar>
            <w:vAlign w:val="center"/>
          </w:tcPr>
          <w:p w14:paraId="0B7E54D9">
            <w:pPr>
              <w:snapToGrid w:val="0"/>
              <w:spacing w:after="0" w:line="360" w:lineRule="auto"/>
              <w:ind w:left="0" w:leftChars="0" w:right="0" w:rightChars="0" w:firstLine="0" w:firstLineChars="0"/>
              <w:jc w:val="center"/>
              <w:rPr>
                <w:rFonts w:hint="default" w:ascii="Times New Roman" w:hAnsi="Times New Roman" w:eastAsia="Arial" w:cs="Times New Roman"/>
                <w:b/>
                <w:color w:val="000000" w:themeColor="text1"/>
                <w:sz w:val="21"/>
                <w:szCs w:val="21"/>
                <w14:textFill>
                  <w14:solidFill>
                    <w14:schemeClr w14:val="tx1"/>
                  </w14:solidFill>
                </w14:textFill>
              </w:rPr>
            </w:pPr>
            <w:r>
              <w:rPr>
                <w:rFonts w:hint="default" w:ascii="Times New Roman" w:hAnsi="Times New Roman" w:eastAsia="Arial" w:cs="Times New Roman"/>
                <w:b/>
                <w:color w:val="000000" w:themeColor="text1"/>
                <w:sz w:val="21"/>
                <w:szCs w:val="21"/>
                <w14:textFill>
                  <w14:solidFill>
                    <w14:schemeClr w14:val="tx1"/>
                  </w14:solidFill>
                </w14:textFill>
              </w:rPr>
              <w:t>Result</w:t>
            </w:r>
          </w:p>
        </w:tc>
      </w:tr>
      <w:tr w14:paraId="08485D0B">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2796" w:type="pct"/>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21076067">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Analytical sample</w:t>
            </w:r>
          </w:p>
        </w:tc>
        <w:tc>
          <w:tcPr>
            <w:tcW w:w="2203" w:type="pct"/>
            <w:tcBorders>
              <w:top w:val="single" w:color="auto" w:sz="4" w:space="0"/>
              <w:left w:val="nil"/>
              <w:bottom w:val="nil"/>
              <w:right w:val="nil"/>
            </w:tcBorders>
            <w:shd w:val="clear" w:color="auto" w:fill="auto"/>
            <w:noWrap w:val="0"/>
            <w:tcMar>
              <w:top w:w="-1" w:type="dxa"/>
              <w:left w:w="-1" w:type="dxa"/>
              <w:bottom w:w="-1" w:type="dxa"/>
              <w:right w:w="-1" w:type="dxa"/>
            </w:tcMar>
            <w:vAlign w:val="center"/>
          </w:tcPr>
          <w:p w14:paraId="1F1B7307">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1,783</w:t>
            </w:r>
          </w:p>
        </w:tc>
      </w:tr>
      <w:tr w14:paraId="0529AD40">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2796" w:type="pct"/>
            <w:tcBorders>
              <w:top w:val="nil"/>
              <w:left w:val="nil"/>
              <w:bottom w:val="nil"/>
              <w:right w:val="nil"/>
            </w:tcBorders>
            <w:shd w:val="clear" w:color="auto" w:fill="auto"/>
            <w:noWrap w:val="0"/>
            <w:tcMar>
              <w:top w:w="-1" w:type="dxa"/>
              <w:left w:w="-1" w:type="dxa"/>
              <w:bottom w:w="-1" w:type="dxa"/>
              <w:right w:w="-1" w:type="dxa"/>
            </w:tcMar>
            <w:vAlign w:val="center"/>
          </w:tcPr>
          <w:p w14:paraId="373A9A11">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color w:val="000000" w:themeColor="text1"/>
                <w:sz w:val="21"/>
                <w:szCs w:val="21"/>
                <w14:textFill>
                  <w14:solidFill>
                    <w14:schemeClr w14:val="tx1"/>
                  </w14:solidFill>
                </w14:textFill>
              </w:rPr>
              <w:t>Trust in HPV vaccine effectiveness: very trustful vs very distrustful</w:t>
            </w:r>
          </w:p>
        </w:tc>
        <w:tc>
          <w:tcPr>
            <w:tcW w:w="2203" w:type="pct"/>
            <w:tcBorders>
              <w:top w:val="nil"/>
              <w:left w:val="nil"/>
              <w:bottom w:val="nil"/>
              <w:right w:val="nil"/>
            </w:tcBorders>
            <w:shd w:val="clear" w:color="auto" w:fill="auto"/>
            <w:noWrap w:val="0"/>
            <w:tcMar>
              <w:top w:w="-1" w:type="dxa"/>
              <w:left w:w="-1" w:type="dxa"/>
              <w:bottom w:w="-1" w:type="dxa"/>
              <w:right w:w="-1" w:type="dxa"/>
            </w:tcMar>
            <w:vAlign w:val="center"/>
          </w:tcPr>
          <w:p w14:paraId="7226FA56">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5.694 (3.077-10.538),</w:t>
            </w:r>
            <w:r>
              <w:rPr>
                <w:rFonts w:hint="default" w:ascii="Times New Roman" w:hAnsi="Times New Roman" w:eastAsia="Arial" w:cs="Times New Roman"/>
                <w:b w:val="0"/>
                <w:i/>
                <w:iCs/>
                <w:color w:val="000000" w:themeColor="text1"/>
                <w:sz w:val="21"/>
                <w:szCs w:val="21"/>
                <w14:textFill>
                  <w14:solidFill>
                    <w14:schemeClr w14:val="tx1"/>
                  </w14:solidFill>
                </w14:textFill>
              </w:rPr>
              <w:t xml:space="preserve"> p</w:t>
            </w:r>
            <w:r>
              <w:rPr>
                <w:rFonts w:hint="default" w:ascii="Times New Roman" w:hAnsi="Times New Roman" w:eastAsia="Arial" w:cs="Times New Roman"/>
                <w:b w:val="0"/>
                <w:color w:val="000000" w:themeColor="text1"/>
                <w:sz w:val="21"/>
                <w:szCs w:val="21"/>
                <w14:textFill>
                  <w14:solidFill>
                    <w14:schemeClr w14:val="tx1"/>
                  </w14:solidFill>
                </w14:textFill>
              </w:rPr>
              <w:t>&lt;0.001</w:t>
            </w:r>
          </w:p>
        </w:tc>
      </w:tr>
      <w:tr w14:paraId="2A605662">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2796" w:type="pct"/>
            <w:tcBorders>
              <w:top w:val="nil"/>
              <w:left w:val="nil"/>
              <w:bottom w:val="nil"/>
              <w:right w:val="nil"/>
            </w:tcBorders>
            <w:shd w:val="clear" w:color="auto" w:fill="auto"/>
            <w:noWrap w:val="0"/>
            <w:tcMar>
              <w:top w:w="-1" w:type="dxa"/>
              <w:left w:w="-1" w:type="dxa"/>
              <w:bottom w:w="-1" w:type="dxa"/>
              <w:right w:w="-1" w:type="dxa"/>
            </w:tcMar>
            <w:vAlign w:val="center"/>
          </w:tcPr>
          <w:p w14:paraId="2AF58917">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color w:val="000000" w:themeColor="text1"/>
                <w:sz w:val="21"/>
                <w:szCs w:val="21"/>
                <w14:textFill>
                  <w14:solidFill>
                    <w14:schemeClr w14:val="tx1"/>
                  </w14:solidFill>
                </w14:textFill>
              </w:rPr>
              <w:t>Trust in the safety of domestically produced bivalent HPV vaccines: very trustful vs very distrustful</w:t>
            </w:r>
          </w:p>
        </w:tc>
        <w:tc>
          <w:tcPr>
            <w:tcW w:w="2203" w:type="pct"/>
            <w:tcBorders>
              <w:top w:val="nil"/>
              <w:left w:val="nil"/>
              <w:bottom w:val="nil"/>
              <w:right w:val="nil"/>
            </w:tcBorders>
            <w:shd w:val="clear" w:color="auto" w:fill="auto"/>
            <w:noWrap w:val="0"/>
            <w:tcMar>
              <w:top w:w="-1" w:type="dxa"/>
              <w:left w:w="-1" w:type="dxa"/>
              <w:bottom w:w="-1" w:type="dxa"/>
              <w:right w:w="-1" w:type="dxa"/>
            </w:tcMar>
            <w:vAlign w:val="center"/>
          </w:tcPr>
          <w:p w14:paraId="317333DE">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 xml:space="preserve">3.940 (2.079-7.466), </w:t>
            </w:r>
            <w:r>
              <w:rPr>
                <w:rFonts w:hint="default" w:ascii="Times New Roman" w:hAnsi="Times New Roman" w:eastAsia="Arial" w:cs="Times New Roman"/>
                <w:b w:val="0"/>
                <w:i/>
                <w:iCs/>
                <w:color w:val="000000" w:themeColor="text1"/>
                <w:sz w:val="21"/>
                <w:szCs w:val="21"/>
                <w14:textFill>
                  <w14:solidFill>
                    <w14:schemeClr w14:val="tx1"/>
                  </w14:solidFill>
                </w14:textFill>
              </w:rPr>
              <w:t>p</w:t>
            </w:r>
            <w:r>
              <w:rPr>
                <w:rFonts w:hint="default" w:ascii="Times New Roman" w:hAnsi="Times New Roman" w:eastAsia="Arial" w:cs="Times New Roman"/>
                <w:b w:val="0"/>
                <w:color w:val="000000" w:themeColor="text1"/>
                <w:sz w:val="21"/>
                <w:szCs w:val="21"/>
                <w14:textFill>
                  <w14:solidFill>
                    <w14:schemeClr w14:val="tx1"/>
                  </w14:solidFill>
                </w14:textFill>
              </w:rPr>
              <w:t>&lt;0.001</w:t>
            </w:r>
          </w:p>
        </w:tc>
      </w:tr>
      <w:tr w14:paraId="7BF48EDD">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2796" w:type="pct"/>
            <w:tcBorders>
              <w:top w:val="nil"/>
              <w:left w:val="nil"/>
              <w:bottom w:val="nil"/>
              <w:right w:val="nil"/>
            </w:tcBorders>
            <w:shd w:val="clear" w:color="auto" w:fill="auto"/>
            <w:noWrap w:val="0"/>
            <w:tcMar>
              <w:top w:w="-1" w:type="dxa"/>
              <w:left w:w="-1" w:type="dxa"/>
              <w:bottom w:w="-1" w:type="dxa"/>
              <w:right w:w="-1" w:type="dxa"/>
            </w:tcMar>
            <w:vAlign w:val="center"/>
          </w:tcPr>
          <w:p w14:paraId="1D82ECDA">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color w:val="000000" w:themeColor="text1"/>
                <w:sz w:val="21"/>
                <w:szCs w:val="21"/>
                <w14:textFill>
                  <w14:solidFill>
                    <w14:schemeClr w14:val="tx1"/>
                  </w14:solidFill>
                </w14:textFill>
              </w:rPr>
              <w:t>Trust in the safety of imported HPV vaccines: very trustful vs very distrustful</w:t>
            </w:r>
          </w:p>
        </w:tc>
        <w:tc>
          <w:tcPr>
            <w:tcW w:w="2203" w:type="pct"/>
            <w:tcBorders>
              <w:top w:val="nil"/>
              <w:left w:val="nil"/>
              <w:bottom w:val="nil"/>
              <w:right w:val="nil"/>
            </w:tcBorders>
            <w:shd w:val="clear" w:color="auto" w:fill="auto"/>
            <w:noWrap w:val="0"/>
            <w:tcMar>
              <w:top w:w="-1" w:type="dxa"/>
              <w:left w:w="-1" w:type="dxa"/>
              <w:bottom w:w="-1" w:type="dxa"/>
              <w:right w:w="-1" w:type="dxa"/>
            </w:tcMar>
            <w:vAlign w:val="center"/>
          </w:tcPr>
          <w:p w14:paraId="5F6EAEEA">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 xml:space="preserve">6.924 (3.344-14.336), </w:t>
            </w:r>
            <w:r>
              <w:rPr>
                <w:rFonts w:hint="default" w:ascii="Times New Roman" w:hAnsi="Times New Roman" w:eastAsia="Arial" w:cs="Times New Roman"/>
                <w:b w:val="0"/>
                <w:i/>
                <w:iCs/>
                <w:color w:val="000000" w:themeColor="text1"/>
                <w:sz w:val="21"/>
                <w:szCs w:val="21"/>
                <w14:textFill>
                  <w14:solidFill>
                    <w14:schemeClr w14:val="tx1"/>
                  </w14:solidFill>
                </w14:textFill>
              </w:rPr>
              <w:t>p</w:t>
            </w:r>
            <w:r>
              <w:rPr>
                <w:rFonts w:hint="default" w:ascii="Times New Roman" w:hAnsi="Times New Roman" w:eastAsia="Arial" w:cs="Times New Roman"/>
                <w:b w:val="0"/>
                <w:color w:val="000000" w:themeColor="text1"/>
                <w:sz w:val="21"/>
                <w:szCs w:val="21"/>
                <w14:textFill>
                  <w14:solidFill>
                    <w14:schemeClr w14:val="tx1"/>
                  </w14:solidFill>
                </w14:textFill>
              </w:rPr>
              <w:t>&lt;0.001</w:t>
            </w:r>
          </w:p>
        </w:tc>
      </w:tr>
      <w:tr w14:paraId="1FE2257A">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2796" w:type="pct"/>
            <w:tcBorders>
              <w:top w:val="nil"/>
              <w:left w:val="nil"/>
              <w:bottom w:val="nil"/>
              <w:right w:val="nil"/>
            </w:tcBorders>
            <w:shd w:val="clear" w:color="auto" w:fill="auto"/>
            <w:noWrap w:val="0"/>
            <w:tcMar>
              <w:top w:w="-1" w:type="dxa"/>
              <w:left w:w="-1" w:type="dxa"/>
              <w:bottom w:w="-1" w:type="dxa"/>
              <w:right w:w="-1" w:type="dxa"/>
            </w:tcMar>
            <w:vAlign w:val="center"/>
          </w:tcPr>
          <w:p w14:paraId="105A4F78">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Model likelihood-ratio χ² (df = 32)</w:t>
            </w:r>
          </w:p>
        </w:tc>
        <w:tc>
          <w:tcPr>
            <w:tcW w:w="2203" w:type="pct"/>
            <w:tcBorders>
              <w:top w:val="nil"/>
              <w:left w:val="nil"/>
              <w:bottom w:val="nil"/>
              <w:right w:val="nil"/>
            </w:tcBorders>
            <w:shd w:val="clear" w:color="auto" w:fill="auto"/>
            <w:noWrap w:val="0"/>
            <w:tcMar>
              <w:top w:w="-1" w:type="dxa"/>
              <w:left w:w="-1" w:type="dxa"/>
              <w:bottom w:w="-1" w:type="dxa"/>
              <w:right w:w="-1" w:type="dxa"/>
            </w:tcMar>
            <w:vAlign w:val="center"/>
          </w:tcPr>
          <w:p w14:paraId="3106D558">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1302.127, p&lt;0.001</w:t>
            </w:r>
          </w:p>
        </w:tc>
      </w:tr>
      <w:tr w14:paraId="725F6125">
        <w:tblPrEx>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auto" w:fill="auto"/>
          <w:tblCellMar>
            <w:top w:w="0" w:type="dxa"/>
            <w:left w:w="108" w:type="dxa"/>
            <w:bottom w:w="0" w:type="dxa"/>
            <w:right w:w="108" w:type="dxa"/>
          </w:tblCellMar>
        </w:tblPrEx>
        <w:trPr>
          <w:trHeight w:val="0" w:hRule="atLeast"/>
          <w:jc w:val="center"/>
        </w:trPr>
        <w:tc>
          <w:tcPr>
            <w:tcW w:w="2796"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29101417">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Nagelkerke R-squared</w:t>
            </w:r>
          </w:p>
        </w:tc>
        <w:tc>
          <w:tcPr>
            <w:tcW w:w="2203" w:type="pct"/>
            <w:tcBorders>
              <w:top w:val="nil"/>
              <w:left w:val="nil"/>
              <w:bottom w:val="single" w:color="auto" w:sz="12" w:space="0"/>
              <w:right w:val="nil"/>
            </w:tcBorders>
            <w:shd w:val="clear" w:color="auto" w:fill="auto"/>
            <w:noWrap w:val="0"/>
            <w:tcMar>
              <w:top w:w="-1" w:type="dxa"/>
              <w:left w:w="-1" w:type="dxa"/>
              <w:bottom w:w="-1" w:type="dxa"/>
              <w:right w:w="-1" w:type="dxa"/>
            </w:tcMar>
            <w:vAlign w:val="center"/>
          </w:tcPr>
          <w:p w14:paraId="0EB059E3">
            <w:pPr>
              <w:snapToGrid w:val="0"/>
              <w:spacing w:after="0" w:line="360" w:lineRule="auto"/>
              <w:ind w:left="0" w:leftChars="0" w:right="0" w:rightChars="0" w:firstLine="0" w:firstLineChars="0"/>
              <w:jc w:val="center"/>
              <w:rPr>
                <w:rFonts w:hint="default" w:ascii="Times New Roman" w:hAnsi="Times New Roman" w:eastAsia="Arial" w:cs="Times New Roman"/>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0.693</w:t>
            </w:r>
          </w:p>
        </w:tc>
      </w:tr>
    </w:tbl>
    <w:p w14:paraId="4BE73B01">
      <w:pPr>
        <w:spacing w:after="100" w:line="259" w:lineRule="auto"/>
        <w:jc w:val="both"/>
        <w:rPr>
          <w:rFonts w:hint="default" w:ascii="Times New Roman" w:hAnsi="Times New Roman" w:eastAsia="宋体" w:cs="Times New Roman"/>
          <w:i/>
          <w:kern w:val="0"/>
          <w:sz w:val="21"/>
          <w:szCs w:val="21"/>
          <w:lang w:val="en-US" w:eastAsia="zh-CN" w:bidi="ar"/>
        </w:rPr>
      </w:pPr>
      <w:r>
        <w:rPr>
          <w:rFonts w:hint="eastAsia" w:ascii="Times New Roman" w:hAnsi="Times New Roman" w:eastAsia="宋体" w:cs="Times New Roman"/>
          <w:i/>
          <w:kern w:val="0"/>
          <w:sz w:val="21"/>
          <w:szCs w:val="21"/>
          <w:lang w:val="en-US" w:eastAsia="zh-CN" w:bidi="ar"/>
        </w:rPr>
        <w:t>Note:</w:t>
      </w:r>
      <w:r>
        <w:rPr>
          <w:rFonts w:hint="default" w:ascii="Times New Roman" w:hAnsi="Times New Roman" w:eastAsia="宋体" w:cs="Times New Roman"/>
          <w:i/>
          <w:kern w:val="0"/>
          <w:sz w:val="21"/>
          <w:szCs w:val="21"/>
          <w:lang w:val="en-US" w:eastAsia="zh-CN" w:bidi="ar"/>
        </w:rPr>
        <w:t>The analysis compared participants reporting somewhat willing or very willing with those reporting somewhat unwilling or very unwilling, after excluding 432 participants reporting uncertain willingness. The model included the same covariates and categorical specifications as Model 3.</w:t>
      </w:r>
    </w:p>
    <w:p w14:paraId="1769DDB4">
      <w:pPr>
        <w:rPr>
          <w:rFonts w:hint="default"/>
        </w:rPr>
      </w:pPr>
    </w:p>
    <w:p w14:paraId="1A3699BE">
      <w:pPr>
        <w:pStyle w:val="3"/>
        <w:rPr>
          <w:rFonts w:hint="default" w:ascii="Times New Roman" w:hAnsi="Times New Roman" w:cs="Times New Roman"/>
          <w:color w:val="000000" w:themeColor="text1"/>
          <w14:textFill>
            <w14:solidFill>
              <w14:schemeClr w14:val="tx1"/>
            </w14:solidFill>
          </w14:textFill>
        </w:rPr>
      </w:pPr>
    </w:p>
    <w:p w14:paraId="4C4D1D8D">
      <w:pPr>
        <w:pStyle w:val="3"/>
        <w:rPr>
          <w:rFonts w:hint="default" w:ascii="Times New Roman" w:hAnsi="Times New Roman" w:eastAsia="Arial" w:cs="Times New Roman"/>
          <w:b/>
          <w:bCs w:val="0"/>
          <w:color w:val="000000" w:themeColor="text1"/>
          <w:sz w:val="24"/>
          <w:szCs w:val="24"/>
          <w:lang w:val="en-US" w:eastAsia="zh-CN" w:bidi="ar-SA"/>
          <w14:textFill>
            <w14:solidFill>
              <w14:schemeClr w14:val="tx1"/>
            </w14:solidFill>
          </w14:textFill>
        </w:rPr>
      </w:pPr>
      <w:r>
        <w:rPr>
          <w:rFonts w:hint="default" w:ascii="Times New Roman" w:hAnsi="Times New Roman" w:eastAsia="Arial" w:cs="Times New Roman"/>
          <w:b/>
          <w:bCs w:val="0"/>
          <w:color w:val="000000" w:themeColor="text1"/>
          <w:sz w:val="24"/>
          <w:szCs w:val="24"/>
          <w:lang w:val="en-US" w:eastAsia="zh-CN" w:bidi="ar-SA"/>
          <w14:textFill>
            <w14:solidFill>
              <w14:schemeClr w14:val="tx1"/>
            </w14:solidFill>
          </w14:textFill>
        </w:rPr>
        <w:t>Supplementary Table S6. Three-category multinomial logistic regression: selected very trustful versus very distrustful contrasts</w:t>
      </w:r>
    </w:p>
    <w:tbl>
      <w:tblPr>
        <w:tblStyle w:val="3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4694"/>
        <w:gridCol w:w="2869"/>
        <w:gridCol w:w="2729"/>
      </w:tblGrid>
      <w:tr w14:paraId="2BB3F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single" w:color="000000" w:sz="12" w:space="0"/>
              <w:left w:val="nil"/>
              <w:bottom w:val="single" w:color="000000" w:sz="6" w:space="0"/>
              <w:right w:val="nil"/>
            </w:tcBorders>
            <w:shd w:val="clear" w:color="auto" w:fill="auto"/>
            <w:tcMar>
              <w:top w:w="80" w:type="dxa"/>
              <w:left w:w="160" w:type="dxa"/>
              <w:bottom w:w="80" w:type="dxa"/>
              <w:right w:w="160" w:type="dxa"/>
            </w:tcMar>
            <w:vAlign w:val="center"/>
          </w:tcPr>
          <w:p w14:paraId="57EA22A4">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Trust measure</w:t>
            </w:r>
          </w:p>
        </w:tc>
        <w:tc>
          <w:tcPr>
            <w:tcW w:w="0" w:type="auto"/>
            <w:tcBorders>
              <w:top w:val="single" w:color="000000" w:sz="12" w:space="0"/>
              <w:left w:val="nil"/>
              <w:bottom w:val="single" w:color="000000" w:sz="6" w:space="0"/>
              <w:right w:val="nil"/>
            </w:tcBorders>
            <w:shd w:val="clear" w:color="auto" w:fill="auto"/>
            <w:tcMar>
              <w:top w:w="80" w:type="dxa"/>
              <w:left w:w="160" w:type="dxa"/>
              <w:bottom w:w="80" w:type="dxa"/>
              <w:right w:w="160" w:type="dxa"/>
            </w:tcMar>
            <w:vAlign w:val="center"/>
          </w:tcPr>
          <w:p w14:paraId="0723C573">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Uncertain vs unwilling RRR (95% CI)</w:t>
            </w:r>
          </w:p>
        </w:tc>
        <w:tc>
          <w:tcPr>
            <w:tcW w:w="0" w:type="auto"/>
            <w:tcBorders>
              <w:top w:val="single" w:color="000000" w:sz="12" w:space="0"/>
              <w:left w:val="nil"/>
              <w:bottom w:val="single" w:color="000000" w:sz="6" w:space="0"/>
              <w:right w:val="nil"/>
            </w:tcBorders>
            <w:shd w:val="clear" w:color="auto" w:fill="auto"/>
            <w:tcMar>
              <w:top w:w="80" w:type="dxa"/>
              <w:left w:w="160" w:type="dxa"/>
              <w:bottom w:w="80" w:type="dxa"/>
              <w:right w:w="160" w:type="dxa"/>
            </w:tcMar>
            <w:vAlign w:val="center"/>
          </w:tcPr>
          <w:p w14:paraId="70DDEDBD">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Willing vs unwilling RRR (95% CI)</w:t>
            </w:r>
          </w:p>
        </w:tc>
      </w:tr>
      <w:tr w14:paraId="58750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nil"/>
              <w:left w:val="nil"/>
              <w:bottom w:val="nil"/>
              <w:right w:val="nil"/>
            </w:tcBorders>
            <w:shd w:val="clear" w:color="auto" w:fill="auto"/>
            <w:tcMar>
              <w:top w:w="80" w:type="dxa"/>
              <w:left w:w="160" w:type="dxa"/>
              <w:bottom w:w="80" w:type="dxa"/>
              <w:right w:w="160" w:type="dxa"/>
            </w:tcMar>
            <w:vAlign w:val="center"/>
          </w:tcPr>
          <w:p w14:paraId="2576F4D5">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HPV vaccine effectiveness</w:t>
            </w:r>
          </w:p>
        </w:tc>
        <w:tc>
          <w:tcPr>
            <w:tcW w:w="0" w:type="auto"/>
            <w:tcBorders>
              <w:top w:val="nil"/>
              <w:left w:val="nil"/>
              <w:bottom w:val="nil"/>
              <w:right w:val="nil"/>
            </w:tcBorders>
            <w:shd w:val="clear" w:color="auto" w:fill="auto"/>
            <w:tcMar>
              <w:top w:w="80" w:type="dxa"/>
              <w:left w:w="160" w:type="dxa"/>
              <w:bottom w:w="80" w:type="dxa"/>
              <w:right w:w="160" w:type="dxa"/>
            </w:tcMar>
            <w:vAlign w:val="center"/>
          </w:tcPr>
          <w:p w14:paraId="449458A7">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1.211 (0.676-2.170)</w:t>
            </w:r>
          </w:p>
        </w:tc>
        <w:tc>
          <w:tcPr>
            <w:tcW w:w="0" w:type="auto"/>
            <w:tcBorders>
              <w:top w:val="nil"/>
              <w:left w:val="nil"/>
              <w:bottom w:val="nil"/>
              <w:right w:val="nil"/>
            </w:tcBorders>
            <w:shd w:val="clear" w:color="auto" w:fill="auto"/>
            <w:tcMar>
              <w:top w:w="80" w:type="dxa"/>
              <w:left w:w="160" w:type="dxa"/>
              <w:bottom w:w="80" w:type="dxa"/>
              <w:right w:w="160" w:type="dxa"/>
            </w:tcMar>
            <w:vAlign w:val="center"/>
          </w:tcPr>
          <w:p w14:paraId="7B8355B9">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5.637 (3.122-10.177)</w:t>
            </w:r>
          </w:p>
        </w:tc>
      </w:tr>
      <w:tr w14:paraId="3AE63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nil"/>
              <w:left w:val="nil"/>
              <w:bottom w:val="nil"/>
              <w:right w:val="nil"/>
            </w:tcBorders>
            <w:shd w:val="clear" w:color="auto" w:fill="auto"/>
            <w:tcMar>
              <w:top w:w="80" w:type="dxa"/>
              <w:left w:w="160" w:type="dxa"/>
              <w:bottom w:w="80" w:type="dxa"/>
              <w:right w:w="160" w:type="dxa"/>
            </w:tcMar>
            <w:vAlign w:val="center"/>
          </w:tcPr>
          <w:p w14:paraId="0CC70C40">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the safety of domestically produced bivalent HPV vaccines</w:t>
            </w:r>
          </w:p>
        </w:tc>
        <w:tc>
          <w:tcPr>
            <w:tcW w:w="0" w:type="auto"/>
            <w:tcBorders>
              <w:top w:val="nil"/>
              <w:left w:val="nil"/>
              <w:bottom w:val="nil"/>
              <w:right w:val="nil"/>
            </w:tcBorders>
            <w:shd w:val="clear" w:color="auto" w:fill="auto"/>
            <w:tcMar>
              <w:top w:w="80" w:type="dxa"/>
              <w:left w:w="160" w:type="dxa"/>
              <w:bottom w:w="80" w:type="dxa"/>
              <w:right w:w="160" w:type="dxa"/>
            </w:tcMar>
            <w:vAlign w:val="center"/>
          </w:tcPr>
          <w:p w14:paraId="7DDF07D4">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2.302 (1.291-4.103)</w:t>
            </w:r>
          </w:p>
        </w:tc>
        <w:tc>
          <w:tcPr>
            <w:tcW w:w="0" w:type="auto"/>
            <w:tcBorders>
              <w:top w:val="nil"/>
              <w:left w:val="nil"/>
              <w:bottom w:val="nil"/>
              <w:right w:val="nil"/>
            </w:tcBorders>
            <w:shd w:val="clear" w:color="auto" w:fill="auto"/>
            <w:tcMar>
              <w:top w:w="80" w:type="dxa"/>
              <w:left w:w="160" w:type="dxa"/>
              <w:bottom w:w="80" w:type="dxa"/>
              <w:right w:w="160" w:type="dxa"/>
            </w:tcMar>
            <w:vAlign w:val="center"/>
          </w:tcPr>
          <w:p w14:paraId="1F57A799">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4.485 (2.432-8.268)</w:t>
            </w:r>
          </w:p>
        </w:tc>
      </w:tr>
      <w:tr w14:paraId="4D96B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tcBorders>
              <w:top w:val="nil"/>
              <w:left w:val="nil"/>
              <w:bottom w:val="single" w:color="000000" w:sz="12" w:space="0"/>
              <w:right w:val="nil"/>
            </w:tcBorders>
            <w:shd w:val="clear" w:color="auto" w:fill="auto"/>
            <w:tcMar>
              <w:top w:w="80" w:type="dxa"/>
              <w:left w:w="160" w:type="dxa"/>
              <w:bottom w:w="80" w:type="dxa"/>
              <w:right w:w="160" w:type="dxa"/>
            </w:tcMar>
            <w:vAlign w:val="center"/>
          </w:tcPr>
          <w:p w14:paraId="357F2E62">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14:textFill>
                  <w14:solidFill>
                    <w14:schemeClr w14:val="tx1"/>
                  </w14:solidFill>
                </w14:textFill>
              </w:rPr>
              <w:t>Trust in the safety of imported HPV vaccines</w:t>
            </w:r>
          </w:p>
        </w:tc>
        <w:tc>
          <w:tcPr>
            <w:tcW w:w="0" w:type="auto"/>
            <w:tcBorders>
              <w:top w:val="nil"/>
              <w:left w:val="nil"/>
              <w:bottom w:val="single" w:color="000000" w:sz="12" w:space="0"/>
              <w:right w:val="nil"/>
            </w:tcBorders>
            <w:shd w:val="clear" w:color="auto" w:fill="auto"/>
            <w:tcMar>
              <w:top w:w="80" w:type="dxa"/>
              <w:left w:w="160" w:type="dxa"/>
              <w:bottom w:w="80" w:type="dxa"/>
              <w:right w:w="160" w:type="dxa"/>
            </w:tcMar>
            <w:vAlign w:val="center"/>
          </w:tcPr>
          <w:p w14:paraId="781190F0">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2.638 (1.364-5.102)</w:t>
            </w:r>
          </w:p>
        </w:tc>
        <w:tc>
          <w:tcPr>
            <w:tcW w:w="0" w:type="auto"/>
            <w:tcBorders>
              <w:top w:val="nil"/>
              <w:left w:val="nil"/>
              <w:bottom w:val="single" w:color="000000" w:sz="12" w:space="0"/>
              <w:right w:val="nil"/>
            </w:tcBorders>
            <w:shd w:val="clear" w:color="auto" w:fill="auto"/>
            <w:tcMar>
              <w:top w:w="80" w:type="dxa"/>
              <w:left w:w="160" w:type="dxa"/>
              <w:bottom w:w="80" w:type="dxa"/>
              <w:right w:w="160" w:type="dxa"/>
            </w:tcMar>
            <w:vAlign w:val="center"/>
          </w:tcPr>
          <w:p w14:paraId="03892047">
            <w:pPr>
              <w:snapToGrid w:val="0"/>
              <w:spacing w:after="0" w:line="240" w:lineRule="auto"/>
              <w:ind w:left="0" w:leftChars="0" w:right="0" w:rightChars="0" w:firstLine="0" w:firstLineChars="0"/>
              <w:jc w:val="center"/>
              <w:rPr>
                <w:rFonts w:hint="default" w:ascii="Times New Roman" w:hAnsi="Times New Roman" w:eastAsia="Arial" w:cs="Times New Roman"/>
                <w:b w:val="0"/>
                <w:color w:val="000000" w:themeColor="text1"/>
                <w:sz w:val="21"/>
                <w:szCs w:val="21"/>
                <w14:textFill>
                  <w14:solidFill>
                    <w14:schemeClr w14:val="tx1"/>
                  </w14:solidFill>
                </w14:textFill>
              </w:rPr>
            </w:pPr>
            <w:r>
              <w:rPr>
                <w:rFonts w:hint="default" w:ascii="Times New Roman" w:hAnsi="Times New Roman" w:eastAsia="Arial" w:cs="Times New Roman"/>
                <w:b w:val="0"/>
                <w:color w:val="000000" w:themeColor="text1"/>
                <w:sz w:val="21"/>
                <w:szCs w:val="21"/>
                <w:lang w:val="en-US" w:eastAsia="zh-CN"/>
                <w14:textFill>
                  <w14:solidFill>
                    <w14:schemeClr w14:val="tx1"/>
                  </w14:solidFill>
                </w14:textFill>
              </w:rPr>
              <w:t>7.148 (3.559-14.359)</w:t>
            </w:r>
          </w:p>
        </w:tc>
      </w:tr>
    </w:tbl>
    <w:p w14:paraId="6B8797C2">
      <w:pPr>
        <w:spacing w:after="100" w:line="259" w:lineRule="auto"/>
        <w:jc w:val="both"/>
        <w:rPr>
          <w:rFonts w:hint="default" w:ascii="Times New Roman" w:hAnsi="Times New Roman" w:eastAsia="宋体" w:cs="Times New Roman"/>
          <w:i/>
          <w:kern w:val="0"/>
          <w:sz w:val="21"/>
          <w:szCs w:val="21"/>
          <w:lang w:val="en-US" w:eastAsia="en-US" w:bidi="ar"/>
        </w:rPr>
      </w:pPr>
      <w:r>
        <w:rPr>
          <w:rFonts w:hint="eastAsia" w:ascii="Times New Roman" w:hAnsi="Times New Roman" w:eastAsia="宋体" w:cs="Times New Roman"/>
          <w:i/>
          <w:kern w:val="0"/>
          <w:sz w:val="21"/>
          <w:szCs w:val="21"/>
          <w:lang w:val="en-US" w:eastAsia="zh-CN" w:bidi="ar"/>
        </w:rPr>
        <w:t>Note:</w:t>
      </w:r>
      <w:r>
        <w:rPr>
          <w:rFonts w:hint="default" w:ascii="Times New Roman" w:hAnsi="Times New Roman" w:eastAsia="宋体" w:cs="Times New Roman"/>
          <w:i/>
          <w:kern w:val="0"/>
          <w:sz w:val="21"/>
          <w:szCs w:val="21"/>
          <w:lang w:val="en-US" w:eastAsia="en-US" w:bidi="ar"/>
        </w:rPr>
        <w:t>The multinomial model used unwillingness as the reference category and included the same covariates and categorical specifications as Model 3. RRR, relative risk ratio.</w:t>
      </w:r>
    </w:p>
    <w:p w14:paraId="6E31A9B8">
      <w:pPr>
        <w:spacing w:line="480" w:lineRule="auto"/>
        <w:rPr>
          <w:rFonts w:hint="default" w:ascii="Times New Roman" w:hAnsi="Times New Roman" w:cs="Times New Roman"/>
          <w:color w:val="000000" w:themeColor="text1"/>
          <w:sz w:val="24"/>
          <w:szCs w:val="24"/>
          <w14:textFill>
            <w14:solidFill>
              <w14:schemeClr w14:val="tx1"/>
            </w14:solidFill>
          </w14:textFill>
        </w:rPr>
      </w:pPr>
    </w:p>
    <w:p w14:paraId="27E7F5B5">
      <w:pPr>
        <w:spacing w:line="48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5120640" cy="3982720"/>
            <wp:effectExtent l="0" t="0" r="3810" b="825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6"/>
                    <a:stretch>
                      <a:fillRect/>
                    </a:stretch>
                  </pic:blipFill>
                  <pic:spPr>
                    <a:xfrm>
                      <a:off x="0" y="0"/>
                      <a:ext cx="5120640" cy="3983267"/>
                    </a:xfrm>
                    <a:prstGeom prst="rect">
                      <a:avLst/>
                    </a:prstGeom>
                  </pic:spPr>
                </pic:pic>
              </a:graphicData>
            </a:graphic>
          </wp:inline>
        </w:drawing>
      </w:r>
    </w:p>
    <w:p w14:paraId="2D911ED8">
      <w:pPr>
        <w:spacing w:after="4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Supplementary Figure S1. Spearman correlation matrix of trust and perception-related variables among unvaccinated participants (</w:t>
      </w:r>
      <w:r>
        <w:rPr>
          <w:rFonts w:hint="default" w:ascii="Times New Roman" w:hAnsi="Times New Roman" w:cs="Times New Roman"/>
          <w:b/>
          <w:i/>
          <w:iCs/>
          <w:color w:val="000000" w:themeColor="text1"/>
          <w:sz w:val="21"/>
          <w:szCs w:val="21"/>
          <w14:textFill>
            <w14:solidFill>
              <w14:schemeClr w14:val="tx1"/>
            </w14:solidFill>
          </w14:textFill>
        </w:rPr>
        <w:t>N</w:t>
      </w:r>
      <w:r>
        <w:rPr>
          <w:rFonts w:hint="default" w:ascii="Times New Roman" w:hAnsi="Times New Roman" w:cs="Times New Roman"/>
          <w:b/>
          <w:color w:val="000000" w:themeColor="text1"/>
          <w:sz w:val="21"/>
          <w:szCs w:val="21"/>
          <w14:textFill>
            <w14:solidFill>
              <w14:schemeClr w14:val="tx1"/>
            </w14:solidFill>
          </w14:textFill>
        </w:rPr>
        <w:t>=2,215).</w:t>
      </w: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b w:val="0"/>
          <w:color w:val="000000" w:themeColor="text1"/>
          <w:sz w:val="21"/>
          <w:szCs w:val="21"/>
          <w14:textFill>
            <w14:solidFill>
              <w14:schemeClr w14:val="tx1"/>
            </w14:solidFill>
          </w14:textFill>
        </w:rPr>
        <w:t xml:space="preserve">All displayed off-diagonal correlations were </w:t>
      </w:r>
      <w:r>
        <w:rPr>
          <w:rFonts w:hint="default" w:ascii="Times New Roman" w:hAnsi="Times New Roman" w:cs="Times New Roman"/>
          <w:b w:val="0"/>
          <w:i/>
          <w:iCs/>
          <w:color w:val="000000" w:themeColor="text1"/>
          <w:sz w:val="21"/>
          <w:szCs w:val="21"/>
          <w14:textFill>
            <w14:solidFill>
              <w14:schemeClr w14:val="tx1"/>
            </w14:solidFill>
          </w14:textFill>
        </w:rPr>
        <w:t>p</w:t>
      </w:r>
      <w:r>
        <w:rPr>
          <w:rFonts w:hint="default" w:ascii="Times New Roman" w:hAnsi="Times New Roman" w:cs="Times New Roman"/>
          <w:b w:val="0"/>
          <w:color w:val="000000" w:themeColor="text1"/>
          <w:sz w:val="21"/>
          <w:szCs w:val="21"/>
          <w14:textFill>
            <w14:solidFill>
              <w14:schemeClr w14:val="tx1"/>
            </w14:solidFill>
          </w14:textFill>
        </w:rPr>
        <w:t>&lt;0.01.</w:t>
      </w:r>
    </w:p>
    <w:p w14:paraId="3409472A">
      <w:pPr>
        <w:spacing w:line="480" w:lineRule="auto"/>
        <w:rPr>
          <w:rFonts w:hint="default" w:ascii="Times New Roman" w:hAnsi="Times New Roman" w:cs="Times New Roman"/>
          <w:color w:val="000000" w:themeColor="text1"/>
          <w14:textFill>
            <w14:solidFill>
              <w14:schemeClr w14:val="tx1"/>
            </w14:solidFill>
          </w14:textFill>
        </w:rPr>
      </w:pPr>
    </w:p>
    <w:p w14:paraId="7A288C9D">
      <w:pPr>
        <w:spacing w:line="480" w:lineRule="auto"/>
        <w:rPr>
          <w:rFonts w:hint="default" w:ascii="Times New Roman" w:hAnsi="Times New Roman" w:cs="Times New Roman"/>
          <w:color w:val="000000" w:themeColor="text1"/>
          <w14:textFill>
            <w14:solidFill>
              <w14:schemeClr w14:val="tx1"/>
            </w14:solidFill>
          </w14:textFill>
        </w:rPr>
      </w:pPr>
    </w:p>
    <w:p w14:paraId="6FD909F1">
      <w:pPr>
        <w:spacing w:line="480" w:lineRule="auto"/>
        <w:rPr>
          <w:rFonts w:hint="default" w:ascii="Times New Roman" w:hAnsi="Times New Roman" w:cs="Times New Roman"/>
          <w:color w:val="000000" w:themeColor="text1"/>
          <w14:textFill>
            <w14:solidFill>
              <w14:schemeClr w14:val="tx1"/>
            </w14:solidFill>
          </w14:textFill>
        </w:rPr>
      </w:pPr>
    </w:p>
    <w:p w14:paraId="6B9F1C69">
      <w:pPr>
        <w:spacing w:line="480" w:lineRule="auto"/>
        <w:rPr>
          <w:rFonts w:hint="default" w:ascii="Times New Roman" w:hAnsi="Times New Roman" w:cs="Times New Roman"/>
          <w:color w:val="000000" w:themeColor="text1"/>
          <w14:textFill>
            <w14:solidFill>
              <w14:schemeClr w14:val="tx1"/>
            </w14:solidFill>
          </w14:textFill>
        </w:rPr>
      </w:pPr>
    </w:p>
    <w:p w14:paraId="072EB350">
      <w:pPr>
        <w:spacing w:line="480" w:lineRule="auto"/>
        <w:rPr>
          <w:rFonts w:hint="default" w:ascii="Times New Roman" w:hAnsi="Times New Roman" w:cs="Times New Roman"/>
          <w:color w:val="000000" w:themeColor="text1"/>
          <w14:textFill>
            <w14:solidFill>
              <w14:schemeClr w14:val="tx1"/>
            </w14:solidFill>
          </w14:textFill>
        </w:rPr>
      </w:pPr>
    </w:p>
    <w:p w14:paraId="2CF704E2">
      <w:pPr>
        <w:spacing w:line="480" w:lineRule="auto"/>
        <w:rPr>
          <w:rFonts w:hint="default" w:ascii="Times New Roman" w:hAnsi="Times New Roman" w:cs="Times New Roman"/>
          <w:color w:val="000000" w:themeColor="text1"/>
          <w14:textFill>
            <w14:solidFill>
              <w14:schemeClr w14:val="tx1"/>
            </w14:solidFill>
          </w14:textFill>
        </w:rPr>
      </w:pPr>
    </w:p>
    <w:p w14:paraId="455DE52A">
      <w:pPr>
        <w:spacing w:line="480" w:lineRule="auto"/>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5303520" cy="2938145"/>
            <wp:effectExtent l="0" t="0" r="1905" b="508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pic:cNvPicPr>
                  </pic:nvPicPr>
                  <pic:blipFill>
                    <a:blip r:embed="rId7"/>
                    <a:stretch>
                      <a:fillRect/>
                    </a:stretch>
                  </pic:blipFill>
                  <pic:spPr>
                    <a:xfrm>
                      <a:off x="0" y="0"/>
                      <a:ext cx="5303520" cy="2938436"/>
                    </a:xfrm>
                    <a:prstGeom prst="rect">
                      <a:avLst/>
                    </a:prstGeom>
                  </pic:spPr>
                </pic:pic>
              </a:graphicData>
            </a:graphic>
          </wp:inline>
        </w:drawing>
      </w:r>
    </w:p>
    <w:p w14:paraId="35294B2D">
      <w:pPr>
        <w:spacing w:after="4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
          <w:color w:val="000000" w:themeColor="text1"/>
          <w:sz w:val="21"/>
          <w:szCs w:val="21"/>
          <w14:textFill>
            <w14:solidFill>
              <w14:schemeClr w14:val="tx1"/>
            </w14:solidFill>
          </w14:textFill>
        </w:rPr>
        <w:t>Supplementary Figure S2. High HPV vaccination willingness by acceptable HPV vaccine price category among unvaccinated participants.</w:t>
      </w:r>
    </w:p>
    <w:p w14:paraId="3780F185">
      <w:pPr>
        <w:spacing w:line="480" w:lineRule="auto"/>
        <w:rPr>
          <w:rFonts w:hint="default" w:ascii="Times New Roman" w:hAnsi="Times New Roman" w:cs="Times New Roman"/>
          <w:color w:val="000000" w:themeColor="text1"/>
          <w14:textFill>
            <w14:solidFill>
              <w14:schemeClr w14:val="tx1"/>
            </w14:solidFill>
          </w14:textFill>
        </w:rPr>
      </w:pPr>
    </w:p>
    <w:p w14:paraId="6777221D">
      <w:pPr>
        <w:spacing w:after="100" w:line="259" w:lineRule="auto"/>
        <w:jc w:val="both"/>
        <w:rPr>
          <w:rFonts w:hint="default" w:ascii="Times New Roman" w:hAnsi="Times New Roman" w:cs="Times New Roman"/>
          <w:color w:val="000000" w:themeColor="text1"/>
          <w:sz w:val="24"/>
          <w:szCs w:val="24"/>
          <w14:textFill>
            <w14:solidFill>
              <w14:schemeClr w14:val="tx1"/>
            </w14:solidFill>
          </w14:textFill>
        </w:rPr>
      </w:pPr>
    </w:p>
    <w:sectPr>
      <w:pgSz w:w="12240" w:h="15840"/>
      <w:pgMar w:top="1134" w:right="1134" w:bottom="1134"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ACE5E05-70FE-4DD8-8D4A-7D7B6F30B7F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embedRegular r:id="rId2" w:fontKey="{A9505065-1D00-4FED-A8B8-2B7216FA6149}"/>
  </w:font>
  <w:font w:name="ＭＳ 明朝">
    <w:altName w:val="Noto Serif HK"/>
    <w:panose1 w:val="00000000000000000000"/>
    <w:charset w:val="80"/>
    <w:family w:val="roman"/>
    <w:pitch w:val="default"/>
    <w:sig w:usb0="00000000" w:usb1="00000000" w:usb2="00000010" w:usb3="00000000" w:csb0="00020000" w:csb1="00000000"/>
  </w:font>
  <w:font w:name="Noto Serif HK">
    <w:panose1 w:val="02020200000000000000"/>
    <w:charset w:val="88"/>
    <w:family w:val="auto"/>
    <w:pitch w:val="default"/>
    <w:sig w:usb0="20000083" w:usb1="2ADF3C10" w:usb2="00000016" w:usb3="00000000" w:csb0="60120107"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embedRegular r:id="rId3" w:fontKey="{FF9ADA96-5EE0-4DF1-87E2-A0E9E8E41A0A}"/>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D0F4ED6"/>
    <w:rsid w:val="2A024361"/>
    <w:rsid w:val="2AF459E0"/>
    <w:rsid w:val="2CCF11F4"/>
    <w:rsid w:val="2FEF1B4F"/>
    <w:rsid w:val="33567F81"/>
    <w:rsid w:val="3A900B55"/>
    <w:rsid w:val="3BB70A8F"/>
    <w:rsid w:val="4162324B"/>
    <w:rsid w:val="41A27AEC"/>
    <w:rsid w:val="493A685C"/>
    <w:rsid w:val="51F657BE"/>
    <w:rsid w:val="57E24ECA"/>
    <w:rsid w:val="649D6D4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Arial" w:hAnsi="Arial" w:eastAsia="Arial" w:cstheme="minorBidi"/>
      <w:sz w:val="20"/>
      <w:szCs w:val="22"/>
      <w:lang w:val="en-US" w:eastAsia="en-US" w:bidi="ar-SA"/>
    </w:rPr>
  </w:style>
  <w:style w:type="paragraph" w:styleId="3">
    <w:name w:val="heading 1"/>
    <w:basedOn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3">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1">
    <w:name w:val="List Continue 3"/>
    <w:basedOn w:val="1"/>
    <w:unhideWhenUsed/>
    <w:qFormat/>
    <w:uiPriority w:val="99"/>
    <w:pPr>
      <w:spacing w:after="120"/>
      <w:ind w:left="1080"/>
      <w:contextualSpacing/>
    </w:pPr>
  </w:style>
  <w:style w:type="paragraph" w:styleId="32">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4">
    <w:name w:val="Table Grid"/>
    <w:basedOn w:val="3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5">
    <w:name w:val="Light Shading"/>
    <w:basedOn w:val="33"/>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6">
    <w:name w:val="Light Shading Accent 1"/>
    <w:basedOn w:val="33"/>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7">
    <w:name w:val="Light Shading Accent 2"/>
    <w:basedOn w:val="33"/>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8">
    <w:name w:val="Light Shading Accent 3"/>
    <w:basedOn w:val="33"/>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9">
    <w:name w:val="Light Shading Accent 4"/>
    <w:basedOn w:val="33"/>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Shading Accent 5"/>
    <w:basedOn w:val="33"/>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1">
    <w:name w:val="Light Shading Accent 6"/>
    <w:basedOn w:val="33"/>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2">
    <w:name w:val="Light List"/>
    <w:basedOn w:val="33"/>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3">
    <w:name w:val="Light List Accent 1"/>
    <w:basedOn w:val="33"/>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4">
    <w:name w:val="Light List Accent 2"/>
    <w:basedOn w:val="33"/>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5">
    <w:name w:val="Light List Accent 3"/>
    <w:basedOn w:val="33"/>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6">
    <w:name w:val="Light List Accent 4"/>
    <w:basedOn w:val="33"/>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7">
    <w:name w:val="Light List Accent 5"/>
    <w:basedOn w:val="33"/>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8">
    <w:name w:val="Light List Accent 6"/>
    <w:basedOn w:val="33"/>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9">
    <w:name w:val="Light Grid"/>
    <w:basedOn w:val="33"/>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0">
    <w:name w:val="Light Grid Accent 1"/>
    <w:basedOn w:val="33"/>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1">
    <w:name w:val="Light Grid Accent 2"/>
    <w:basedOn w:val="33"/>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2">
    <w:name w:val="Light Grid Accent 3"/>
    <w:basedOn w:val="33"/>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3">
    <w:name w:val="Light Grid Accent 4"/>
    <w:basedOn w:val="33"/>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4">
    <w:name w:val="Light Grid Accent 5"/>
    <w:basedOn w:val="33"/>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5">
    <w:name w:val="Light Grid Accent 6"/>
    <w:basedOn w:val="33"/>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6">
    <w:name w:val="Medium Shading 1"/>
    <w:basedOn w:val="33"/>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7">
    <w:name w:val="Medium Shading 1 Accent 1"/>
    <w:basedOn w:val="33"/>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8">
    <w:name w:val="Medium Shading 1 Accent 2"/>
    <w:basedOn w:val="33"/>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9">
    <w:name w:val="Medium Shading 1 Accent 3"/>
    <w:basedOn w:val="33"/>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0">
    <w:name w:val="Medium Shading 1 Accent 4"/>
    <w:basedOn w:val="33"/>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1">
    <w:name w:val="Medium Shading 1 Accent 5"/>
    <w:basedOn w:val="33"/>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2">
    <w:name w:val="Medium Shading 1 Accent 6"/>
    <w:basedOn w:val="33"/>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3">
    <w:name w:val="Medium Shading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1"/>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2"/>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3"/>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4"/>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5"/>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6"/>
    <w:basedOn w:val="33"/>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List 1"/>
    <w:basedOn w:val="33"/>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1">
    <w:name w:val="Medium List 1 Accent 1"/>
    <w:basedOn w:val="33"/>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2">
    <w:name w:val="Medium List 1 Accent 2"/>
    <w:basedOn w:val="33"/>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3">
    <w:name w:val="Medium List 1 Accent 3"/>
    <w:basedOn w:val="33"/>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4">
    <w:name w:val="Medium List 1 Accent 4"/>
    <w:basedOn w:val="33"/>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5">
    <w:name w:val="Medium List 1 Accent 5"/>
    <w:basedOn w:val="33"/>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6">
    <w:name w:val="Medium List 1 Accent 6"/>
    <w:basedOn w:val="33"/>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7">
    <w:name w:val="Medium Lis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1"/>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2"/>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3"/>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4"/>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5"/>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6"/>
    <w:basedOn w:val="33"/>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Grid 1"/>
    <w:basedOn w:val="33"/>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5">
    <w:name w:val="Medium Grid 1 Accent 1"/>
    <w:basedOn w:val="33"/>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6">
    <w:name w:val="Medium Grid 1 Accent 2"/>
    <w:basedOn w:val="33"/>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7">
    <w:name w:val="Medium Grid 1 Accent 3"/>
    <w:basedOn w:val="33"/>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8">
    <w:name w:val="Medium Grid 1 Accent 4"/>
    <w:basedOn w:val="33"/>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9">
    <w:name w:val="Medium Grid 1 Accent 5"/>
    <w:basedOn w:val="33"/>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0">
    <w:name w:val="Medium Grid 1 Accent 6"/>
    <w:basedOn w:val="33"/>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2">
    <w:name w:val="Medium Grid 2 Accent 1"/>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3">
    <w:name w:val="Medium Grid 2 Accent 2"/>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33"/>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8">
    <w:name w:val="Medium Grid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9">
    <w:name w:val="Medium Grid 3 Accent 1"/>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0">
    <w:name w:val="Medium Grid 3 Accent 2"/>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1">
    <w:name w:val="Medium Grid 3 Accent 3"/>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2">
    <w:name w:val="Medium Grid 3 Accent 4"/>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3">
    <w:name w:val="Medium Grid 3 Accent 5"/>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4">
    <w:name w:val="Medium Grid 3 Accent 6"/>
    <w:basedOn w:val="33"/>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5">
    <w:name w:val="Dark List"/>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6">
    <w:name w:val="Dark List Accent 1"/>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7">
    <w:name w:val="Dark List Accent 2"/>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8">
    <w:name w:val="Dark List Accent 3"/>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9">
    <w:name w:val="Dark List Accent 4"/>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0">
    <w:name w:val="Dark List Accent 5"/>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1">
    <w:name w:val="Dark List Accent 6"/>
    <w:basedOn w:val="33"/>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2">
    <w:name w:val="Colorful Shading"/>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1"/>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2"/>
    <w:basedOn w:val="33"/>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3"/>
    <w:basedOn w:val="33"/>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6">
    <w:name w:val="Colorful Shading Accent 4"/>
    <w:basedOn w:val="33"/>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5"/>
    <w:basedOn w:val="33"/>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6"/>
    <w:basedOn w:val="33"/>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List"/>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0">
    <w:name w:val="Colorful List Accent 1"/>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1">
    <w:name w:val="Colorful List Accent 2"/>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2">
    <w:name w:val="Colorful List Accent 3"/>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3">
    <w:name w:val="Colorful List Accent 4"/>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4">
    <w:name w:val="Colorful List Accent 5"/>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5">
    <w:name w:val="Colorful List Accent 6"/>
    <w:basedOn w:val="33"/>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6">
    <w:name w:val="Colorful Grid"/>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7">
    <w:name w:val="Colorful Grid Accent 1"/>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8">
    <w:name w:val="Colorful Grid Accent 2"/>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9">
    <w:name w:val="Colorful Grid Accent 3"/>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0">
    <w:name w:val="Colorful Grid Accent 4"/>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1">
    <w:name w:val="Colorful Grid Accent 5"/>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2">
    <w:name w:val="Colorful Grid Accent 6"/>
    <w:basedOn w:val="33"/>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4">
    <w:name w:val="Strong"/>
    <w:basedOn w:val="133"/>
    <w:qFormat/>
    <w:uiPriority w:val="22"/>
    <w:rPr>
      <w:b/>
      <w:bCs/>
    </w:rPr>
  </w:style>
  <w:style w:type="character" w:styleId="135">
    <w:name w:val="Emphasis"/>
    <w:basedOn w:val="133"/>
    <w:qFormat/>
    <w:uiPriority w:val="20"/>
    <w:rPr>
      <w:i/>
      <w:iCs/>
    </w:rPr>
  </w:style>
  <w:style w:type="character" w:customStyle="1" w:styleId="136">
    <w:name w:val="Header Char"/>
    <w:basedOn w:val="133"/>
    <w:link w:val="25"/>
    <w:qFormat/>
    <w:uiPriority w:val="99"/>
  </w:style>
  <w:style w:type="character" w:customStyle="1" w:styleId="137">
    <w:name w:val="Footer Char"/>
    <w:basedOn w:val="133"/>
    <w:link w:val="24"/>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3"/>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3"/>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3"/>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3"/>
    <w:link w:val="3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3"/>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3"/>
    <w:link w:val="19"/>
    <w:qFormat/>
    <w:uiPriority w:val="99"/>
  </w:style>
  <w:style w:type="character" w:customStyle="1" w:styleId="146">
    <w:name w:val="Body Text 2 Char"/>
    <w:basedOn w:val="133"/>
    <w:link w:val="28"/>
    <w:qFormat/>
    <w:uiPriority w:val="99"/>
  </w:style>
  <w:style w:type="character" w:customStyle="1" w:styleId="147">
    <w:name w:val="Body Text 3 Char"/>
    <w:basedOn w:val="133"/>
    <w:link w:val="17"/>
    <w:qFormat/>
    <w:uiPriority w:val="99"/>
    <w:rPr>
      <w:sz w:val="16"/>
      <w:szCs w:val="16"/>
    </w:rPr>
  </w:style>
  <w:style w:type="character" w:customStyle="1" w:styleId="148">
    <w:name w:val="Macro Text Char"/>
    <w:basedOn w:val="133"/>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3"/>
    <w:link w:val="149"/>
    <w:qFormat/>
    <w:uiPriority w:val="29"/>
    <w:rPr>
      <w:i/>
      <w:iCs/>
      <w:color w:val="000000" w:themeColor="text1"/>
      <w14:textFill>
        <w14:solidFill>
          <w14:schemeClr w14:val="tx1"/>
        </w14:solidFill>
      </w14:textFill>
    </w:rPr>
  </w:style>
  <w:style w:type="character" w:customStyle="1" w:styleId="151">
    <w:name w:val="Heading 4 Char"/>
    <w:basedOn w:val="133"/>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3"/>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3"/>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3"/>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3"/>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3"/>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3"/>
    <w:link w:val="157"/>
    <w:qFormat/>
    <w:uiPriority w:val="30"/>
    <w:rPr>
      <w:b/>
      <w:bCs/>
      <w:i/>
      <w:iCs/>
      <w:color w:val="4F81BD" w:themeColor="accent1"/>
      <w14:textFill>
        <w14:solidFill>
          <w14:schemeClr w14:val="accent1"/>
        </w14:solidFill>
      </w14:textFill>
    </w:rPr>
  </w:style>
  <w:style w:type="character" w:customStyle="1" w:styleId="159">
    <w:name w:val="Subtle Emphasis"/>
    <w:basedOn w:val="133"/>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3"/>
    <w:qFormat/>
    <w:uiPriority w:val="21"/>
    <w:rPr>
      <w:b/>
      <w:bCs/>
      <w:i/>
      <w:iCs/>
      <w:color w:val="4F81BD" w:themeColor="accent1"/>
      <w14:textFill>
        <w14:solidFill>
          <w14:schemeClr w14:val="accent1"/>
        </w14:solidFill>
      </w14:textFill>
    </w:rPr>
  </w:style>
  <w:style w:type="character" w:customStyle="1" w:styleId="161">
    <w:name w:val="Subtle Reference"/>
    <w:basedOn w:val="133"/>
    <w:qFormat/>
    <w:uiPriority w:val="31"/>
    <w:rPr>
      <w:smallCaps/>
      <w:color w:val="C0504D" w:themeColor="accent2"/>
      <w:u w:val="single"/>
      <w14:textFill>
        <w14:solidFill>
          <w14:schemeClr w14:val="accent2"/>
        </w14:solidFill>
      </w14:textFill>
    </w:rPr>
  </w:style>
  <w:style w:type="character" w:customStyle="1" w:styleId="162">
    <w:name w:val="Intense Reference"/>
    <w:basedOn w:val="133"/>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3"/>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1052</Words>
  <Characters>6670</Characters>
  <Lines>0</Lines>
  <Paragraphs>0</Paragraphs>
  <TotalTime>15</TotalTime>
  <ScaleCrop>false</ScaleCrop>
  <LinksUpToDate>false</LinksUpToDate>
  <CharactersWithSpaces>7495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曹宝予</cp:lastModifiedBy>
  <dcterms:modified xsi:type="dcterms:W3CDTF">2026-07-22T13:06:31Z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1F74C73756BD40B092001BE28230B35C_13</vt:lpwstr>
  </property>
  <property fmtid="{D5CDD505-2E9C-101B-9397-08002B2CF9AE}" pid="4" name="KSOTemplateDocerSaveRecord">
    <vt:lpwstr>eyJoZGlkIjoiNTBjNzBmMjViOTFkYmQ3MGE0ZTVlOGU1MmI0ZDY5N2QiLCJ1c2VySWQiOiI1MDUzMzkwODcifQ==</vt:lpwstr>
  </property>
</Properties>
</file>