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7F260">
      <w:pPr>
        <w:spacing w:before="0" w:after="120" w:line="36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/>
        </w:rPr>
        <w:t>Health Services and Management (HSM) UndergraduateTalent Cultivation Quality Evaluation Indicator System</w:t>
      </w:r>
    </w:p>
    <w:p w14:paraId="2315894B">
      <w:pPr>
        <w:spacing w:before="0" w:after="480" w:line="36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  <w:t>—— Expert Consultation Questionnaire (Round 1)</w:t>
      </w:r>
    </w:p>
    <w:p w14:paraId="63D2D4C8">
      <w:pPr>
        <w:spacing w:before="0" w:after="120" w:line="42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Dear Expert,</w:t>
      </w:r>
    </w:p>
    <w:p w14:paraId="0A518ADF">
      <w:pPr>
        <w:spacing w:before="0" w:after="120" w:line="480" w:lineRule="auto"/>
        <w:ind w:firstLine="480" w:firstLineChars="200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This study aims to develop a quality evaluation indicator system for undergraduate Health Services and Management (HSM) programmes, and to explore a dynamic alignment mechanism between talent cultivation and workforce demand. The indicator system is based on the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/>
        </w:rPr>
        <w:t>Input–Process–Output (IPO) framework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, and innovatively introduces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/>
        </w:rPr>
        <w:t>Demand–Supply Fit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 as a fourth dimension, in order to systematically quantify the correspondence between cultivation quality and employer requirements.</w:t>
      </w:r>
    </w:p>
    <w:p w14:paraId="5DC3A955">
      <w:pPr>
        <w:spacing w:before="0" w:after="120" w:line="48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    This consultation uses the Delphi Method, conducted over two rounds. Please rate the importance, scientific soundness, and feasibility of each indicator on a 1–5 scale based on your professional experience and judgement, and provide revision suggestions or reasons in the Comments/Remarks column. Every comment you provide will be addressed and responded to in the second round.</w:t>
      </w:r>
    </w:p>
    <w:p w14:paraId="7F40E84C">
      <w:pPr>
        <w:spacing w:before="0" w:after="120" w:line="480" w:lineRule="auto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    Results from this consultation will be used for academic research only. Your personal information will be kept strictly confidential, and your responses will not be disclosed to any third party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 Please complete the questionnaire within 10 working days of receipt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/>
        </w:rPr>
        <w:t>.</w:t>
      </w:r>
    </w:p>
    <w:p w14:paraId="2C70F26C">
      <w:pPr>
        <w:spacing w:before="120" w:after="6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Principal Investigator: Tian Jin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  <w:t xml:space="preserve">       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Contact: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/>
        </w:rPr>
        <w:t>199307****8</w:t>
      </w:r>
    </w:p>
    <w:p w14:paraId="77E5A659">
      <w:pPr>
        <w:spacing w:before="60" w:after="48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Date completed:       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 xml:space="preserve">The First Hospital of Hebei Medical University </w:t>
      </w:r>
    </w:p>
    <w:p w14:paraId="3C75E8DC">
      <w:pP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  <w:br w:type="page"/>
      </w:r>
    </w:p>
    <w:p w14:paraId="71BE13B6">
      <w:pPr>
        <w:spacing w:before="0" w:after="18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  <w:t>I. Expert Background Information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67"/>
        <w:gridCol w:w="4241"/>
        <w:gridCol w:w="3498"/>
        <w:gridCol w:w="4036"/>
      </w:tblGrid>
      <w:tr w14:paraId="1559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5000" w:type="pct"/>
            <w:gridSpan w:val="4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AACEE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Expert Background Information</w:t>
            </w:r>
          </w:p>
        </w:tc>
      </w:tr>
      <w:tr w14:paraId="7879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66" w:type="pct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46DC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Name</w:t>
            </w:r>
          </w:p>
        </w:tc>
        <w:tc>
          <w:tcPr>
            <w:tcW w:w="1489" w:type="pct"/>
            <w:tcBorders>
              <w:top w:val="single" w:color="4874CB" w:themeColor="accent1" w:sz="8" w:space="0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D0E48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1228" w:type="pct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A2996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Institution</w:t>
            </w:r>
          </w:p>
        </w:tc>
        <w:tc>
          <w:tcPr>
            <w:tcW w:w="1415" w:type="pct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C35E8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5C74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66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76D1C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Professional Title/Position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FAFB8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C0A8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Highest Degree/Qualification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70F4B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5E75B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66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D4485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Field of Work</w:t>
            </w:r>
          </w:p>
        </w:tc>
        <w:tc>
          <w:tcPr>
            <w:tcW w:w="4133" w:type="pct"/>
            <w:gridSpan w:val="3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B0B80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□ HSM/Public Health Education &amp; Research   □ Clinical Teaching or Hospital Management Practice   □ Health Policy or Management Research</w:t>
            </w:r>
          </w:p>
        </w:tc>
      </w:tr>
      <w:tr w14:paraId="4CD0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66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608F0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Years of Experience</w:t>
            </w:r>
          </w:p>
        </w:tc>
        <w:tc>
          <w:tcPr>
            <w:tcW w:w="4133" w:type="pct"/>
            <w:gridSpan w:val="3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732251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□ 5–10 years   □ More than 10 years</w:t>
            </w:r>
          </w:p>
        </w:tc>
      </w:tr>
      <w:tr w14:paraId="1317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66" w:type="pct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FD874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Contact Information</w:t>
            </w:r>
          </w:p>
        </w:tc>
        <w:tc>
          <w:tcPr>
            <w:tcW w:w="4133" w:type="pct"/>
            <w:gridSpan w:val="3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64C8FF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Phone/Email:</w:t>
            </w:r>
          </w:p>
        </w:tc>
      </w:tr>
    </w:tbl>
    <w:p w14:paraId="1A4F3A6C">
      <w:pPr>
        <w:spacing w:before="180" w:after="12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</w:p>
    <w:tbl>
      <w:tblPr>
        <w:tblStyle w:val="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48"/>
        <w:gridCol w:w="1846"/>
        <w:gridCol w:w="2102"/>
        <w:gridCol w:w="2358"/>
        <w:gridCol w:w="2358"/>
        <w:gridCol w:w="1719"/>
      </w:tblGrid>
      <w:tr w14:paraId="376F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6737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Familiarity with This Research Area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F44CB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Very Familiar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93B90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Fairly Familiar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50BB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Somewhat Familiar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219EF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Slightly Familiar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7E150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Not Familiar</w:t>
            </w:r>
          </w:p>
        </w:tc>
      </w:tr>
      <w:tr w14:paraId="324A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D7C63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HSM Professional Education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6B616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2ED69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BF9ED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910D9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82EE6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3CDC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90C2A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Health Industry Workforce Demand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E938C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365F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122EB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9E1B4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33C58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0DA2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351" w:type="pct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AD927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Educational Quality Evaluation Methods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C4D92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90D1C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9CE7C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A7B230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6372D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</w:tbl>
    <w:p w14:paraId="29F3A2EC">
      <w:pPr>
        <w:spacing w:before="240" w:after="120" w:line="360" w:lineRule="auto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</w:pPr>
    </w:p>
    <w:p w14:paraId="6944A41E">
      <w:pPr>
        <w:spacing w:before="240" w:after="120" w:line="360" w:lineRule="auto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</w:pPr>
    </w:p>
    <w:p w14:paraId="099A519C">
      <w:pPr>
        <w:spacing w:before="240" w:after="12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  <w:t>Expert Judgement-Basis Self-Assessment Form (used to calculate the Judgement-Basis Coefficient, Ca)</w:t>
      </w:r>
    </w:p>
    <w:p w14:paraId="783C128D">
      <w:pPr>
        <w:spacing w:before="0" w:after="12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Please indicate the degree of influence each of the following judgement bases had on your ratings this round by checking (☑) the corresponding box.</w:t>
      </w:r>
    </w:p>
    <w:tbl>
      <w:tblPr>
        <w:tblStyle w:val="2"/>
        <w:tblW w:w="14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33"/>
        <w:gridCol w:w="4004"/>
        <w:gridCol w:w="2362"/>
        <w:gridCol w:w="1708"/>
        <w:gridCol w:w="1212"/>
      </w:tblGrid>
      <w:tr w14:paraId="7DAA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4933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ED431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Judgement Basis</w:t>
            </w:r>
          </w:p>
        </w:tc>
        <w:tc>
          <w:tcPr>
            <w:tcW w:w="4004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BF7F4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Large</w:t>
            </w:r>
          </w:p>
        </w:tc>
        <w:tc>
          <w:tcPr>
            <w:tcW w:w="2362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AEA69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Fairly Large</w:t>
            </w:r>
          </w:p>
        </w:tc>
        <w:tc>
          <w:tcPr>
            <w:tcW w:w="1708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D3F30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Moderate</w:t>
            </w:r>
          </w:p>
        </w:tc>
        <w:tc>
          <w:tcPr>
            <w:tcW w:w="1212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6B33B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Small</w:t>
            </w:r>
          </w:p>
        </w:tc>
      </w:tr>
      <w:tr w14:paraId="458C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4933" w:type="dxa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F150E">
            <w:pPr>
              <w:snapToGrid w:val="0"/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Theoretical Analysis</w:t>
            </w:r>
          </w:p>
        </w:tc>
        <w:tc>
          <w:tcPr>
            <w:tcW w:w="4004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4B09B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2362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56BDB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708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1008B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212" w:type="dxa"/>
            <w:tcBorders>
              <w:top w:val="single" w:color="4874CB" w:themeColor="accent1" w:sz="8" w:space="0"/>
              <w:left w:val="nil"/>
              <w:bottom w:val="nil"/>
              <w:right w:val="single" w:color="4874CB" w:themeColor="accent1" w:sz="8" w:space="0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44D14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</w:tr>
      <w:tr w14:paraId="2A6F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4933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19872">
            <w:pPr>
              <w:snapToGrid w:val="0"/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Practical Experience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0E457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71317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1A1D0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B04C0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</w:tr>
      <w:tr w14:paraId="26CA4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4933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5CC0E">
            <w:pPr>
              <w:snapToGrid w:val="0"/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Knowledge of Domestic and International Peers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CA053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44F17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9248C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27267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</w:tr>
      <w:tr w14:paraId="3AEC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4933" w:type="dxa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68C73B">
            <w:pPr>
              <w:snapToGrid w:val="0"/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Intuitive Judgement</w:t>
            </w:r>
          </w:p>
        </w:tc>
        <w:tc>
          <w:tcPr>
            <w:tcW w:w="4004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9ED02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7AA66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44432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9D68D">
            <w:pPr>
              <w:snapToGrid w:val="0"/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☐</w:t>
            </w:r>
          </w:p>
        </w:tc>
      </w:tr>
    </w:tbl>
    <w:p w14:paraId="00C774FB">
      <w:pPr>
        <w:spacing w:before="240" w:after="12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  <w:t>II. Rating Instructions</w:t>
      </w:r>
    </w:p>
    <w:p w14:paraId="0FE80371">
      <w:pPr>
        <w:spacing w:before="0" w:after="120" w:line="42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Please rate each indicator on the following three dimensions using a 1–5 scale, entering the score in the corresponding cell:</w:t>
      </w:r>
    </w:p>
    <w:p w14:paraId="0E6453A8">
      <w:pPr>
        <w:spacing w:before="60" w:after="60" w:line="42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/>
        </w:rPr>
        <w:t xml:space="preserve">Importance: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The extent to which this indicator is necessary for evaluating the quality of HSM talent cultivation;</w:t>
      </w:r>
    </w:p>
    <w:p w14:paraId="6529AC4B">
      <w:pPr>
        <w:spacing w:before="60" w:after="60" w:line="42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/>
        </w:rPr>
        <w:t xml:space="preserve">Scientific Soundness: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Whether the indicator's definition, calculation method, and measurement criteria are clear and reasonable;</w:t>
      </w:r>
    </w:p>
    <w:p w14:paraId="3312A580">
      <w:pPr>
        <w:spacing w:before="60" w:after="120" w:line="42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/>
        </w:rPr>
        <w:t xml:space="preserve">Feasibility: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Whether the corresponding data for this indicator can be effectively collected in the actual university setting.</w:t>
      </w:r>
    </w:p>
    <w:tbl>
      <w:tblPr>
        <w:tblStyle w:val="2"/>
        <w:tblW w:w="14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0"/>
        <w:gridCol w:w="2304"/>
        <w:gridCol w:w="2401"/>
        <w:gridCol w:w="2207"/>
        <w:gridCol w:w="2985"/>
        <w:gridCol w:w="2111"/>
      </w:tblGrid>
      <w:tr w14:paraId="5254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210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27DFA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Rating</w:t>
            </w:r>
          </w:p>
        </w:tc>
        <w:tc>
          <w:tcPr>
            <w:tcW w:w="2304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F0FF0B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1 point</w:t>
            </w:r>
          </w:p>
        </w:tc>
        <w:tc>
          <w:tcPr>
            <w:tcW w:w="2401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E6C93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2 points</w:t>
            </w:r>
          </w:p>
        </w:tc>
        <w:tc>
          <w:tcPr>
            <w:tcW w:w="2207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DDFEF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3 points</w:t>
            </w:r>
          </w:p>
        </w:tc>
        <w:tc>
          <w:tcPr>
            <w:tcW w:w="2985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A4311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4 points</w:t>
            </w:r>
          </w:p>
        </w:tc>
        <w:tc>
          <w:tcPr>
            <w:tcW w:w="2111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E2BC4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5 points</w:t>
            </w:r>
          </w:p>
        </w:tc>
      </w:tr>
      <w:tr w14:paraId="16F2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AA274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Importance</w:t>
            </w:r>
          </w:p>
        </w:tc>
        <w:tc>
          <w:tcPr>
            <w:tcW w:w="2304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B7B13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Not at all important</w:t>
            </w:r>
          </w:p>
        </w:tc>
        <w:tc>
          <w:tcPr>
            <w:tcW w:w="2401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E578F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Not very important</w:t>
            </w:r>
          </w:p>
        </w:tc>
        <w:tc>
          <w:tcPr>
            <w:tcW w:w="2207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5740B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Moderately important</w:t>
            </w:r>
          </w:p>
        </w:tc>
        <w:tc>
          <w:tcPr>
            <w:tcW w:w="2985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0C8122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Fairly important</w:t>
            </w:r>
          </w:p>
        </w:tc>
        <w:tc>
          <w:tcPr>
            <w:tcW w:w="2111" w:type="dxa"/>
            <w:tcBorders>
              <w:top w:val="single" w:color="4874CB" w:themeColor="accent1" w:sz="8" w:space="0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A7FF8D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Very important</w:t>
            </w:r>
          </w:p>
        </w:tc>
      </w:tr>
      <w:tr w14:paraId="0E6A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193E6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Scientific Soundness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CF078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Not at all scientific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2D05D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Not very scientific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552A3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Basically scientific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78C92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Fairly scientific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E1B80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Very scientific</w:t>
            </w:r>
          </w:p>
        </w:tc>
      </w:tr>
      <w:tr w14:paraId="6229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E4D7F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Feasibility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98867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Not at all feasible</w:t>
            </w:r>
          </w:p>
        </w:tc>
        <w:tc>
          <w:tcPr>
            <w:tcW w:w="2401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7A4C4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Difficult to implement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90C7F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Basically feasible</w:t>
            </w:r>
          </w:p>
        </w:tc>
        <w:tc>
          <w:tcPr>
            <w:tcW w:w="2985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F32A5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Relatively easy to implement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68AB6">
            <w:pPr>
              <w:keepNext/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Completely feasible</w:t>
            </w:r>
          </w:p>
        </w:tc>
      </w:tr>
    </w:tbl>
    <w:p w14:paraId="75ADE06F">
      <w:pPr>
        <w:spacing w:before="120" w:after="120" w:line="42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/>
        </w:rPr>
        <w:t>★ For any indicator you believe needs revision, please explain in the Comments/Remarks column; if you believe an indicator should be deleted, please note this and explain your reasoning.</w:t>
      </w:r>
    </w:p>
    <w:p w14:paraId="37B7786F">
      <w:pP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  <w:br w:type="page"/>
      </w:r>
    </w:p>
    <w:p w14:paraId="49DE6019">
      <w:pPr>
        <w:spacing w:before="0" w:after="18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  <w:t>III. Indicator Evaluation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10"/>
        <w:gridCol w:w="4952"/>
        <w:gridCol w:w="1746"/>
        <w:gridCol w:w="1746"/>
        <w:gridCol w:w="1882"/>
        <w:gridCol w:w="2603"/>
      </w:tblGrid>
      <w:tr w14:paraId="3AB2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2DD4A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No.</w:t>
            </w:r>
          </w:p>
        </w:tc>
        <w:tc>
          <w:tcPr>
            <w:tcW w:w="1739" w:type="pct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7F3C4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Indicator Content</w:t>
            </w:r>
          </w:p>
        </w:tc>
        <w:tc>
          <w:tcPr>
            <w:tcW w:w="613" w:type="pct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EDCED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Importance</w:t>
            </w:r>
          </w:p>
        </w:tc>
        <w:tc>
          <w:tcPr>
            <w:tcW w:w="613" w:type="pct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7BD68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Scientific Soundness</w:t>
            </w:r>
          </w:p>
        </w:tc>
        <w:tc>
          <w:tcPr>
            <w:tcW w:w="661" w:type="pct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87A70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Feasibility</w:t>
            </w:r>
          </w:p>
        </w:tc>
        <w:tc>
          <w:tcPr>
            <w:tcW w:w="912" w:type="pct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EBAAF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Comments/Remarks</w:t>
            </w:r>
          </w:p>
        </w:tc>
      </w:tr>
      <w:tr w14:paraId="4C14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6E3A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lang/>
                <w14:textFill>
                  <w14:solidFill>
                    <w14:schemeClr w14:val="tx1"/>
                  </w14:solidFill>
                </w14:textFill>
              </w:rPr>
              <w:t>I. Input Quality</w:t>
            </w:r>
          </w:p>
        </w:tc>
      </w:tr>
      <w:tr w14:paraId="359B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82A2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1.1 Faculty Resources</w:t>
            </w:r>
          </w:p>
        </w:tc>
      </w:tr>
      <w:tr w14:paraId="396F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2CE47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1.1.1.1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DDF8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dual-qualified teachers holding both a clinical/industry practitioner licence and a teaching qualification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4284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105C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B70E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838DC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037B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DF630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1.1.1.2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55D78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teachers with 3+ years of practical experience in health-related industries (hospitals/health management organisations/insurance/aged-care institutions)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112B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63F1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CC2A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3CB1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4958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BA364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1.1.1.3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A461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teachers holding senior professional titles (associate professor or above)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9C1BC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9814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F41C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B7817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235011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84561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1.1.1.4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88F7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teachers holding a doctoral degree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3C5C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1FFC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3F67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92AEA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492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D67C0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1.1.2.1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F6F3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teachers who led a provincial/ministerial-level or higher teaching-research or research project in the past 3 years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2547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E1D6D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5A828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46FF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4DB4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E1354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1.1.2.2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9F863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teachers who participated in university-industry collaboration projects or commissioned projects in the past 3 years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77DF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AC338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642D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3DF3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0F6F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8F3B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1.2 Student Intake Quality</w:t>
            </w:r>
          </w:p>
        </w:tc>
      </w:tr>
      <w:tr w14:paraId="7195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50F7E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1.2.1.1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4719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First-choice admission rate (proportion of students admitted via first-choice application to this programme)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D54E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93B9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F8E4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FA26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1EEA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E9A83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1.2.1.2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0824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students with prior health-related volunteer service or practical experience before admission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5175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09BD6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BE9E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71EE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35E0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BACD5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1.2.2.1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4081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students whose college entrance examination scores rank in the top 40% of their home province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5140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D7A3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EB77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2C26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6E0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D683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lang/>
                <w14:textFill>
                  <w14:solidFill>
                    <w14:schemeClr w14:val="tx1"/>
                  </w14:solidFill>
                </w14:textFill>
              </w:rPr>
              <w:t>II. Process Quality</w:t>
            </w:r>
          </w:p>
        </w:tc>
      </w:tr>
      <w:tr w14:paraId="417E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F31C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2.1 Curriculum System</w:t>
            </w:r>
          </w:p>
        </w:tc>
      </w:tr>
      <w:tr w14:paraId="2B76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6DE50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2.1.1.1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1B08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core courses such as health management, health statistics, epidemiology, and health law and regulations are offered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D0D3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B5DF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EE84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ACFF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07C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0A480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2.1.1.2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1555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Coverage of interdisciplinary modules (whether all four categories — medical fundamentals, management, information technology, and policy/regulation — are complete)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14986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332F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F4F1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290F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7E9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C4B1D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2.1.1.3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AAF5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practice-oriented course credits out of total credits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5A6D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4370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C6CE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DBCE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CCC6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44513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2.1.1.4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35D6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employer representatives substantively participated in curriculum revision in the past 3 years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B0EC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CCCA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091CF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F029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4EED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339D8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2.1.2.1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3EAC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the assessment method for each course is clearly specified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B058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4D12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DA0D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4EB2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0F2F1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1C794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2.1.2.2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5189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there are clear course assessment standards (including for hands-on/practical assessments)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0758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1F69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8D3D5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FBA6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C5A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81A3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2.2 Practice Teaching</w:t>
            </w:r>
          </w:p>
        </w:tc>
      </w:tr>
      <w:tr w14:paraId="31F0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9E997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2.2.1.1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6EA4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Number of institution types covered by external practice-placement sites (≥3 types: hospitals/health management organisations/aged-care institutions/insurance/internet health platforms, etc.)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F8D6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A7D5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F2B1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E8B4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1CA9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5CD59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2.2.1.2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F508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the duration of concentrated practice placement is no shorter than the minimum number of weeks specified in the programme's teaching plan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617F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9DC4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4B2C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04B3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3039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147C5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2.2.1.3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19663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students are provided with a structured practice-placement manual and task list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C9F2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A226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709C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CDEB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3536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6C6A0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2.2.2.1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AFF5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the practice-placement assessment method and scoring criteria are clearly specified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9520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2AE0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5B10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66146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529D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21A8D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2.2.2.2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3D5C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formal evaluations by placement-site supervising teachers are incorporated into students' final grades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FA29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7DDC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727A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86E3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7BF51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2BB8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2.3 Vocational Competency Development</w:t>
            </w:r>
          </w:p>
        </w:tc>
      </w:tr>
      <w:tr w14:paraId="7E81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A83E7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2.3.1.1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DC96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career-planning and employment-guidance courses or activities are offered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1561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1521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8419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FB82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19AA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EB4E9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2.3.1.2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5001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students who took the Health Manager occupational qualification examination while enrolled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B00D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28A8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0AD03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2277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1529B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2ACBE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2.3.1.3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E012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employer campus visits or industry-mentor lectures are held regularly (at least twice per semester)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9E12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E336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3D8E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70F1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AA7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1BD43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2.3.2.1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D096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a mechanism for tracking academic progress and providing early warnings is established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10B1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E6CD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34D2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6C0D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7243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B5A7C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2.3.2.2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3C04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Whether an undergraduate academic mentoring system is implemented (with a clear cap on the number of students per mentor)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0123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C111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EB6E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66C2D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1D02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3677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lang/>
                <w14:textFill>
                  <w14:solidFill>
                    <w14:schemeClr w14:val="tx1"/>
                  </w14:solidFill>
                </w14:textFill>
              </w:rPr>
              <w:t>III. Output Quality</w:t>
            </w:r>
          </w:p>
        </w:tc>
      </w:tr>
      <w:tr w14:paraId="65A3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A550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3.1 Academic Outcomes</w:t>
            </w:r>
          </w:p>
        </w:tc>
      </w:tr>
      <w:tr w14:paraId="5AD05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1D205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3.1.1.1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50A6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Graduation rate (proportion of students completing their studies and obtaining a graduation certificate on schedule, out of that year's admitted cohort)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2BE6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357C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19F5D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228E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5B0A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C09FE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3.1.1.2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5125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Degree-award rate (proportion of students obtaining a bachelor's degree, out of that year's admitted cohort)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E431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F5CC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0395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8435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3E9A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E85F3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3.1.2.1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EB09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Health Manager occupational qualification certificate acquisition rate (proportion of students who had obtained the certificate by graduation)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5DE7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69FC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0A6B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60A7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2C51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EA1AAD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3.1.2.2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60D2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graduation theses/projects addressing practical HSM issues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3226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22667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F5AC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566045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70E79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D9A0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3.2 Employment Outcomes</w:t>
            </w:r>
          </w:p>
        </w:tc>
      </w:tr>
      <w:tr w14:paraId="107F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2F3CA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3.2.1.1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76203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Employment rate within 6 months of graduation (proportion of employed graduates out of total graduates)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0CB3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B265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3C7E8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7A3CD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1F76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0FEF5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3.2.1.2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7BEE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signing a formal labour contract within 6 months of graduation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018B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C8BB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2C62E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1B7F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7D71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8DFCF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3.2.2.1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BAC9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Professionally relevant employment rate (proportion of employed graduates working in HSM-related roles)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50E1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125A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46B8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1681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F86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5BA93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3.2.2.2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9BC0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Diversity of employer types (proportion of graduates employed at health-industry organisations other than healthcare institutions)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1C54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4205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1B1A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A2ED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76BA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432F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IV. Demand–Supply Fit</w:t>
            </w:r>
          </w:p>
        </w:tc>
      </w:tr>
      <w:tr w14:paraId="5130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67E4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4.1 Training Goal Alignment</w:t>
            </w:r>
          </w:p>
        </w:tc>
      </w:tr>
      <w:tr w14:paraId="4129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F116D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4.1.1.1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6E5B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Coverage of major employer job requirements by the core competencies listed in programme objectives (quantified via content analysis)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F962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CD1E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C51A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3171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58E9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E3847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4.1.1.2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1F12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alignment between curriculum knowledge modules and the knowledge units of the Health Manager occupational qualification standard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4831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0A8AB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1838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EADD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4B70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DDD0C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4.2 Competency Alignment</w:t>
            </w:r>
          </w:p>
        </w:tc>
      </w:tr>
      <w:tr w14:paraId="1B0F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F5A38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4.2.1.1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8358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Difference between graduates' self-assessed core competencies and employer expectations (Demand–Supply Fit coefficient)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6BD7B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C6F1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1E44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A6DE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615E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B3DDF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4.2.1.2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AC24A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Employer overall satisfaction rating of recent graduates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6C22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F3291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F8947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93F40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008B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B6FA4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4.2.2.1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A6B5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Employer reassessment score of graduates' actual workplace competency one year after employment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734B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4378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C8E06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B1600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272F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6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1D0BE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1F4E79"/>
                <w:kern w:val="0"/>
                <w:sz w:val="24"/>
                <w:szCs w:val="24"/>
                <w:lang/>
              </w:rPr>
              <w:t>4.3 Career Stability</w:t>
            </w:r>
          </w:p>
        </w:tc>
      </w:tr>
      <w:tr w14:paraId="200B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DEEEC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4.3.1.1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2675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graduates who had not transferred out of HSM-related positions within 3 years of employment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5C113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ABF89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AACBC4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F76A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14:paraId="70B3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0" w:type="pct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FFDCE">
            <w:pPr>
              <w:spacing w:before="0" w:after="12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4.3.1.2</w:t>
            </w:r>
          </w:p>
        </w:tc>
        <w:tc>
          <w:tcPr>
            <w:tcW w:w="1739" w:type="pct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66448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Proportion of graduates who obtained a promotion or relevant professional certification within 3 years of employment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47374B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AB34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08AF7F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96112">
            <w:pPr>
              <w:spacing w:before="0" w:after="12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4"/>
                <w:szCs w:val="24"/>
                <w:lang/>
              </w:rPr>
            </w:pPr>
          </w:p>
        </w:tc>
      </w:tr>
    </w:tbl>
    <w:p w14:paraId="056E45B0">
      <w:pP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  <w:br w:type="page"/>
      </w:r>
    </w:p>
    <w:p w14:paraId="339BFA89">
      <w:pPr>
        <w:spacing w:before="0" w:after="18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1F4E79"/>
          <w:kern w:val="0"/>
          <w:sz w:val="24"/>
          <w:szCs w:val="24"/>
          <w:lang/>
        </w:rPr>
        <w:t>IV. Overall Comments</w:t>
      </w:r>
    </w:p>
    <w:tbl>
      <w:tblPr>
        <w:tblStyle w:val="2"/>
        <w:tblW w:w="14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18"/>
      </w:tblGrid>
      <w:tr w14:paraId="6B907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4218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FA8D8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lang/>
              </w:rPr>
              <w:t>Overall Comments</w:t>
            </w:r>
          </w:p>
        </w:tc>
      </w:tr>
      <w:tr w14:paraId="3D98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218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EDF1F9" w:themeFill="accent1" w:themeFillTint="1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022AFCE">
            <w:pPr>
              <w:snapToGrid w:val="0"/>
              <w:spacing w:before="0" w:after="8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1. Do you consider the first-level domain structure of the indicator system (Input Quality, Process Quality, Output Quality, Demand–Supply Fit) reasonable? Please explain any suggested adjustments.</w:t>
            </w:r>
          </w:p>
          <w:p w14:paraId="2E029405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________________________________________________________________________</w:t>
            </w:r>
          </w:p>
          <w:p w14:paraId="0E71F0FC">
            <w:pPr>
              <w:snapToGrid w:val="0"/>
              <w:spacing w:before="0" w:after="8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2. What additional indicators do you think should be included? Please list them.</w:t>
            </w:r>
          </w:p>
          <w:p w14:paraId="1A52578D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________________________________________________________________________</w:t>
            </w:r>
          </w:p>
          <w:p w14:paraId="7B00582A">
            <w:pPr>
              <w:snapToGrid w:val="0"/>
              <w:spacing w:before="0" w:after="8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3. Other suggestions.</w:t>
            </w:r>
          </w:p>
          <w:p w14:paraId="7810E605">
            <w:pPr>
              <w:snapToGrid w:val="0"/>
              <w:spacing w:before="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/>
              </w:rPr>
              <w:t>________________________________________________________________________</w:t>
            </w:r>
          </w:p>
        </w:tc>
      </w:tr>
    </w:tbl>
    <w:p w14:paraId="550853B3">
      <w:pPr>
        <w:spacing w:before="240" w:after="120" w:line="36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</w:p>
    <w:p w14:paraId="68B47004">
      <w:pPr>
        <w:spacing w:before="0" w:after="60" w:line="36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:lang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555555"/>
          <w:kern w:val="0"/>
          <w:sz w:val="24"/>
          <w:szCs w:val="24"/>
          <w:lang/>
        </w:rPr>
        <w:t>Thank you for your valuable time and expert contribution! We look forward to your continued guidance in the second round of consultation.</w:t>
      </w:r>
    </w:p>
    <w:p w14:paraId="27C68485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418" w:right="1418" w:bottom="1418" w:left="1418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Sitka Heading Semibold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C2452"/>
    <w:rsid w:val="174C2452"/>
    <w:rsid w:val="247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2026-07-21T14:10:00Z</dcterms:created>
  <dc:creator>JIN TIAN也是大可爱啊</dc:creator>
  <cp:lastModifiedBy>JIN TIAN也是大可爱啊</cp:lastModifiedBy>
  <dcterms:modified xsi:type="dcterms:W3CDTF">2026-07-21T14:37:24Z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C6AC23880B4D44739AD52348B40AA765_11</vt:lpwstr>
  </property>
  <property fmtid="{D5CDD505-2E9C-101B-9397-08002B2CF9AE}" pid="4" name="KSOTemplateDocerSaveRecord">
    <vt:lpwstr>eyJoZGlkIjoiMDYwMDY5NmFhMjJiOTgyODI1Nzg0MTU0NDY1NDdhNzMiLCJ1c2VySWQiOiIzMTgyOTY4NDIifQ==</vt:lpwstr>
  </property>
</Properties>
</file>