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C8B4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center"/>
        <w:textAlignment w:val="auto"/>
        <w:rPr>
          <w:rFonts w:hint="default" w:ascii="Times New Roman" w:hAnsi="Times New Roman" w:eastAsia="Times New Roman" w:cs="Times New Roman"/>
          <w:kern w:val="0"/>
          <w:sz w:val="16"/>
          <w:szCs w:val="22"/>
          <w:lang w:eastAsia="en-US"/>
        </w:rPr>
      </w:pPr>
      <w:r>
        <w:rPr>
          <w:rFonts w:hint="default" w:ascii="Times New Roman" w:hAnsi="Times New Roman" w:eastAsia="Times New Roman" w:cs="Times New Roman"/>
          <w:b/>
          <w:i w:val="0"/>
          <w:kern w:val="0"/>
          <w:sz w:val="22"/>
          <w:szCs w:val="22"/>
          <w:lang w:eastAsia="en-US"/>
        </w:rPr>
        <w:t>Two-round modified Delphi results for candidate evaluation indicators</w:t>
      </w:r>
    </w:p>
    <w:p w14:paraId="24101E5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eastAsia="Times New Roman" w:cs="Times New Roman"/>
          <w:kern w:val="0"/>
          <w:sz w:val="16"/>
          <w:szCs w:val="22"/>
          <w:lang w:eastAsia="en-US"/>
        </w:rPr>
      </w:pPr>
      <w:r>
        <w:rPr>
          <w:rFonts w:hint="default" w:ascii="Times New Roman" w:hAnsi="Times New Roman" w:eastAsia="Times New Roman" w:cs="Times New Roman"/>
          <w:b w:val="0"/>
          <w:i w:val="0"/>
          <w:kern w:val="0"/>
          <w:sz w:val="16"/>
          <w:szCs w:val="22"/>
          <w:lang w:eastAsia="en-US"/>
        </w:rPr>
        <w:t>M, mean rating on a five-point Likert scale; CV, coefficient of variation; FSR, full-score rate (percentage of experts assigning the maximum score of 5). Round 1 screening criteria wer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b w:val="0"/>
          <w:i w:val="0"/>
          <w:kern w:val="0"/>
          <w:sz w:val="16"/>
          <w:szCs w:val="22"/>
          <w:lang w:eastAsia="en-US"/>
        </w:rPr>
        <w:t>e M ≥ 4.00, CV ≤ 0.25, and FSR ≥ 20%. These criteria guided rather than mechanically determined decisions. Indicator decisions also considered written expert comments, conceptual relevance, and coherence of the hierarchical framework. The Round 2 composite score was calculated as Cᵢ = (Iᵢ + SSᵢ + Fᵢ)/3 and was used to derive third-level local weights.</w:t>
      </w:r>
    </w:p>
    <w:p w14:paraId="17FE0ADF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eastAsia="Times New Roman" w:cs="Times New Roman"/>
          <w:kern w:val="0"/>
          <w:sz w:val="16"/>
          <w:szCs w:val="22"/>
          <w:lang w:eastAsia="en-US"/>
        </w:rPr>
      </w:pPr>
      <w:r>
        <w:rPr>
          <w:rFonts w:hint="default" w:ascii="Times New Roman" w:hAnsi="Times New Roman" w:eastAsia="Times New Roman" w:cs="Times New Roman"/>
          <w:b/>
          <w:i w:val="0"/>
          <w:kern w:val="0"/>
          <w:sz w:val="18"/>
          <w:szCs w:val="22"/>
          <w:lang w:eastAsia="en-US"/>
        </w:rPr>
        <w:t>Table S1a  Round 1 ratings and refinement decisions for 40 candidate indicators</w:t>
      </w:r>
    </w:p>
    <w:tbl>
      <w:tblPr>
        <w:tblStyle w:val="2"/>
        <w:tblW w:w="15826" w:type="dxa"/>
        <w:jc w:val="center"/>
        <w:tblBorders>
          <w:top w:val="single" w:color="B7B7B7" w:sz="4" w:space="0"/>
          <w:left w:val="single" w:color="B7B7B7" w:sz="4" w:space="0"/>
          <w:bottom w:val="single" w:color="B7B7B7" w:sz="4" w:space="0"/>
          <w:right w:val="single" w:color="B7B7B7" w:sz="4" w:space="0"/>
          <w:insideH w:val="single" w:color="B7B7B7" w:sz="4" w:space="0"/>
          <w:insideV w:val="single" w:color="B7B7B7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"/>
        <w:gridCol w:w="791"/>
        <w:gridCol w:w="1463"/>
        <w:gridCol w:w="1975"/>
        <w:gridCol w:w="5231"/>
        <w:gridCol w:w="764"/>
        <w:gridCol w:w="1571"/>
        <w:gridCol w:w="685"/>
        <w:gridCol w:w="1408"/>
        <w:gridCol w:w="1646"/>
      </w:tblGrid>
      <w:tr w14:paraId="1132ED6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2" w:type="dxa"/>
            <w:tcBorders>
              <w:top w:val="single" w:color="4874CB" w:themeColor="accent1" w:sz="8" w:space="0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20C7C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No.</w:t>
            </w:r>
          </w:p>
        </w:tc>
        <w:tc>
          <w:tcPr>
            <w:tcW w:w="79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44C75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Initial code</w:t>
            </w:r>
          </w:p>
        </w:tc>
        <w:tc>
          <w:tcPr>
            <w:tcW w:w="1463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665C5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Domain</w:t>
            </w:r>
          </w:p>
        </w:tc>
        <w:tc>
          <w:tcPr>
            <w:tcW w:w="1975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38C46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Dimension</w:t>
            </w:r>
          </w:p>
        </w:tc>
        <w:tc>
          <w:tcPr>
            <w:tcW w:w="523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65DE5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Candidate indicator</w:t>
            </w:r>
          </w:p>
        </w:tc>
        <w:tc>
          <w:tcPr>
            <w:tcW w:w="764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A7CCB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Importance</w:t>
            </w:r>
          </w:p>
        </w:tc>
        <w:tc>
          <w:tcPr>
            <w:tcW w:w="1571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7C868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Scientific soundness</w:t>
            </w:r>
          </w:p>
        </w:tc>
        <w:tc>
          <w:tcPr>
            <w:tcW w:w="685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A223FF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Feasibility</w:t>
            </w:r>
          </w:p>
        </w:tc>
        <w:tc>
          <w:tcPr>
            <w:tcW w:w="1408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nil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F7C2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Round 1 decision</w:t>
            </w:r>
          </w:p>
        </w:tc>
        <w:tc>
          <w:tcPr>
            <w:tcW w:w="1646" w:type="dxa"/>
            <w:tcBorders>
              <w:top w:val="single" w:color="4874CB" w:themeColor="accent1" w:sz="8" w:space="0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4874CB" w:themeFill="accent1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3BEB2E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color w:val="FFFFFF"/>
                <w:kern w:val="0"/>
                <w:sz w:val="13"/>
                <w:szCs w:val="22"/>
                <w:lang w:eastAsia="en-US"/>
              </w:rPr>
              <w:t>Final code or outcome</w:t>
            </w:r>
          </w:p>
        </w:tc>
      </w:tr>
      <w:tr w14:paraId="326323E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single" w:color="4874CB" w:themeColor="accent1" w:sz="8" w:space="0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8022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</w:t>
            </w:r>
          </w:p>
        </w:tc>
        <w:tc>
          <w:tcPr>
            <w:tcW w:w="791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772101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1.1.1.1</w:t>
            </w:r>
          </w:p>
        </w:tc>
        <w:tc>
          <w:tcPr>
            <w:tcW w:w="1463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0D592D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6BBF0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03AE57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dual-qualified teachers holding both a clinical or industry practitioner licence and a teaching qualification</w:t>
            </w:r>
          </w:p>
        </w:tc>
        <w:tc>
          <w:tcPr>
            <w:tcW w:w="764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0C283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71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C59FF0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685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89782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408" w:type="dxa"/>
            <w:tcBorders>
              <w:top w:val="single" w:color="4874CB" w:themeColor="accent1" w:sz="8" w:space="0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AEEA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single" w:color="4874CB" w:themeColor="accent1" w:sz="8" w:space="0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274CA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F01</w:t>
            </w:r>
          </w:p>
        </w:tc>
      </w:tr>
      <w:tr w14:paraId="78242CA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E207A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24050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7C287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D30AA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859E17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teachers with at least three years of experience in a health-related industry, including hospitals, health management organisations, insurance, or elder-care institutions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A0AF4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5AF4E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7A9BF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7151F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CD56FD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F02</w:t>
            </w:r>
          </w:p>
        </w:tc>
      </w:tr>
      <w:tr w14:paraId="0BDACD1F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0EC65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6493C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1.1.1.3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59BC0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8A90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4830D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teachers holding senior professional titles at associate professor level or above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B7E7A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8903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C151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0.052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93.3%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5D909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93243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F03</w:t>
            </w:r>
          </w:p>
        </w:tc>
      </w:tr>
      <w:tr w14:paraId="4A1748D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FFB6D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C8460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1.1.1.4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61B41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88147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1A2BD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teachers holding doctoral degrees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C5EACA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942F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2.87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0.259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8A027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FFF9F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D9BED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</w:tr>
      <w:tr w14:paraId="0E2931A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2CF16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65DB8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DB2D8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2A8E1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14CD4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teachers who led provincial- or ministerial-level teaching-research or scientific research projects during the previous three years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27613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0.192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CFFE7F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0.211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8BD24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479F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5EC58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F04</w:t>
            </w:r>
          </w:p>
        </w:tc>
      </w:tr>
      <w:tr w14:paraId="78F5F88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8E7FA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993DEA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1.1.2.2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A8FD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F9AF6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50C65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teachers who participated in university–industry collaboration projects or commissioned projects during the previous three years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22231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0.109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E8F53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CB07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D83D4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7D7A6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F05</w:t>
            </w:r>
          </w:p>
        </w:tc>
      </w:tr>
      <w:tr w14:paraId="3FBBF4C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E1447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CF56C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1.2.1.1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71254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8D99F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Student Intake Quality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CF465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First-choice admission rate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9A883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B3BCD8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F127C0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44E40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8636D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F06</w:t>
            </w:r>
          </w:p>
        </w:tc>
      </w:tr>
      <w:tr w14:paraId="0966634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8FDE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A1E2E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1.2.1.2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710182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93DF5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Student Intake Quality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B68A2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students with health-related volunteering or practice experience before admission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C87C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D80BCC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FD44A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171EA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39A78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F07</w:t>
            </w:r>
          </w:p>
        </w:tc>
      </w:tr>
      <w:tr w14:paraId="19EAE4C0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53139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D4BF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1.2.2.1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C5386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B13D48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Student Intake Quality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52F0E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students whose National College Entrance Examination scores ranked within the top 40% of their province of origin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5260D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65FED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330A3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0.245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6AAF0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F07B99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</w:tr>
      <w:tr w14:paraId="1EE3610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6E3B03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D664A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FB072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352EBC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E656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Provision of core professional courses such as health management, health statistics, epidemiology, and health law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179F79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6CDB78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81F1C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AAB74F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Merged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A9FAD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F08</w:t>
            </w:r>
          </w:p>
        </w:tc>
      </w:tr>
      <w:tr w14:paraId="39A4AEA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F1362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703F4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8D95E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A12C6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D352AA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Coverage of interdisciplinary modules in medical foundations, management, information technology, and policy and regulation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A14E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4EA37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0.094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66AAA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0214F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Merged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FB4DD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F08</w:t>
            </w:r>
          </w:p>
        </w:tc>
      </w:tr>
      <w:tr w14:paraId="1C60D1E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830AD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90C17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2.1.1.3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0453A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1EC0DA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49E11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total credits allocated to practice-oriented courses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9A78D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57517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677D2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C7CE6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B90C5C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F09</w:t>
            </w:r>
          </w:p>
        </w:tc>
      </w:tr>
      <w:tr w14:paraId="5581EEDE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9D8F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DDEF7C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2.1.1.4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8D805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D4272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4FF74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Substantive employer participation in programme curriculum revision during the previous three years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AD8F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0.099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27062C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CE67A5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9533F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733D2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F10</w:t>
            </w:r>
          </w:p>
        </w:tc>
      </w:tr>
      <w:tr w14:paraId="01CB92F7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0DAE4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F3460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028C52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B2DA37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BCA6D3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Explicit specification of assessment methods for individual courses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BCB02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43B6BC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2.4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0.264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3AA82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2.87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0.259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FD6002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9E75B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</w:tr>
      <w:tr w14:paraId="28EF2C6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405B0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645BE3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2.1.2.2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54063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DD2A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964586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Availability of explicit course assessment standards, including standards for practical assessment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A2A92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163E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E7229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FD444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717B8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F11</w:t>
            </w:r>
          </w:p>
        </w:tc>
      </w:tr>
      <w:tr w14:paraId="77D6007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86D8E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73BC7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2.2.1.1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49313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C637F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F956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Number of institution types represented among external practice-placement sites, with at least three types such as hospitals, health management organisations, elder-care institutions, insurers, or internet health platforms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ECB7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171430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C43A0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74BDB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7B1BB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F12</w:t>
            </w:r>
          </w:p>
        </w:tc>
      </w:tr>
      <w:tr w14:paraId="6E4D726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50B77B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2FBA50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2.2.1.2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73537F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AD5F2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74628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Whether the duration of the concentrated practice placement met the minimum number of weeks specified in the programme plan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896F1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9F11B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2.4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0.211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0D606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2.8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3CB7E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BB898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</w:tr>
      <w:tr w14:paraId="36C7F48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1CB1E9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AD367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2.2.1.3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C069B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F062BA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91397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Provision of structured practice-placement manuals and task lists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AB3160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B6BC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0.094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775DB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A74EB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DB5294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F13</w:t>
            </w:r>
          </w:p>
        </w:tc>
      </w:tr>
      <w:tr w14:paraId="03E5D517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67691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B345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2.2.2.1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52F0C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9B4F8C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69F1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Explicit specification of practice-placement assessment methods and scoring criteria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16F409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9EA5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C8B16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0.123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4030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5B01E0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F14</w:t>
            </w:r>
          </w:p>
        </w:tc>
      </w:tr>
      <w:tr w14:paraId="1F8592B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43EC5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1C636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2.2.2.2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BA2BE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423402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A65EA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Incorporation of formal evaluations by placement supervisors into final grades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C21922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50DC4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DC5B4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0.204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420D6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B77576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F15</w:t>
            </w:r>
          </w:p>
        </w:tc>
      </w:tr>
      <w:tr w14:paraId="31A7C18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80703E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35BF2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2.3.1.1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E2FE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6F80E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19D68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Provision of career-planning and employment-guidance courses or activities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A77D2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22F2E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73980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0648B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812E5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F16</w:t>
            </w:r>
          </w:p>
        </w:tc>
      </w:tr>
      <w:tr w14:paraId="46A0049F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68BF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008808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2.3.1.2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E1FF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15E92A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AFA52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students taking the health manager vocational qualification examination while enrolled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64EF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5DACE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1E35D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C55FD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AA1F3B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Removed</w:t>
            </w:r>
          </w:p>
        </w:tc>
      </w:tr>
      <w:tr w14:paraId="4EFA4E31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D1AA8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53D5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2.3.1.3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DC5CC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9CD9D1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A8402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Regular employer-led campus activities or industry-mentor lectures, at least twice per semester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C374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D810BD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C807F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D132FA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F8E8F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F17</w:t>
            </w:r>
          </w:p>
        </w:tc>
      </w:tr>
      <w:tr w14:paraId="1C0AD608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50132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B73A7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2.3.2.1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82311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47F2B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F52DA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Development of mechanisms for monitoring academic progress and providing early warnings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E3486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5FA52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58A9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39D8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D46DBE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F18</w:t>
            </w:r>
          </w:p>
        </w:tc>
      </w:tr>
      <w:tr w14:paraId="0B8FF16F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A194A6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91DB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2.3.2.2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08F1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639A23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C3ECF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Implementation of an undergraduate academic mentoring system with a defined maximum number of students per mentor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1DC6B8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A61834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351056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BAABD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ED27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F19</w:t>
            </w:r>
          </w:p>
        </w:tc>
      </w:tr>
      <w:tr w14:paraId="3ADA5637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FBF09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B33916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3.1.1.1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C816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BE17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FFCE9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Graduation rate, defined as the proportion of the entering cohort completing the programme and receiving a graduation certificate on time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D1679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282206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945C4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57FE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Merged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3E05C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F20</w:t>
            </w:r>
          </w:p>
        </w:tc>
      </w:tr>
      <w:tr w14:paraId="769DE0B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5EF106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6C1E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3.1.1.2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84A1E7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CE8197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99F1D6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Degree-award rate, defined as the proportion of the entering cohort receiving a bachelor's degree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3664B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79A1E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7A6902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0.237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A94F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Merged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AD106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F20</w:t>
            </w:r>
          </w:p>
        </w:tc>
      </w:tr>
      <w:tr w14:paraId="50FC752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0DC90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A6C1F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3.1.2.1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5910B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7FB3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3D9418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Rate of obtaining the health manager vocational qualification certificate before graduation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9E3455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0.085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2802F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B4A56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1FE29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CB80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F21</w:t>
            </w:r>
          </w:p>
        </w:tc>
      </w:tr>
      <w:tr w14:paraId="47B059E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2345C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AE43B2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3.1.2.2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0247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A1502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AA5EE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graduation theses or projects addressing practical Health Services and Management problems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9662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40972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26386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87AC1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AD501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F22</w:t>
            </w:r>
          </w:p>
        </w:tc>
      </w:tr>
      <w:tr w14:paraId="62156D6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BB4B0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B4568F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3.2.1.1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15FBF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861F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47527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Employment rate within six months of graduation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36872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B2B4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4270C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DFCF28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7436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F23</w:t>
            </w:r>
          </w:p>
        </w:tc>
      </w:tr>
      <w:tr w14:paraId="456FEE4E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6CD4A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0721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3.2.1.2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59F78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F7EFB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BF6F1B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graduates signing a formal employment contract within six months of graduation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EDDF5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B52865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0.123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77A45C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AE34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3473F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F24</w:t>
            </w:r>
          </w:p>
        </w:tc>
      </w:tr>
      <w:tr w14:paraId="0883295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86C84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92D05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3.2.2.1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456368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E864B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0A52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Professionally relevant employment rate among employed graduates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AD6B99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0BFD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ECADE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AAF1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8431E4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F25</w:t>
            </w:r>
          </w:p>
        </w:tc>
      </w:tr>
      <w:tr w14:paraId="69C88F91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C3B3B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96ACD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3.2.2.2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44510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8F9493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95F07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Diversity of employment settings, measured as the proportion of graduates employed in health-industry organisations outside medical institutions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91FB4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954E4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0.217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A9621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6FA37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04554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F26</w:t>
            </w:r>
          </w:p>
        </w:tc>
      </w:tr>
      <w:tr w14:paraId="1EB21C4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742B9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14752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4.1.1.1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5D09A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B4C7B9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Training Goal Alignment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861AB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Coverage of major employer job requirements by the core competencies specified in programme objectives, quantified through content analysis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8F57B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487EB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22CAE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72CE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224EC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F27</w:t>
            </w:r>
          </w:p>
        </w:tc>
      </w:tr>
      <w:tr w14:paraId="11CE9F8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AC1DC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65893A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4.1.1.2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B6290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DB37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Training Goal Alignment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0E9A6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Alignment between programme knowledge modules and the knowledge units specified in the health manager vocational qualification standard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355C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BB0B53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B9DB2A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0.225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A2B2E0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Revised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5D2DB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F28</w:t>
            </w:r>
          </w:p>
        </w:tc>
      </w:tr>
      <w:tr w14:paraId="3EE64BAE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D6FC7F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20230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4.2.1.1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30D15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3E25D2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A4B5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Difference between graduates’ mean self-assessed core competency score and employers’ mean expected score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065E9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0.099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03A24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D9481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0.099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D7479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2D4D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F29</w:t>
            </w:r>
          </w:p>
        </w:tc>
      </w:tr>
      <w:tr w14:paraId="5D0B0D5F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9F4E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EE030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4.2.1.2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C03E8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29FCF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88E0E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Employers’ overall satisfaction rating for recent graduates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9B35F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F3DB5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02CE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08F49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C5C2E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F30</w:t>
            </w:r>
          </w:p>
        </w:tc>
      </w:tr>
      <w:tr w14:paraId="3B15E7C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F7CEE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035E75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4.2.2.1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315CED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57000C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71A1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Employer reassessment of graduates’ actual workplace competency one year after employment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311C9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B9DD69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7A4A7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0.176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1A7FF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2AC436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F31</w:t>
            </w:r>
          </w:p>
        </w:tc>
      </w:tr>
      <w:tr w14:paraId="425722F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D2F11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73C5C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4.3.1.1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B7AA1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123957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Career Stability</w:t>
            </w:r>
          </w:p>
        </w:tc>
        <w:tc>
          <w:tcPr>
            <w:tcW w:w="523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DC233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graduates remaining in Health Services and Management-related positions during the first three years of employment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8ECFF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C5522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0.086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80%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7306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4F6965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0B8090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F32</w:t>
            </w:r>
          </w:p>
        </w:tc>
      </w:tr>
      <w:tr w14:paraId="7CD9617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single" w:color="4874CB" w:themeColor="accent1" w:sz="8" w:space="0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CBB8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40</w:t>
            </w:r>
          </w:p>
        </w:tc>
        <w:tc>
          <w:tcPr>
            <w:tcW w:w="791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390BC2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4.3.1.2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5BF02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75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4CB8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D3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Career Stability</w:t>
            </w:r>
          </w:p>
        </w:tc>
        <w:tc>
          <w:tcPr>
            <w:tcW w:w="5231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CB333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Proportion of graduates receiving promotion or obtaining relevant professional certification within the first three years of employment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15E99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571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D7FB9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0.189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58699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M 3.67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CV 0.168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4874CB" w:themeColor="accent1" w:sz="8" w:space="0"/>
              <w:right w:val="nil"/>
            </w:tcBorders>
            <w:shd w:val="clear" w:color="auto" w:fill="EDF1F9" w:themeFill="accent1" w:themeFillTint="19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8D0C6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Retained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4874CB" w:themeColor="accent1" w:sz="8" w:space="0"/>
              <w:right w:val="single" w:color="4874CB" w:themeColor="accent1" w:sz="8" w:space="0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979FB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kern w:val="0"/>
                <w:sz w:val="13"/>
                <w:szCs w:val="22"/>
                <w:lang w:eastAsia="en-US"/>
              </w:rPr>
              <w:t>F33</w:t>
            </w:r>
          </w:p>
        </w:tc>
      </w:tr>
    </w:tbl>
    <w:p w14:paraId="589AF008">
      <w:pPr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eastAsia="Times New Roman" w:cs="Times New Roman"/>
          <w:kern w:val="0"/>
          <w:sz w:val="16"/>
          <w:szCs w:val="22"/>
          <w:lang w:eastAsia="en-US"/>
        </w:rPr>
      </w:pPr>
      <w:r>
        <w:rPr>
          <w:rFonts w:hint="default" w:ascii="Times New Roman" w:hAnsi="Times New Roman" w:eastAsia="Times New Roman" w:cs="Times New Roman"/>
          <w:b/>
          <w:i w:val="0"/>
          <w:kern w:val="0"/>
          <w:sz w:val="18"/>
          <w:szCs w:val="22"/>
          <w:lang w:eastAsia="en-US"/>
        </w:rPr>
        <w:t>Table S1b  Round 2 ratings, composite scores, and final status for 33 indicators</w:t>
      </w:r>
    </w:p>
    <w:tbl>
      <w:tblPr>
        <w:tblStyle w:val="2"/>
        <w:tblW w:w="15797" w:type="dxa"/>
        <w:jc w:val="center"/>
        <w:tblBorders>
          <w:top w:val="single" w:color="B7B7B7" w:sz="4" w:space="0"/>
          <w:left w:val="single" w:color="B7B7B7" w:sz="4" w:space="0"/>
          <w:bottom w:val="single" w:color="B7B7B7" w:sz="4" w:space="0"/>
          <w:right w:val="single" w:color="B7B7B7" w:sz="4" w:space="0"/>
          <w:insideH w:val="single" w:color="B7B7B7" w:sz="4" w:space="0"/>
          <w:insideV w:val="single" w:color="B7B7B7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"/>
        <w:gridCol w:w="1029"/>
        <w:gridCol w:w="1131"/>
        <w:gridCol w:w="1918"/>
        <w:gridCol w:w="5807"/>
        <w:gridCol w:w="801"/>
        <w:gridCol w:w="1585"/>
        <w:gridCol w:w="706"/>
        <w:gridCol w:w="1376"/>
        <w:gridCol w:w="1152"/>
      </w:tblGrid>
      <w:tr w14:paraId="2024E7A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699E9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No.</w:t>
            </w:r>
          </w:p>
        </w:tc>
        <w:tc>
          <w:tcPr>
            <w:tcW w:w="102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A63EC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Final code</w:t>
            </w:r>
          </w:p>
        </w:tc>
        <w:tc>
          <w:tcPr>
            <w:tcW w:w="113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775D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Domain</w:t>
            </w:r>
          </w:p>
        </w:tc>
        <w:tc>
          <w:tcPr>
            <w:tcW w:w="191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28CFD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Dimension</w:t>
            </w:r>
          </w:p>
        </w:tc>
        <w:tc>
          <w:tcPr>
            <w:tcW w:w="580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E815C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Final indicator wording</w:t>
            </w:r>
          </w:p>
        </w:tc>
        <w:tc>
          <w:tcPr>
            <w:tcW w:w="80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A329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Importance</w:t>
            </w:r>
          </w:p>
        </w:tc>
        <w:tc>
          <w:tcPr>
            <w:tcW w:w="15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BF67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Scientific soundness</w:t>
            </w:r>
          </w:p>
        </w:tc>
        <w:tc>
          <w:tcPr>
            <w:tcW w:w="7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FF3BE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Feasibility</w:t>
            </w:r>
          </w:p>
        </w:tc>
        <w:tc>
          <w:tcPr>
            <w:tcW w:w="13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0BB7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Composite score Cᵢ</w:t>
            </w:r>
          </w:p>
        </w:tc>
        <w:tc>
          <w:tcPr>
            <w:tcW w:w="1152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0EFE8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i w:val="0"/>
                <w:kern w:val="0"/>
                <w:sz w:val="13"/>
                <w:szCs w:val="22"/>
                <w:lang w:eastAsia="en-US"/>
              </w:rPr>
              <w:t>Final status</w:t>
            </w:r>
          </w:p>
        </w:tc>
      </w:tr>
      <w:tr w14:paraId="7E698A51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7B870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00671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F01</w:t>
            </w: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E05F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B878DD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8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BFB524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dual-qualified teachers holding both a clinical or industry practitioner licence and a teaching qualification</w:t>
            </w:r>
          </w:p>
        </w:tc>
        <w:tc>
          <w:tcPr>
            <w:tcW w:w="8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FC102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158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0CBCE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546D5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3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5D736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4.311</w:t>
            </w:r>
          </w:p>
        </w:tc>
        <w:tc>
          <w:tcPr>
            <w:tcW w:w="11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A75B1D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06ED232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A3A83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94136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1B20C3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C1EAB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9906B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teachers with practical experience in health-related industries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5239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4AE889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6682F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67491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EDD358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FE07AD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BC14B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56F20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D848D8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69D2F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E7B65E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teachers holding senior professional titles at associate professor level or above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905633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A934E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4B044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CC43A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E3322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CAF674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8895A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283D50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EFE21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DBAFF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A5A2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teachers who led teaching-research, scientific research, or industry-collaboration projects during the previous three years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8D78D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2402A1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0A353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E1967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3.778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EAA4A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35281A58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0D3E90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0756A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BA5E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623D7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Faculty Resources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5B33E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teachers who participated in university–industry collaboration projects or commissioned projects during the previous three years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9C9A5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49DAE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B57CF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DB5FD6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4.156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65661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2494A5B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B9639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7222C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7AD53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EC636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Student Intake Quality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EFFDF2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First-choice admission rate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F4A52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ADC78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461396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7CF57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5CC0F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32553C3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BA90F6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9452C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CACF5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C7C14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Student Intake Quality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9C88E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students with prior health-service, volunteer, or social-practice experience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BCE44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34620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D7EE7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01330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E9B23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73AF083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A9C80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D37CB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805955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526B2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FEBF0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Coverage of core courses and interdisciplinary modules in medical foundations, management, information technology, policy, and regulation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6C43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AAE82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8D6510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9362F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899DC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0BEBD47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A02CA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A45D6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F09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A9F00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43D4A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2CEA1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total credits allocated to practice-oriented courses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ADA13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0.204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A795A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B1A2C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0.245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3F63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3.889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78E4B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Reviewed and retained</w:t>
            </w:r>
          </w:p>
        </w:tc>
      </w:tr>
      <w:tr w14:paraId="6727EA90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465F01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C3632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9F1FB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FD048A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60228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Substantive employer participation in programme curriculum revision during the previous three years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142C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133E2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0D36C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70E8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45282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0FDF50B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DED305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AD43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39913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6DFF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Curriculum System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4FC2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Alignment between course assessment standards and occupational competency requirements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39920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B7B49D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433AD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A5A143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4.444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ABEC94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2C90D820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59247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7FE45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55E7B9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0B3F1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6A89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Number of institution types represented among external practice-placement sites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BAD4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89599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3213E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C6A8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76BAA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087275A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7DB79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B8CCF5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653E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954B2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0C60B0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Coverage of structured practice-placement manuals and task lists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8AE1BA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156A60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37589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0.203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7CA9B6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4.378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A9B92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4E0A2588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FF26B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453B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D9EA3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E8E401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19A3C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Inclusion of workplace competency assessment in practice-placement evaluation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CE484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73.3%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DB98B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BB3C7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CAC583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4.422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DF7A76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794F6801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631C0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174E22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1C88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7CF40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Practice Teaching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E1DC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Incorporation of formal evaluations by placement supervisors into final grades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2FCB9A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6F62A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3B9E9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183A2D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4.356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3869D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50BF910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133536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21C2F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46856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91767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3157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Coverage of career-development guidance and occupational-awareness education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68980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0.110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62CC4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DA6F33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0.189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86641D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9A53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55E56E49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6C53D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BA0AC1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50AFA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F632F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0A8E6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Provision of employer-led campus activities or industry-mentor lectures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89179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12FCE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CF83E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2ED1A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6740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45C2F57C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EA5D93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74B62A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1236F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35F7D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5BB3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Development of mechanisms for monitoring academic progress and providing early warnings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5F364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0.188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AED94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F4B6CA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268D8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90D1C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Reviewed and retained</w:t>
            </w:r>
          </w:p>
        </w:tc>
      </w:tr>
      <w:tr w14:paraId="1D4F513D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E3ABDA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90EFA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F19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B69D8C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Process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854AD3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B3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Vocational Competency Development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4E76B5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Implementation of an undergraduate academic mentoring system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E1D6FD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0.094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A7DE5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53.3%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BF2D35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588FC5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4.133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91E87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91649B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A5EB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46D4E5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62A523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251A3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F720E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Graduation and degree-award outcomes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18E237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08BCA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D16F9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4.67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AD991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45EFB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34D4EC8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7638B2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8D666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D75876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F345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3B21C4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Rate of obtaining occupational competency certificates or relevant skills credentials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341911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F5D3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0.205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D9B1C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57424E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3.844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E4ABBF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A41A1C7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F93EF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FB69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D795C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11EA8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Academic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D195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graduation theses or projects addressing practical Health Services and Management problems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E0182E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2C5934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0.202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305B2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8F21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A9A78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6D7D238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4D46A6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32E8B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430AFB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1ED40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8D86A1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Employment rate within six months of graduation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403B58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BD562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CE2CE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0.125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98C36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EE1DF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6D3B6AD3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552641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6E2C9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22509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5ACC1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5EECE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Quality of employment within six months of graduation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6EA36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9450C9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15D18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7C0E9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B60D1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B9A797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CCCCFA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667870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271178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BA8AB7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B0C5C0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Professionally relevant employment rate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0C39C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A1B92A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FB3F6F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244FC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9B8E16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4BDE342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6C0C0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3B88D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6223E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Output Quality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097DF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Employment Outcomes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321FC3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Diversity of employment across health-industry roles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D5B4B8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DA6565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598FE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E5B291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4.200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9A75DC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60896ACB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5E1A09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794906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A70E0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6B2C9D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Training Goal Alignment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E6B3D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Coverage of major employer job requirements by the core competencies specified in programme objectives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0388A1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0.196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68F477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0.179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C93E6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0.217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4A614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43778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15E3AFAA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8C5A61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B9DC1F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D81B94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C8B9AA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Training Goal Alignment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E3D49A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Alignment between curriculum knowledge modules and occupational competency requirements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28B644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F46149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3575E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4.13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0.155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903B8A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4.156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0B6743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54BD0B1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995635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F559DA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F29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BF9BC6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85E3B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18D2B1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Difference between graduates’ self-assessed core competencies and employer expectations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181005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3.93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0.151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F93A49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047E3F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0.196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33.3%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2AB5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4.156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5A9993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Reviewed and retained</w:t>
            </w:r>
          </w:p>
        </w:tc>
      </w:tr>
      <w:tr w14:paraId="261D31C4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FD9C1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28F2CA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F30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45DDB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20741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556BF3B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Employer satisfaction with recent graduates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CC8C5B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0E19F1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4.07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DCBB75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7CF1F4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E47F60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5D577562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A2DDF2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431C555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F31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DDD2C0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16F41D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Competency Alignment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5A0AFD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Employer reassessment of graduates’ workplace competency one year after employment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C7673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4.53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D4C4A8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40%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28BAF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0.091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0%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19486B0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4.244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692A54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73E01825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632C732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A7DCD60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F32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4B7DC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8189AE8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Career Stability</w:t>
            </w: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20A3C8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graduates remaining in Health Services and Management-related positions during the first three years of employment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77778AF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0.099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20%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39D9A5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0.148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6.7%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F43AAD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4.2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0.133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26.7%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60B66F7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4.067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3D5D18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  <w:tr w14:paraId="25C56CC6">
        <w:tblPrEx>
          <w:tblBorders>
            <w:top w:val="single" w:color="B7B7B7" w:sz="4" w:space="0"/>
            <w:left w:val="single" w:color="B7B7B7" w:sz="4" w:space="0"/>
            <w:bottom w:val="single" w:color="B7B7B7" w:sz="4" w:space="0"/>
            <w:right w:val="single" w:color="B7B7B7" w:sz="4" w:space="0"/>
            <w:insideH w:val="single" w:color="B7B7B7" w:sz="4" w:space="0"/>
            <w:insideV w:val="single" w:color="B7B7B7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3C424E6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33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02354D9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F33</w:t>
            </w:r>
          </w:p>
        </w:tc>
        <w:tc>
          <w:tcPr>
            <w:tcW w:w="113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88541C4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Demand–Supply Fit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EFE23E5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D3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Career Stability</w:t>
            </w:r>
          </w:p>
        </w:tc>
        <w:tc>
          <w:tcPr>
            <w:tcW w:w="580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69404FFA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Proportion of graduates receiving promotion or relevant professional certification within the first three years of employment</w:t>
            </w:r>
          </w:p>
        </w:tc>
        <w:tc>
          <w:tcPr>
            <w:tcW w:w="8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376AC7C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0.116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15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3264C6A1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4.4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0.144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46.7%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5C94AC93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M 3.87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CV 0.166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br w:type="textWrapping"/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FSR 13.3%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289F510D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4.244</w:t>
            </w:r>
          </w:p>
        </w:tc>
        <w:tc>
          <w:tcPr>
            <w:tcW w:w="11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E5144E">
            <w:pPr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13"/>
                <w:szCs w:val="22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kern w:val="0"/>
                <w:sz w:val="13"/>
                <w:szCs w:val="22"/>
                <w:lang w:eastAsia="en-US"/>
              </w:rPr>
              <w:t>Retained</w:t>
            </w:r>
          </w:p>
        </w:tc>
      </w:tr>
    </w:tbl>
    <w:p w14:paraId="2ACB94D5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eastAsia="Times New Roman" w:cs="Times New Roman"/>
          <w:kern w:val="0"/>
          <w:sz w:val="16"/>
          <w:szCs w:val="22"/>
          <w:lang w:eastAsia="en-US"/>
        </w:rPr>
      </w:pPr>
      <w:r>
        <w:rPr>
          <w:rFonts w:hint="default" w:ascii="Times New Roman" w:hAnsi="Times New Roman" w:eastAsia="Times New Roman" w:cs="Times New Roman"/>
          <w:b w:val="0"/>
          <w:i/>
          <w:kern w:val="0"/>
          <w:sz w:val="15"/>
          <w:szCs w:val="22"/>
          <w:lang w:eastAsia="en-US"/>
        </w:rPr>
        <w:t>Note. “Reviewed and retained” indicates that the indicator was retained after explicit review of its quantitative ratings, written comments, and conceptual contribution to the final framework. All 33 Round 2 indicators were included in the final framework. Third-level weights and rankings are reported in the main manuscript.</w:t>
      </w:r>
    </w:p>
    <w:p w14:paraId="1E6643BC"/>
    <w:sectPr>
      <w:pgSz w:w="16838" w:h="11906" w:orient="landscape"/>
      <w:pgMar w:top="567" w:right="567" w:bottom="567" w:left="567" w:header="288" w:footer="28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1006F1"/>
    <w:rsid w:val="00B22BA0"/>
    <w:rsid w:val="44DB3186"/>
    <w:rsid w:val="631006F1"/>
    <w:rsid w:val="7498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1860</Words>
  <Characters>9199</Characters>
  <Lines>0</Lines>
  <Paragraphs>0</Paragraphs>
  <TotalTime>0</TotalTime>
  <ScaleCrop>false</ScaleCrop>
  <LinksUpToDate>false</LinksUpToDate>
  <CharactersWithSpaces>10299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2026-07-19T09:27:00Z</dcterms:created>
  <dc:creator>JIN TIAN也是大可爱啊</dc:creator>
  <cp:lastModifiedBy>JIN TIAN也是大可爱啊</cp:lastModifiedBy>
  <dcterms:modified xsi:type="dcterms:W3CDTF">2026-07-21T15:26:09Z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548A499FBE254332BFF8DB2D92A1D411_13</vt:lpwstr>
  </property>
  <property fmtid="{D5CDD505-2E9C-101B-9397-08002B2CF9AE}" pid="4" name="KSOTemplateDocerSaveRecord">
    <vt:lpwstr>eyJoZGlkIjoiMDYwMDY5NmFhMjJiOTgyODI1Nzg0MTU0NDY1NDdhNzMiLCJ1c2VySWQiOiIzMTgyOTY4NDIifQ==</vt:lpwstr>
  </property>
</Properties>
</file>