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7F889">
      <w:pPr>
        <w:spacing w:after="80"/>
        <w:jc w:val="left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32"/>
        </w:rPr>
        <w:t>CONSORT 2025 Checklist</w:t>
      </w:r>
    </w:p>
    <w:p w14:paraId="18F99C90">
      <w:pPr>
        <w:spacing w:after="160"/>
      </w:pPr>
    </w:p>
    <w:tbl>
      <w:tblPr>
        <w:tblStyle w:val="32"/>
        <w:tblW w:w="96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09"/>
        <w:gridCol w:w="2409"/>
        <w:gridCol w:w="2409"/>
      </w:tblGrid>
      <w:tr w14:paraId="7D0A9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587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D5C53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1"/>
              </w:rPr>
              <w:t>Section/Topic</w:t>
            </w:r>
          </w:p>
        </w:tc>
        <w:tc>
          <w:tcPr>
            <w:tcW w:w="793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EE211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1"/>
              </w:rPr>
              <w:t>Item No.</w:t>
            </w:r>
          </w:p>
        </w:tc>
        <w:tc>
          <w:tcPr>
            <w:tcW w:w="4536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631EC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1"/>
              </w:rPr>
              <w:t>Checklist item</w:t>
            </w:r>
          </w:p>
        </w:tc>
        <w:tc>
          <w:tcPr>
            <w:tcW w:w="2721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E419B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1"/>
              </w:rPr>
              <w:t>Reported on page No.</w:t>
            </w:r>
          </w:p>
        </w:tc>
      </w:tr>
      <w:tr w14:paraId="10AB5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AB154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Title and abstract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1BCD5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CE5B9F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Identification as a randomised trial.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510BC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Title, p. 1</w:t>
            </w:r>
          </w:p>
        </w:tc>
      </w:tr>
      <w:tr w14:paraId="5963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A3822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Title and abstract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8C6F2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7D915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Structured summary of the trial design, methods, results and conclusions.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165CF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Abstract, pp. 1-2</w:t>
            </w:r>
          </w:p>
        </w:tc>
      </w:tr>
      <w:tr w14:paraId="248BB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B4015B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Open science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BDEC4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4672B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Name of trial registry, identifying number and date of registration.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DB4F8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Abstract, p. 2; Methods, p. 3; Declarations, p. 16</w:t>
            </w:r>
          </w:p>
        </w:tc>
      </w:tr>
      <w:tr w14:paraId="21D0E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7D481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Open science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6DF87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3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4ACB26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Where the trial protocol and statistical analysis plan can be accessed.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ECB19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reported in the manuscript; registry details are provided in Methods, p. 3, and Declarations, p. 16.</w:t>
            </w:r>
          </w:p>
        </w:tc>
      </w:tr>
      <w:tr w14:paraId="27589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6B275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Open science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FF388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53024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Where and how individual deidentified participant data, statistical code and other materials can be accessed.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4AD03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Availability of data and materials, p. 17 (de-identified data are available on reasonable request; statistical code and other materials are not specified).</w:t>
            </w:r>
          </w:p>
        </w:tc>
      </w:tr>
      <w:tr w14:paraId="54A93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3DE531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Funding and conflicts of interest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4CBC7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5a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36DDC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Sources of funding and other support, and role of funders.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E43A5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Funding, p. 17</w:t>
            </w:r>
          </w:p>
        </w:tc>
      </w:tr>
      <w:tr w14:paraId="456B2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54953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Funding and conflicts of interest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3B488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5b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4A6E8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Financial and other conflicts of interest of the manuscript authors.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4E94E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Competing interests, p. 17</w:t>
            </w:r>
          </w:p>
        </w:tc>
      </w:tr>
      <w:tr w14:paraId="7970A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CF70F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Introduction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3DA0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6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9566C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Scientific background and rationale.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23413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Background, pp. 2-3</w:t>
            </w:r>
          </w:p>
        </w:tc>
      </w:tr>
      <w:tr w14:paraId="52257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30D6E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Objectives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F5537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7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EE05B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Specific objectives related to benefits and harms.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8E4A1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Background, p. 3; Outcome measures and changes from trial registration, pp. 6-7</w:t>
            </w:r>
          </w:p>
        </w:tc>
      </w:tr>
      <w:tr w14:paraId="517FE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E995F1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C2D58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8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FC55EF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Details of patient or public involvement in the design, conduct and reporting of the trial.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176D1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reported in the manuscript.</w:t>
            </w:r>
          </w:p>
        </w:tc>
      </w:tr>
      <w:tr w14:paraId="3F69D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5E36C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6A620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9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BF6179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Description of trial design, including type of trial, allocation ratio and framework.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3952A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Study design and ethics approval, p. 3; Randomization and blinding, p. 4</w:t>
            </w:r>
          </w:p>
        </w:tc>
      </w:tr>
      <w:tr w14:paraId="21DF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0B007B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C6B69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10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34401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Important changes to the trial after it commenced, including non-prespecified outcomes or analyses, with reasons.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C1C08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Outcome measures and changes from trial registration, pp. 6-7; Statistical analysis, pp. 7-8; Strengths and limitations, p. 15</w:t>
            </w:r>
          </w:p>
        </w:tc>
      </w:tr>
      <w:tr w14:paraId="34560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2124D4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3FBB3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11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8940C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Settings and locations where the trial was conducted.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6214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Study design and ethics approval, p. 3</w:t>
            </w:r>
          </w:p>
        </w:tc>
      </w:tr>
      <w:tr w14:paraId="60982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8DC7F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C54F0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12a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859D26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Eligibility criteria for participants.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26270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Participants, pp. 3-4</w:t>
            </w:r>
          </w:p>
        </w:tc>
      </w:tr>
      <w:tr w14:paraId="4D075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D8ED9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536F6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12b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9AC9F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Eligibility criteria for sites and for individuals delivering interventions, if applicable.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1BE41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Single-centre setting, p. 3; intervention provider and roles, pp. 4-5. Formal eligibility criteria for intervention providers are not reported.</w:t>
            </w:r>
          </w:p>
        </w:tc>
      </w:tr>
      <w:tr w14:paraId="4A6E3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0903DB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EAED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13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55EE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Intervention and comparator with sufficient details to allow replication.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E09F5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Interventions and perioperative management, pp. 5-6; Table 1, p. 21</w:t>
            </w:r>
          </w:p>
        </w:tc>
      </w:tr>
      <w:tr w14:paraId="29183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C78F6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C5B84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14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3507E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Prespecified primary and secondary outcomes, including measurement variable, analysis metric, aggregation method and time point.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789F9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Outcome measures and changes from trial registration, pp. 6-7; Statistical analysis, pp. 7-8</w:t>
            </w:r>
          </w:p>
        </w:tc>
      </w:tr>
      <w:tr w14:paraId="68F9F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FCB95E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21308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15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E107E1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How harms were defined and assessed.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BFB5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Safety surveillance, p. 7; Safety outcomes, p. 13</w:t>
            </w:r>
          </w:p>
        </w:tc>
      </w:tr>
      <w:tr w14:paraId="3C465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5D1F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1783D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16a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B9AD86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How sample size was determined, including assumptions supporting the calculation.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22190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Statistical analysis, p. 8</w:t>
            </w:r>
          </w:p>
        </w:tc>
      </w:tr>
      <w:tr w14:paraId="234AC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0A6FC6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0135A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16b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E9546A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Explanation of any interim analyses and stopping guidelines.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AF39C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reported; no interim analysis or stopping guideline is described.</w:t>
            </w:r>
          </w:p>
        </w:tc>
      </w:tr>
      <w:tr w14:paraId="40699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3BFC4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Randomisation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104C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17a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331FA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Who generated the random allocation sequence and the method used.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1F982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4; the sequence-generation method is reported, but the person responsible is not identified.</w:t>
            </w:r>
          </w:p>
        </w:tc>
      </w:tr>
      <w:tr w14:paraId="2E76B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4D1789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Randomisation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4CFAF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17b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021B8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Type of randomisation and details of any restriction.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764AF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</w:t>
            </w:r>
          </w:p>
        </w:tc>
      </w:tr>
      <w:tr w14:paraId="16A6B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04A57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Randomisation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80DA8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18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DB483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Allocation concealment mechanism and steps to conceal the sequence until assignment.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ABD16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4; sequential allocation and coded-syringe procedures are described, but the pre-assignment concealment mechanism is not fully specified.</w:t>
            </w:r>
          </w:p>
        </w:tc>
      </w:tr>
      <w:tr w14:paraId="5DBC2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6BA7F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Randomisation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631DF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19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AFC20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Whether personnel enrolling and assigning participants had access to the random allocation sequence.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1F7F2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4; access of enrolling or assigning personnel to the allocation sequence is not explicitly reported.</w:t>
            </w:r>
          </w:p>
        </w:tc>
      </w:tr>
      <w:tr w14:paraId="07650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16702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Blinding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3B0B7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20a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5EF650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Who was blinded after assignment to interventions.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7034B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</w:t>
            </w:r>
          </w:p>
        </w:tc>
      </w:tr>
      <w:tr w14:paraId="5A4B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7A3EC0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Blinding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1A39F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20b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6929A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If blinded, how blinding was achieved and description of intervention similarity.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0646E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Randomization and blinding, p. 4</w:t>
            </w:r>
          </w:p>
        </w:tc>
      </w:tr>
      <w:tr w14:paraId="067BE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4080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Statistical 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9014A7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21a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2AE02B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Statistical methods used to compare groups for primary and secondary outcomes, including harms.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813C5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Statistical analysis, pp. 7-9</w:t>
            </w:r>
          </w:p>
        </w:tc>
      </w:tr>
      <w:tr w14:paraId="64CB4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4F496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Statistical 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0455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21b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6DC77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Definition of who is included in each analysis and in which group.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2CEA7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Statistical analysis, p. 7</w:t>
            </w:r>
          </w:p>
        </w:tc>
      </w:tr>
      <w:tr w14:paraId="69888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3E4B4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Statistical 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9CB90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21c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624F3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How missing data were handled in the analysis.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380CA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Statistical analysis, p. 7; Results, p. 9 (all 147 participants completed follow-up, with no missing outcome data).</w:t>
            </w:r>
          </w:p>
        </w:tc>
      </w:tr>
      <w:tr w14:paraId="4E3E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26B4F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Statistical methods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2222F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21d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6ECA91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Methods for additional analyses, distinguishing prespecified from post hoc.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D338D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Statistical analysis, pp. 7-8; no subgroup or sensitivity analyses are reported.</w:t>
            </w:r>
          </w:p>
        </w:tc>
      </w:tr>
      <w:tr w14:paraId="3609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71C584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7362E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22a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9D2F49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For each group, numbers randomly assigned, receiving intended intervention and analysed for the primary outcome.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65C6C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Participant flow and baseline characteristics, pp. 9-10; Figure 1, p. 10</w:t>
            </w:r>
          </w:p>
        </w:tc>
      </w:tr>
      <w:tr w14:paraId="0767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7C27F6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17E24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22b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EAF2FD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For each group, losses and exclusions after randomisation, with reasons.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4CF7A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Participant flow and baseline characteristics, pp. 9-10; Figure 1, p. 10</w:t>
            </w:r>
          </w:p>
        </w:tc>
      </w:tr>
      <w:tr w14:paraId="3E9AA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0990B9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8B326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23a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50C43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Dates defining recruitment and follow-up periods for benefit and harm outcomes.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A12DF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Study design and ethics approval, p. 3; Participant flow and baseline characteristics, p. 9 (screening May 30-December 31, 2025; 72-h follow-up).</w:t>
            </w:r>
          </w:p>
        </w:tc>
      </w:tr>
      <w:tr w14:paraId="630B1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A25C5C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5661D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23b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71AFC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If relevant, why the trial ended or was stopped.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B0A0B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applicable; the trial completed the planned enrollment of 147 participants (Results, p. 9).</w:t>
            </w:r>
          </w:p>
        </w:tc>
      </w:tr>
      <w:tr w14:paraId="49079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A616E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881D2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24a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5E41CF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Intervention and comparator as actually administered.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075DB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Participant flow and baseline characteristics, p. 9; Table 1, p. 21</w:t>
            </w:r>
          </w:p>
        </w:tc>
      </w:tr>
      <w:tr w14:paraId="33602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259AB2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7274E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24b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C5CD0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Concomitant care received during the trial for each group.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6A09F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Interventions and perioperative management, pp. 5-6</w:t>
            </w:r>
          </w:p>
        </w:tc>
      </w:tr>
      <w:tr w14:paraId="421CE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8074B3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45FDC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25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04FFD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Baseline demographic and clinical characteristics for each group.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15C80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Table 2, p. 21</w:t>
            </w:r>
          </w:p>
        </w:tc>
      </w:tr>
      <w:tr w14:paraId="4C389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47CE2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13F29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26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F9CC34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For each primary and secondary outcome, the number analysed, available data, group results, effect size and precision.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71190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Primary outcome, pp. 10-11; functional motor recovery, pp. 11-12; secondary and safety outcomes, pp. 12-13; Table 3, p. 22</w:t>
            </w:r>
          </w:p>
        </w:tc>
      </w:tr>
      <w:tr w14:paraId="5CF7C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21F690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8DFCD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27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50255A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All harms or unintended events in each group.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9F6A7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Safety outcomes, p. 13; Supplementary Table S5</w:t>
            </w:r>
          </w:p>
        </w:tc>
      </w:tr>
      <w:tr w14:paraId="25D73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394BD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Results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58A14C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28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9C10A8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Any other analyses, including subgroup and sensitivity analyses, distinguishing prespecified from post hoc.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78D49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 subgroup or sensitivity analyses are reported; multiplicity-adjusted pairwise analyses are described in Statistical analysis, pp. 7-8.</w:t>
            </w:r>
          </w:p>
        </w:tc>
      </w:tr>
      <w:tr w14:paraId="626C1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E9DD65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Discussion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F3BAD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29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9161C7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Interpretation consistent with results, balancing benefits and harms, and considering other evidence.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C4C90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Discussion, pp. 13-16; Conclusions, p. 16</w:t>
            </w:r>
          </w:p>
        </w:tc>
      </w:tr>
      <w:tr w14:paraId="379B0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1C321A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Discussion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05190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30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A0F7D9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  <w:szCs w:val="21"/>
              </w:rPr>
              <w:t>Trial limitations addressing bias, imprecision, generalisability and multiplicity of analyses.</w:t>
            </w:r>
          </w:p>
        </w:tc>
        <w:tc>
          <w:tcPr>
            <w:tcW w:w="2409" w:type="dxa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6CFF4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Strengths and limitations, pp. 15-16</w:t>
            </w:r>
          </w:p>
        </w:tc>
      </w:tr>
    </w:tbl>
    <w:p w14:paraId="71A1EA1F">
      <w:pPr>
        <w:spacing w:before="120" w:after="0"/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AE0106"/>
    <w:rsid w:val="7144045F"/>
    <w:rsid w:val="7E27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965</Words>
  <Characters>5812</Characters>
  <Lines>0</Lines>
  <Paragraphs>0</Paragraphs>
  <TotalTime>0</TotalTime>
  <ScaleCrop>false</ScaleCrop>
  <LinksUpToDate>false</LinksUpToDate>
  <CharactersWithSpaces>6604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窦俊杰</dc:creator>
  <dc:description>generated by python-docx</dc:description>
  <cp:lastModifiedBy>窦俊杰</cp:lastModifiedBy>
  <dcterms:modified xsi:type="dcterms:W3CDTF">2026-07-26T07:05:00Z</dcterms:modified>
  <dc:subject>Completed checklist for BMC Anesthesiology submission</dc:subject>
  <dc:title>CONSORT 2025 Checklist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eyJoZGlkIjoiOGQ2OWQ2MDQ2MmQ0OGQ1YzFkMzExNzA1ZWJmYTRmMGIiLCJ1c2VySWQiOiIxNjE5NDI3MTM2In0=</vt:lpwstr>
  </property>
  <property fmtid="{D5CDD505-2E9C-101B-9397-08002B2CF9AE}" pid="3" name="KSOProductBuildVer">
    <vt:lpwstr>2052-12.1.0.26895</vt:lpwstr>
  </property>
  <property fmtid="{D5CDD505-2E9C-101B-9397-08002B2CF9AE}" pid="4" name="ICV">
    <vt:lpwstr>DC22403B26D34D19A8875BD67CDC9DF7_13</vt:lpwstr>
  </property>
</Properties>
</file>