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80" w:lineRule="auto" w:after="0"/>
        <w:jc w:val="center"/>
      </w:pPr>
      <w:r>
        <w:rPr>
          <w:rFonts w:ascii="Times New Roman" w:hAnsi="Times New Roman" w:eastAsia="Times New Roman"/>
          <w:b/>
          <w:i w:val="0"/>
        </w:rPr>
        <w:t>Additional File 2. Sensitivity-analysis figures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72717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_Figure_S1_Time_Window_Forest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7271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480" w:lineRule="auto" w:after="0"/>
      </w:pPr>
      <w:r>
        <w:rPr>
          <w:rFonts w:ascii="Times New Roman" w:hAnsi="Times New Roman" w:eastAsia="Times New Roman"/>
          <w:b/>
          <w:i w:val="0"/>
        </w:rPr>
        <w:t>Supplementary Figure S1. Sensitivity analysis across BPRI time windows.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72506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_Figure_S2_BPRI_Distribution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7250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480" w:lineRule="auto" w:after="0"/>
      </w:pPr>
      <w:r>
        <w:rPr>
          <w:rFonts w:ascii="Times New Roman" w:hAnsi="Times New Roman" w:eastAsia="Times New Roman"/>
          <w:b/>
          <w:i w:val="0"/>
        </w:rPr>
        <w:t>Supplementary Figure S2. BPRI distribution across time windows.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449526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_Figure_S3_Tertile_Effect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44952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480" w:lineRule="auto" w:after="0"/>
      </w:pPr>
      <w:r>
        <w:rPr>
          <w:rFonts w:ascii="Times New Roman" w:hAnsi="Times New Roman" w:eastAsia="Times New Roman"/>
          <w:b/>
          <w:i w:val="0"/>
        </w:rPr>
        <w:t>Supplementary Figure S3. BPRI tertile effect on mortality.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  <w:lnNumType w:countBy="1" w:restart="newPage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PAGE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80" w:lineRule="auto" w:after="0" w:before="0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