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4609" w14:textId="77777777" w:rsidR="00D77049" w:rsidRDefault="00000000">
      <w:pPr>
        <w:spacing w:line="480" w:lineRule="auto"/>
        <w:jc w:val="center"/>
        <w:rPr>
          <w:i/>
          <w:iCs/>
        </w:rPr>
      </w:pPr>
      <w:r>
        <w:rPr>
          <w:b/>
          <w:bCs/>
          <w:sz w:val="28"/>
          <w:szCs w:val="28"/>
        </w:rPr>
        <w:t>Supplementary Table S2. Timeline of Progressive Situational Disclosure and Technical Integration</w:t>
      </w:r>
    </w:p>
    <w:tbl>
      <w:tblPr>
        <w:tblStyle w:val="a4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2752"/>
        <w:gridCol w:w="3228"/>
        <w:gridCol w:w="3206"/>
        <w:gridCol w:w="3090"/>
      </w:tblGrid>
      <w:tr w:rsidR="00D77049" w14:paraId="7EA500D7" w14:textId="77777777">
        <w:tc>
          <w:tcPr>
            <w:tcW w:w="667" w:type="pct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4074C4A0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  <w:r>
              <w:rPr>
                <w:rFonts w:hint="eastAsia"/>
                <w:b/>
                <w:bCs/>
              </w:rPr>
              <w:t xml:space="preserve"> Segment</w:t>
            </w:r>
          </w:p>
        </w:tc>
        <w:tc>
          <w:tcPr>
            <w:tcW w:w="971" w:type="pct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5AA8038B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Narrative Trigger </w:t>
            </w:r>
          </w:p>
          <w:p w14:paraId="7A9CC807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(Case unfolding)</w:t>
            </w:r>
          </w:p>
        </w:tc>
        <w:tc>
          <w:tcPr>
            <w:tcW w:w="1139" w:type="pct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6BB2C142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Clinical Knowledge Point</w:t>
            </w:r>
          </w:p>
        </w:tc>
        <w:tc>
          <w:tcPr>
            <w:tcW w:w="1131" w:type="pct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43ACDF9C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Humanistic &amp; Ethical Dilemma</w:t>
            </w:r>
          </w:p>
        </w:tc>
        <w:tc>
          <w:tcPr>
            <w:tcW w:w="1090" w:type="pct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5A0B4D65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Facilitation Strategy</w:t>
            </w:r>
          </w:p>
        </w:tc>
      </w:tr>
      <w:tr w:rsidR="00D77049" w14:paraId="20F3B15F" w14:textId="77777777">
        <w:tc>
          <w:tcPr>
            <w:tcW w:w="667" w:type="pct"/>
            <w:tcBorders>
              <w:top w:val="single" w:sz="8" w:space="0" w:color="auto"/>
            </w:tcBorders>
            <w:vAlign w:val="center"/>
          </w:tcPr>
          <w:p w14:paraId="1B1E408D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b/>
                <w:bCs/>
              </w:rPr>
              <w:t xml:space="preserve"> min</w:t>
            </w:r>
          </w:p>
        </w:tc>
        <w:tc>
          <w:tcPr>
            <w:tcW w:w="971" w:type="pct"/>
            <w:tcBorders>
              <w:top w:val="single" w:sz="8" w:space="0" w:color="auto"/>
            </w:tcBorders>
            <w:vAlign w:val="center"/>
          </w:tcPr>
          <w:p w14:paraId="729F3238" w14:textId="77777777" w:rsidR="00D77049" w:rsidRDefault="00000000">
            <w:pPr>
              <w:spacing w:line="480" w:lineRule="auto"/>
              <w:jc w:val="center"/>
            </w:pPr>
            <w:r>
              <w:t>Introduction</w:t>
            </w:r>
          </w:p>
        </w:tc>
        <w:tc>
          <w:tcPr>
            <w:tcW w:w="1139" w:type="pct"/>
            <w:tcBorders>
              <w:top w:val="single" w:sz="8" w:space="0" w:color="auto"/>
            </w:tcBorders>
            <w:vAlign w:val="center"/>
          </w:tcPr>
          <w:p w14:paraId="605675BE" w14:textId="77777777" w:rsidR="00D77049" w:rsidRDefault="00000000">
            <w:pPr>
              <w:spacing w:line="480" w:lineRule="auto"/>
            </w:pPr>
            <w:r>
              <w:t>Initial observation: Femoral artery spurting blood</w:t>
            </w:r>
          </w:p>
        </w:tc>
        <w:tc>
          <w:tcPr>
            <w:tcW w:w="1131" w:type="pct"/>
            <w:tcBorders>
              <w:top w:val="single" w:sz="8" w:space="0" w:color="auto"/>
            </w:tcBorders>
            <w:vAlign w:val="center"/>
          </w:tcPr>
          <w:p w14:paraId="6FEFED56" w14:textId="77777777" w:rsidR="00D77049" w:rsidRDefault="00000000">
            <w:pPr>
              <w:spacing w:line="480" w:lineRule="auto"/>
            </w:pPr>
            <w:r>
              <w:t>Recognition of hemorrhagic shock (vitals, consciousness)</w:t>
            </w:r>
          </w:p>
        </w:tc>
        <w:tc>
          <w:tcPr>
            <w:tcW w:w="1090" w:type="pct"/>
            <w:tcBorders>
              <w:top w:val="single" w:sz="8" w:space="0" w:color="auto"/>
            </w:tcBorders>
            <w:vAlign w:val="center"/>
          </w:tcPr>
          <w:p w14:paraId="6270EAFC" w14:textId="77777777" w:rsidR="00D77049" w:rsidRDefault="00000000">
            <w:pPr>
              <w:spacing w:line="480" w:lineRule="auto"/>
            </w:pPr>
            <w:r>
              <w:t>Balancing acute fear with professional accountability</w:t>
            </w:r>
          </w:p>
        </w:tc>
      </w:tr>
      <w:tr w:rsidR="00D77049" w14:paraId="6B012DFB" w14:textId="77777777">
        <w:tc>
          <w:tcPr>
            <w:tcW w:w="667" w:type="pct"/>
            <w:tcBorders>
              <w:tl2br w:val="nil"/>
              <w:tr2bl w:val="nil"/>
            </w:tcBorders>
            <w:vAlign w:val="center"/>
          </w:tcPr>
          <w:p w14:paraId="3FE84B99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b/>
                <w:bCs/>
              </w:rPr>
              <w:t>-</w:t>
            </w:r>
            <w:r>
              <w:rPr>
                <w:rFonts w:hint="eastAsia"/>
                <w:b/>
                <w:bCs/>
              </w:rPr>
              <w:t>20</w:t>
            </w:r>
            <w:r>
              <w:rPr>
                <w:b/>
                <w:bCs/>
              </w:rPr>
              <w:t xml:space="preserve"> min</w:t>
            </w:r>
          </w:p>
        </w:tc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 w14:paraId="4DA90E5D" w14:textId="77777777" w:rsidR="00D77049" w:rsidRDefault="00000000">
            <w:pPr>
              <w:spacing w:line="480" w:lineRule="auto"/>
              <w:jc w:val="center"/>
            </w:pPr>
            <w:r>
              <w:t>Crisis Intervention</w:t>
            </w:r>
          </w:p>
        </w:tc>
        <w:tc>
          <w:tcPr>
            <w:tcW w:w="1139" w:type="pct"/>
            <w:tcBorders>
              <w:tl2br w:val="nil"/>
              <w:tr2bl w:val="nil"/>
            </w:tcBorders>
            <w:vAlign w:val="center"/>
          </w:tcPr>
          <w:p w14:paraId="6998E132" w14:textId="77777777" w:rsidR="00D77049" w:rsidRDefault="00000000">
            <w:pPr>
              <w:spacing w:line="480" w:lineRule="auto"/>
            </w:pPr>
            <w:r>
              <w:t>Decision Node</w:t>
            </w:r>
            <w:r>
              <w:rPr>
                <w:rFonts w:hint="eastAsia"/>
              </w:rPr>
              <w:t xml:space="preserve"> </w:t>
            </w:r>
            <w:r>
              <w:t>①: Hemostasis</w:t>
            </w:r>
          </w:p>
        </w:tc>
        <w:tc>
          <w:tcPr>
            <w:tcW w:w="1131" w:type="pct"/>
            <w:tcBorders>
              <w:tl2br w:val="nil"/>
              <w:tr2bl w:val="nil"/>
            </w:tcBorders>
            <w:vAlign w:val="center"/>
          </w:tcPr>
          <w:p w14:paraId="29042C15" w14:textId="77777777" w:rsidR="00D77049" w:rsidRDefault="00000000">
            <w:pPr>
              <w:spacing w:line="480" w:lineRule="auto"/>
            </w:pPr>
            <w:r>
              <w:t>Emergency resuscitation principles (hemostasis vs. volume)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vAlign w:val="center"/>
          </w:tcPr>
          <w:p w14:paraId="201BF134" w14:textId="77777777" w:rsidR="00D77049" w:rsidRDefault="00000000">
            <w:pPr>
              <w:spacing w:line="480" w:lineRule="auto"/>
            </w:pPr>
            <w:r>
              <w:t>Maintaining clinical precision under high-tension</w:t>
            </w:r>
          </w:p>
        </w:tc>
      </w:tr>
      <w:tr w:rsidR="00D77049" w14:paraId="4401FF70" w14:textId="77777777">
        <w:tc>
          <w:tcPr>
            <w:tcW w:w="667" w:type="pct"/>
            <w:tcBorders>
              <w:tl2br w:val="nil"/>
              <w:tr2bl w:val="nil"/>
            </w:tcBorders>
            <w:vAlign w:val="center"/>
          </w:tcPr>
          <w:p w14:paraId="274DEB13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</w:t>
            </w:r>
            <w:r>
              <w:rPr>
                <w:b/>
                <w:bCs/>
              </w:rPr>
              <w:t>-</w:t>
            </w:r>
            <w:r>
              <w:rPr>
                <w:rFonts w:hint="eastAsia"/>
                <w:b/>
                <w:bCs/>
              </w:rPr>
              <w:t>40</w:t>
            </w:r>
            <w:r>
              <w:rPr>
                <w:b/>
                <w:bCs/>
              </w:rPr>
              <w:t xml:space="preserve"> min</w:t>
            </w:r>
          </w:p>
        </w:tc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 w14:paraId="733FF929" w14:textId="77777777" w:rsidR="00D77049" w:rsidRDefault="00000000">
            <w:pPr>
              <w:spacing w:line="480" w:lineRule="auto"/>
              <w:jc w:val="center"/>
            </w:pPr>
            <w:r>
              <w:t>Fluid Resuscitation</w:t>
            </w:r>
          </w:p>
        </w:tc>
        <w:tc>
          <w:tcPr>
            <w:tcW w:w="1139" w:type="pct"/>
            <w:tcBorders>
              <w:tl2br w:val="nil"/>
              <w:tr2bl w:val="nil"/>
            </w:tcBorders>
            <w:vAlign w:val="center"/>
          </w:tcPr>
          <w:p w14:paraId="7846A21C" w14:textId="77777777" w:rsidR="00D77049" w:rsidRDefault="00000000">
            <w:pPr>
              <w:spacing w:line="480" w:lineRule="auto"/>
            </w:pPr>
            <w:r>
              <w:t>Decision Node ②: Fluid therapy</w:t>
            </w:r>
          </w:p>
        </w:tc>
        <w:tc>
          <w:tcPr>
            <w:tcW w:w="1131" w:type="pct"/>
            <w:tcBorders>
              <w:tl2br w:val="nil"/>
              <w:tr2bl w:val="nil"/>
            </w:tcBorders>
            <w:vAlign w:val="center"/>
          </w:tcPr>
          <w:p w14:paraId="48C61511" w14:textId="77777777" w:rsidR="00D77049" w:rsidRDefault="00000000">
            <w:pPr>
              <w:spacing w:line="480" w:lineRule="auto"/>
            </w:pPr>
            <w:r>
              <w:t>Goal-directed fluid therapy (crystalloids vs. colloids)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vAlign w:val="center"/>
          </w:tcPr>
          <w:p w14:paraId="7223019E" w14:textId="77777777" w:rsidR="00D77049" w:rsidRDefault="00000000">
            <w:pPr>
              <w:spacing w:line="480" w:lineRule="auto"/>
            </w:pPr>
            <w:r>
              <w:t>Navigating the urgency-accuracy trade-off in nursing judgment</w:t>
            </w:r>
          </w:p>
        </w:tc>
      </w:tr>
      <w:tr w:rsidR="00D77049" w14:paraId="0EA449FA" w14:textId="77777777">
        <w:tc>
          <w:tcPr>
            <w:tcW w:w="667" w:type="pct"/>
            <w:tcBorders>
              <w:tl2br w:val="nil"/>
              <w:tr2bl w:val="nil"/>
            </w:tcBorders>
            <w:vAlign w:val="center"/>
          </w:tcPr>
          <w:p w14:paraId="1BB13B0A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40</w:t>
            </w:r>
            <w:r>
              <w:rPr>
                <w:b/>
                <w:bCs/>
              </w:rPr>
              <w:t>-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b/>
                <w:bCs/>
              </w:rPr>
              <w:t>5 min</w:t>
            </w:r>
          </w:p>
        </w:tc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 w14:paraId="7932AFD1" w14:textId="77777777" w:rsidR="00D77049" w:rsidRDefault="00000000">
            <w:pPr>
              <w:spacing w:line="480" w:lineRule="auto"/>
              <w:jc w:val="center"/>
            </w:pPr>
            <w:r>
              <w:t>Multidisciplinary Collaboration</w:t>
            </w:r>
          </w:p>
        </w:tc>
        <w:tc>
          <w:tcPr>
            <w:tcW w:w="1139" w:type="pct"/>
            <w:tcBorders>
              <w:tl2br w:val="nil"/>
              <w:tr2bl w:val="nil"/>
            </w:tcBorders>
            <w:vAlign w:val="center"/>
          </w:tcPr>
          <w:p w14:paraId="288FE62E" w14:textId="77777777" w:rsidR="00D77049" w:rsidRDefault="00000000">
            <w:pPr>
              <w:spacing w:line="480" w:lineRule="auto"/>
            </w:pPr>
            <w:r>
              <w:t>Exploring bleeding sites &amp; pressure dressing</w:t>
            </w:r>
          </w:p>
        </w:tc>
        <w:tc>
          <w:tcPr>
            <w:tcW w:w="1131" w:type="pct"/>
            <w:tcBorders>
              <w:tl2br w:val="nil"/>
              <w:tr2bl w:val="nil"/>
            </w:tcBorders>
            <w:vAlign w:val="center"/>
          </w:tcPr>
          <w:p w14:paraId="337E32ED" w14:textId="77777777" w:rsidR="00D77049" w:rsidRDefault="00000000">
            <w:pPr>
              <w:spacing w:line="480" w:lineRule="auto"/>
            </w:pPr>
            <w:r>
              <w:t xml:space="preserve">The nurse's agency when medical intervention faces </w:t>
            </w:r>
            <w:r>
              <w:lastRenderedPageBreak/>
              <w:t>failure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vAlign w:val="center"/>
          </w:tcPr>
          <w:p w14:paraId="0B747B21" w14:textId="77777777" w:rsidR="00D77049" w:rsidRDefault="00000000">
            <w:pPr>
              <w:spacing w:line="480" w:lineRule="auto"/>
            </w:pPr>
            <w:r>
              <w:lastRenderedPageBreak/>
              <w:t>Anatomy &amp; distal perfusion assessment</w:t>
            </w:r>
          </w:p>
        </w:tc>
      </w:tr>
      <w:tr w:rsidR="00D77049" w14:paraId="04F9E23F" w14:textId="77777777">
        <w:tc>
          <w:tcPr>
            <w:tcW w:w="667" w:type="pct"/>
            <w:tcBorders>
              <w:tl2br w:val="nil"/>
              <w:tr2bl w:val="nil"/>
            </w:tcBorders>
            <w:vAlign w:val="center"/>
          </w:tcPr>
          <w:p w14:paraId="4FB6BD02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b/>
                <w:bCs/>
              </w:rPr>
              <w:t>5-</w:t>
            </w:r>
            <w:r>
              <w:rPr>
                <w:rFonts w:hint="eastAsia"/>
                <w:b/>
                <w:bCs/>
              </w:rPr>
              <w:t>6</w:t>
            </w:r>
            <w:r>
              <w:rPr>
                <w:b/>
                <w:bCs/>
              </w:rPr>
              <w:t>5 min</w:t>
            </w:r>
          </w:p>
        </w:tc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 w14:paraId="307DD09E" w14:textId="77777777" w:rsidR="00D77049" w:rsidRDefault="00000000">
            <w:pPr>
              <w:spacing w:line="480" w:lineRule="auto"/>
              <w:jc w:val="center"/>
            </w:pPr>
            <w:r>
              <w:t>Humanistic Crisis</w:t>
            </w:r>
          </w:p>
        </w:tc>
        <w:tc>
          <w:tcPr>
            <w:tcW w:w="1139" w:type="pct"/>
            <w:tcBorders>
              <w:tl2br w:val="nil"/>
              <w:tr2bl w:val="nil"/>
            </w:tcBorders>
            <w:vAlign w:val="center"/>
          </w:tcPr>
          <w:p w14:paraId="65B8FD89" w14:textId="77777777" w:rsidR="00D77049" w:rsidRDefault="00000000">
            <w:pPr>
              <w:spacing w:line="480" w:lineRule="auto"/>
            </w:pPr>
            <w:r>
              <w:t>Decision Node ③: Patient despair</w:t>
            </w:r>
          </w:p>
        </w:tc>
        <w:tc>
          <w:tcPr>
            <w:tcW w:w="1131" w:type="pct"/>
            <w:tcBorders>
              <w:tl2br w:val="nil"/>
              <w:tr2bl w:val="nil"/>
            </w:tcBorders>
            <w:vAlign w:val="center"/>
          </w:tcPr>
          <w:p w14:paraId="04E35D32" w14:textId="77777777" w:rsidR="00D77049" w:rsidRDefault="00000000">
            <w:pPr>
              <w:spacing w:line="480" w:lineRule="auto"/>
            </w:pPr>
            <w:r>
              <w:t>Principles of crisis management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vAlign w:val="center"/>
          </w:tcPr>
          <w:p w14:paraId="217AF446" w14:textId="77777777" w:rsidR="00D77049" w:rsidRDefault="00000000">
            <w:pPr>
              <w:spacing w:line="480" w:lineRule="auto"/>
            </w:pPr>
            <w:r>
              <w:t>The conflict between medical futility and the sanctity of life</w:t>
            </w:r>
          </w:p>
        </w:tc>
      </w:tr>
      <w:tr w:rsidR="00D77049" w14:paraId="1E4037AB" w14:textId="77777777">
        <w:tc>
          <w:tcPr>
            <w:tcW w:w="667" w:type="pct"/>
            <w:tcBorders>
              <w:tl2br w:val="nil"/>
              <w:tr2bl w:val="nil"/>
            </w:tcBorders>
            <w:vAlign w:val="center"/>
          </w:tcPr>
          <w:p w14:paraId="016942F0" w14:textId="77777777" w:rsidR="00D77049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b/>
                <w:bCs/>
              </w:rPr>
              <w:t>5-</w:t>
            </w:r>
            <w:r>
              <w:rPr>
                <w:rFonts w:hint="eastAsia"/>
                <w:b/>
                <w:bCs/>
              </w:rPr>
              <w:t>80</w:t>
            </w:r>
            <w:r>
              <w:rPr>
                <w:b/>
                <w:bCs/>
              </w:rPr>
              <w:t xml:space="preserve"> min</w:t>
            </w:r>
          </w:p>
        </w:tc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 w14:paraId="3E399F92" w14:textId="77777777" w:rsidR="00D77049" w:rsidRDefault="00000000">
            <w:pPr>
              <w:spacing w:line="480" w:lineRule="auto"/>
              <w:jc w:val="center"/>
            </w:pPr>
            <w:r>
              <w:t xml:space="preserve">Reflection &amp; </w:t>
            </w:r>
            <w:proofErr w:type="gramStart"/>
            <w:r>
              <w:t>Meaning-making</w:t>
            </w:r>
            <w:proofErr w:type="gramEnd"/>
          </w:p>
        </w:tc>
        <w:tc>
          <w:tcPr>
            <w:tcW w:w="1139" w:type="pct"/>
            <w:tcBorders>
              <w:tl2br w:val="nil"/>
              <w:tr2bl w:val="nil"/>
            </w:tcBorders>
            <w:vAlign w:val="center"/>
          </w:tcPr>
          <w:p w14:paraId="43AB683A" w14:textId="77777777" w:rsidR="00D77049" w:rsidRDefault="00000000">
            <w:pPr>
              <w:spacing w:line="480" w:lineRule="auto"/>
            </w:pPr>
            <w:r>
              <w:t>Case conclusion &amp; contrastive analysis</w:t>
            </w:r>
          </w:p>
        </w:tc>
        <w:tc>
          <w:tcPr>
            <w:tcW w:w="1131" w:type="pct"/>
            <w:tcBorders>
              <w:tl2br w:val="nil"/>
              <w:tr2bl w:val="nil"/>
            </w:tcBorders>
            <w:vAlign w:val="center"/>
          </w:tcPr>
          <w:p w14:paraId="21CA4340" w14:textId="77777777" w:rsidR="00D77049" w:rsidRDefault="00000000">
            <w:pPr>
              <w:spacing w:line="480" w:lineRule="auto"/>
            </w:pPr>
            <w:r>
              <w:t>Nursing as a therapeutic presence beyond technical skill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vAlign w:val="center"/>
          </w:tcPr>
          <w:p w14:paraId="6782C158" w14:textId="77777777" w:rsidR="00D77049" w:rsidRDefault="00000000">
            <w:pPr>
              <w:spacing w:line="480" w:lineRule="auto"/>
            </w:pPr>
            <w:r>
              <w:t>Theory-bridging: Connecting narrative &amp; AI outcomes to PIF</w:t>
            </w:r>
          </w:p>
        </w:tc>
      </w:tr>
    </w:tbl>
    <w:p w14:paraId="20A467C6" w14:textId="77777777" w:rsidR="00D77049" w:rsidRDefault="00000000">
      <w:pPr>
        <w:spacing w:line="480" w:lineRule="auto"/>
        <w:rPr>
          <w:i/>
          <w:iCs/>
        </w:rPr>
      </w:pPr>
      <w:r>
        <w:rPr>
          <w:i/>
          <w:iCs/>
        </w:rPr>
        <w:t>Note: Given the large class size (100-120 students), interactive engagement was maintained through real-time online polling, bullet screen responses, and verbal questioning. To facilitate deep cognitive processing, a 10-second reflection period was provided after each critical inquiry point to encourage spontaneous and thoughtful student engagement.</w:t>
      </w:r>
    </w:p>
    <w:sectPr w:rsidR="00D770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7CD0" w14:textId="77777777" w:rsidR="0005794E" w:rsidRDefault="0005794E">
      <w:pPr>
        <w:spacing w:line="240" w:lineRule="auto"/>
      </w:pPr>
      <w:r>
        <w:separator/>
      </w:r>
    </w:p>
  </w:endnote>
  <w:endnote w:type="continuationSeparator" w:id="0">
    <w:p w14:paraId="592E8D2F" w14:textId="77777777" w:rsidR="0005794E" w:rsidRDefault="00057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9A36" w14:textId="77777777" w:rsidR="0005794E" w:rsidRDefault="0005794E">
      <w:pPr>
        <w:spacing w:line="240" w:lineRule="auto"/>
      </w:pPr>
      <w:r>
        <w:separator/>
      </w:r>
    </w:p>
  </w:footnote>
  <w:footnote w:type="continuationSeparator" w:id="0">
    <w:p w14:paraId="589A2D42" w14:textId="77777777" w:rsidR="0005794E" w:rsidRDefault="000579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FEFCCF7"/>
    <w:rsid w:val="00042F2B"/>
    <w:rsid w:val="0005794E"/>
    <w:rsid w:val="008348E2"/>
    <w:rsid w:val="00D77049"/>
    <w:rsid w:val="2D84754F"/>
    <w:rsid w:val="3BFF31A0"/>
    <w:rsid w:val="3FF7064A"/>
    <w:rsid w:val="40882EA0"/>
    <w:rsid w:val="43B22F41"/>
    <w:rsid w:val="4BF835B4"/>
    <w:rsid w:val="726E1F08"/>
    <w:rsid w:val="7AB93DCC"/>
    <w:rsid w:val="7FEB0A94"/>
    <w:rsid w:val="BDFC5654"/>
    <w:rsid w:val="BF6FD1A8"/>
    <w:rsid w:val="BFEFCCF7"/>
    <w:rsid w:val="ECF72EA9"/>
    <w:rsid w:val="EFFD7B91"/>
    <w:rsid w:val="F7DBD702"/>
    <w:rsid w:val="FFF9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275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0" w:lineRule="exact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42F2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42F2B"/>
    <w:rPr>
      <w:sz w:val="18"/>
      <w:szCs w:val="18"/>
    </w:rPr>
  </w:style>
  <w:style w:type="paragraph" w:styleId="a7">
    <w:name w:val="footer"/>
    <w:basedOn w:val="a"/>
    <w:link w:val="a8"/>
    <w:rsid w:val="00042F2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42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1436</Characters>
  <Application>Microsoft Office Word</Application>
  <DocSecurity>0</DocSecurity>
  <Lines>68</Lines>
  <Paragraphs>43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2026-06-25T09:06:00Z</dcterms:created>
  <dcterms:modified xsi:type="dcterms:W3CDTF">2026-06-25T09:06:00Z</dcterms:modified>
</cp:coreProperties>
</file>