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509" w:rsidRPr="006E0509" w:rsidRDefault="006E0509" w:rsidP="006E0509">
      <w:pPr>
        <w:spacing w:line="280" w:lineRule="atLeast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 w:rsidRPr="006E0509">
        <w:rPr>
          <w:rFonts w:ascii="Times New Roman" w:hAnsi="Times New Roman" w:cs="Times New Roman" w:hint="eastAsia"/>
          <w:b/>
          <w:color w:val="000000" w:themeColor="text1"/>
          <w:sz w:val="32"/>
          <w:szCs w:val="32"/>
        </w:rPr>
        <w:t xml:space="preserve">Genetic regulation of </w:t>
      </w:r>
      <w:r w:rsidRPr="006E050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circulating </w:t>
      </w:r>
      <w:r w:rsidRPr="006E0509">
        <w:rPr>
          <w:rFonts w:ascii="Times New Roman" w:hAnsi="Times New Roman" w:cs="Times New Roman" w:hint="eastAsia"/>
          <w:b/>
          <w:color w:val="000000" w:themeColor="text1"/>
          <w:sz w:val="32"/>
          <w:szCs w:val="32"/>
        </w:rPr>
        <w:t>metabol</w:t>
      </w:r>
      <w:r w:rsidRPr="006E050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ome</w:t>
      </w:r>
      <w:r w:rsidRPr="006E0509">
        <w:rPr>
          <w:rFonts w:ascii="Times New Roman" w:hAnsi="Times New Roman" w:cs="Times New Roman" w:hint="eastAsia"/>
          <w:b/>
          <w:color w:val="000000" w:themeColor="text1"/>
          <w:sz w:val="32"/>
          <w:szCs w:val="32"/>
        </w:rPr>
        <w:t xml:space="preserve"> in cattle</w:t>
      </w:r>
    </w:p>
    <w:p w:rsidR="006E0509" w:rsidRDefault="006E0509" w:rsidP="006E05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 New Roman" w:hAnsi="Times New Roman"/>
          <w:color w:val="000000"/>
          <w:kern w:val="0"/>
          <w:sz w:val="24"/>
        </w:rPr>
      </w:pPr>
    </w:p>
    <w:p w:rsidR="006E0509" w:rsidRDefault="006E0509" w:rsidP="006E05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 New Roman" w:hAnsi="Times New Roman"/>
          <w:color w:val="000000"/>
          <w:kern w:val="0"/>
          <w:sz w:val="24"/>
        </w:rPr>
      </w:pPr>
    </w:p>
    <w:p w:rsidR="006E0509" w:rsidRDefault="006E0509" w:rsidP="006E05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 New Roman" w:hAnsi="Times New Roman"/>
          <w:color w:val="000000"/>
          <w:kern w:val="0"/>
          <w:sz w:val="24"/>
        </w:rPr>
      </w:pPr>
    </w:p>
    <w:p w:rsidR="006E0509" w:rsidRDefault="006E0509" w:rsidP="006E05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 New Roman" w:hAnsi="Times New Roman"/>
          <w:color w:val="000000"/>
          <w:kern w:val="0"/>
          <w:sz w:val="24"/>
        </w:rPr>
      </w:pPr>
    </w:p>
    <w:p w:rsidR="006E0509" w:rsidRDefault="006E0509" w:rsidP="006E05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 New Roman" w:hAnsi="Times New Roman"/>
          <w:color w:val="000000"/>
          <w:kern w:val="0"/>
          <w:sz w:val="24"/>
        </w:rPr>
      </w:pPr>
    </w:p>
    <w:p w:rsidR="006E0509" w:rsidRDefault="006E0509" w:rsidP="006E05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 New Roman" w:hAnsi="Times New Roman"/>
          <w:color w:val="000000"/>
          <w:kern w:val="0"/>
          <w:sz w:val="24"/>
        </w:rPr>
      </w:pPr>
    </w:p>
    <w:p w:rsidR="006E0509" w:rsidRDefault="006E0509" w:rsidP="006E05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The supplementary information contains:</w:t>
      </w:r>
    </w:p>
    <w:p w:rsidR="006E0509" w:rsidRDefault="006E0509" w:rsidP="006E05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 New Roman" w:hAnsi="Times New Roman"/>
          <w:b/>
          <w:bCs/>
          <w:color w:val="000000"/>
          <w:kern w:val="0"/>
          <w:sz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</w:rPr>
        <w:t>Supplementary Figures 1</w:t>
      </w:r>
      <w:r>
        <w:rPr>
          <w:rFonts w:ascii="Times New Roman" w:hAnsi="Times New Roman"/>
          <w:b/>
          <w:bCs/>
          <w:color w:val="000000"/>
          <w:kern w:val="0"/>
          <w:sz w:val="24"/>
        </w:rPr>
        <w:t>-20</w:t>
      </w:r>
    </w:p>
    <w:p w:rsidR="006E0509" w:rsidRDefault="006E0509" w:rsidP="006E0509">
      <w:r>
        <w:rPr>
          <w:rFonts w:ascii="Times New Roman" w:hAnsi="Times New Roman"/>
          <w:b/>
          <w:bCs/>
          <w:color w:val="000000"/>
          <w:kern w:val="0"/>
          <w:sz w:val="24"/>
        </w:rPr>
        <w:t>Supplementary Tables 1</w:t>
      </w:r>
      <w:r>
        <w:rPr>
          <w:rFonts w:ascii="Times New Roman" w:hAnsi="Times New Roman"/>
          <w:b/>
          <w:bCs/>
          <w:color w:val="000000"/>
          <w:kern w:val="0"/>
          <w:sz w:val="24"/>
        </w:rPr>
        <w:t>-30</w:t>
      </w:r>
      <w:r>
        <w:rPr>
          <w:rFonts w:ascii="Times New Roman" w:hAnsi="Times New Roman"/>
          <w:color w:val="000000"/>
          <w:kern w:val="0"/>
          <w:sz w:val="24"/>
        </w:rPr>
        <w:t xml:space="preserve"> (in a separate Excel file)</w:t>
      </w:r>
    </w:p>
    <w:p w:rsidR="006E0509" w:rsidRPr="006E0509" w:rsidRDefault="006E05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509" w:rsidRDefault="006E0509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068303" cy="5436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303" cy="54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Summary of metabolite samples.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, Workflow for sample quality control.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, Overview of sample sizes across genotyping platforms and tissues. </w:t>
      </w:r>
      <w:r>
        <w:rPr>
          <w:rFonts w:ascii="Times New Roman" w:hAnsi="Times New Roman" w:cs="Times New Roman" w:hint="eastAsia"/>
          <w:bCs/>
          <w:sz w:val="24"/>
          <w:szCs w:val="24"/>
        </w:rPr>
        <w:t>LCWGS</w:t>
      </w:r>
      <w:r>
        <w:rPr>
          <w:rFonts w:ascii="Times New Roman" w:hAnsi="Times New Roman" w:cs="Times New Roman"/>
          <w:bCs/>
          <w:sz w:val="24"/>
          <w:szCs w:val="24"/>
        </w:rPr>
        <w:t>, low</w:t>
      </w:r>
      <w:r>
        <w:rPr>
          <w:rFonts w:ascii="Times New Roman" w:hAnsi="Times New Roman" w:cs="Times New Roman" w:hint="eastAsia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coverage whole</w:t>
      </w:r>
      <w:r>
        <w:rPr>
          <w:rFonts w:ascii="Times New Roman" w:hAnsi="Times New Roman" w:cs="Times New Roman" w:hint="eastAsia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genome sequencing; HCWGS, high</w:t>
      </w:r>
      <w:r>
        <w:rPr>
          <w:rFonts w:ascii="Times New Roman" w:hAnsi="Times New Roman" w:cs="Times New Roman" w:hint="eastAsia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coverage whole</w:t>
      </w:r>
      <w:r>
        <w:rPr>
          <w:rFonts w:ascii="Times New Roman" w:hAnsi="Times New Roman" w:cs="Times New Roman" w:hint="eastAsia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genome sequencing.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, Distribution of 12,667 metabolites measured in plasma </w:t>
      </w:r>
      <w:r>
        <w:rPr>
          <w:rFonts w:ascii="Times New Roman" w:hAnsi="Times New Roman" w:cs="Times New Roman" w:hint="eastAsia"/>
          <w:bCs/>
          <w:sz w:val="24"/>
          <w:szCs w:val="24"/>
        </w:rPr>
        <w:t>and</w:t>
      </w:r>
      <w:r>
        <w:rPr>
          <w:rFonts w:ascii="Times New Roman" w:hAnsi="Times New Roman" w:cs="Times New Roman"/>
          <w:bCs/>
          <w:sz w:val="24"/>
          <w:szCs w:val="24"/>
        </w:rPr>
        <w:t xml:space="preserve"> 19,959 metabolites measured in serum. The pie chart (left) illustrates the proportion of named metabolites versus unidentified features. The stacked bar chart (right) provides a granular breakdown of named metabolites according to established identification levels.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, Venn diagram illustrating the overlap of named metabolic features detected in plasma and serum.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 xml:space="preserve">, Hierarchical clustering analysis of overlapping metabolites between plasma and serum.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 xml:space="preserve">, Hierarchical clustering analysis of named metabolites in plasma.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 xml:space="preserve">, Hierarchical clustering analysis of named metabolites in serum. Dendrograms represent the clustering of metabolic features based on their </w:t>
      </w:r>
      <w:r>
        <w:rPr>
          <w:rFonts w:ascii="Times New Roman" w:hAnsi="Times New Roman" w:cs="Times New Roman" w:hint="eastAsia"/>
          <w:bCs/>
          <w:sz w:val="24"/>
          <w:szCs w:val="24"/>
        </w:rPr>
        <w:t>abundance</w:t>
      </w:r>
      <w:r>
        <w:rPr>
          <w:rFonts w:ascii="Times New Roman" w:hAnsi="Times New Roman" w:cs="Times New Roman"/>
          <w:bCs/>
          <w:sz w:val="24"/>
          <w:szCs w:val="24"/>
        </w:rPr>
        <w:t xml:space="preserve"> patterns. Sidebars indicate the physiological context of the samples, including parity stages (Heifer, Primiparous, and Multiparous) and lactation stages (Perinatal, Early, Peak, and End). For each hierarchical clustering analysis, the top 1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>000 most variable metabolites (ranked by standard deviation) were used.</w:t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50815" cy="419862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341" cy="4199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Genetic correlation matrix of </w:t>
      </w:r>
      <w:bookmarkStart w:id="1" w:name="_Hlk223512354"/>
      <w:r>
        <w:rPr>
          <w:rFonts w:ascii="Times New Roman" w:hAnsi="Times New Roman" w:cs="Times New Roman"/>
          <w:b/>
          <w:bCs/>
          <w:sz w:val="24"/>
          <w:szCs w:val="24"/>
        </w:rPr>
        <w:t>3,436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plasma metabolites. </w:t>
      </w:r>
      <w:r>
        <w:rPr>
          <w:rFonts w:ascii="Times New Roman" w:hAnsi="Times New Roman" w:cs="Times New Roman"/>
          <w:bCs/>
          <w:sz w:val="24"/>
          <w:szCs w:val="24"/>
        </w:rPr>
        <w:t>BOSM: Biosynthesis of other secondary metabolites; CSTM: Chemical structure transformation maps; GOM: Global and overview maps.</w:t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76849" cy="4217923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49" cy="4217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3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Genetic correlation matrix of 4,851 serum metabolites. </w:t>
      </w:r>
      <w:r>
        <w:rPr>
          <w:rFonts w:ascii="Times New Roman" w:hAnsi="Times New Roman" w:cs="Times New Roman"/>
          <w:bCs/>
          <w:sz w:val="24"/>
          <w:szCs w:val="24"/>
        </w:rPr>
        <w:t>BOSM: Biosynthesis of other secondary metabolites; CSTM: Chemical structure transformation maps; GOM: Global and overview maps.</w:t>
      </w: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F1C9D" w:rsidRDefault="00681984" w:rsidP="002453C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173166" cy="3474720"/>
            <wp:effectExtent l="0" t="0" r="889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166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4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C283B">
        <w:rPr>
          <w:rFonts w:ascii="Times New Roman" w:hAnsi="Times New Roman" w:cs="Times New Roman"/>
          <w:b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, Distribution of GWAS lambda of 3,436 measured metabolites in plasma. </w:t>
      </w:r>
      <w:r w:rsidR="008C283B">
        <w:rPr>
          <w:rFonts w:ascii="Times New Roman" w:hAnsi="Times New Roman" w:cs="Times New Roman"/>
          <w:b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, Distribution of GWAS lambda of 4,851 measured metabolites in </w:t>
      </w:r>
      <w:r>
        <w:rPr>
          <w:rFonts w:ascii="Times New Roman" w:hAnsi="Times New Roman" w:cs="Times New Roman" w:hint="eastAsia"/>
          <w:sz w:val="24"/>
          <w:szCs w:val="28"/>
        </w:rPr>
        <w:t>serum.</w:t>
      </w:r>
      <w:r w:rsidR="008C283B">
        <w:rPr>
          <w:rFonts w:ascii="Times New Roman" w:hAnsi="Times New Roman" w:cs="Times New Roman"/>
          <w:sz w:val="24"/>
          <w:szCs w:val="28"/>
        </w:rPr>
        <w:t xml:space="preserve"> </w:t>
      </w:r>
      <w:r w:rsidR="008C283B">
        <w:rPr>
          <w:rFonts w:ascii="Times New Roman" w:hAnsi="Times New Roman" w:cs="Times New Roman"/>
          <w:b/>
          <w:sz w:val="24"/>
          <w:szCs w:val="28"/>
        </w:rPr>
        <w:t>c</w:t>
      </w:r>
      <w:r w:rsidR="008C283B">
        <w:rPr>
          <w:rFonts w:ascii="Times New Roman" w:hAnsi="Times New Roman" w:cs="Times New Roman"/>
          <w:sz w:val="24"/>
          <w:szCs w:val="28"/>
        </w:rPr>
        <w:t xml:space="preserve">, </w:t>
      </w:r>
      <w:r w:rsidR="008C283B">
        <w:rPr>
          <w:rFonts w:ascii="Times New Roman" w:hAnsi="Times New Roman" w:cs="Times New Roman" w:hint="eastAsia"/>
          <w:sz w:val="24"/>
          <w:szCs w:val="28"/>
        </w:rPr>
        <w:t>C</w:t>
      </w:r>
      <w:r w:rsidR="008C283B">
        <w:rPr>
          <w:rFonts w:ascii="Times New Roman" w:hAnsi="Times New Roman" w:cs="Times New Roman"/>
          <w:sz w:val="24"/>
          <w:szCs w:val="28"/>
        </w:rPr>
        <w:t>umulative explained variance of principal component analysis</w:t>
      </w:r>
      <w:r w:rsidR="008C283B">
        <w:rPr>
          <w:rFonts w:ascii="Times New Roman" w:hAnsi="Times New Roman" w:cs="Times New Roman" w:hint="eastAsia"/>
          <w:sz w:val="24"/>
          <w:szCs w:val="28"/>
        </w:rPr>
        <w:t xml:space="preserve"> (PCA)</w:t>
      </w:r>
      <w:r w:rsidR="008C283B">
        <w:rPr>
          <w:rFonts w:ascii="Times New Roman" w:hAnsi="Times New Roman" w:cs="Times New Roman"/>
          <w:sz w:val="24"/>
          <w:szCs w:val="28"/>
        </w:rPr>
        <w:t xml:space="preserve"> components of 3,436 measured metabolites in plasma. </w:t>
      </w:r>
      <w:r w:rsidR="008C283B">
        <w:rPr>
          <w:rFonts w:ascii="Times New Roman" w:hAnsi="Times New Roman" w:cs="Times New Roman"/>
          <w:b/>
          <w:sz w:val="24"/>
          <w:szCs w:val="28"/>
        </w:rPr>
        <w:t>d</w:t>
      </w:r>
      <w:r w:rsidR="008C283B">
        <w:rPr>
          <w:rFonts w:ascii="Times New Roman" w:hAnsi="Times New Roman" w:cs="Times New Roman"/>
          <w:sz w:val="24"/>
          <w:szCs w:val="28"/>
        </w:rPr>
        <w:t xml:space="preserve">, </w:t>
      </w:r>
      <w:r w:rsidR="008C283B">
        <w:rPr>
          <w:rFonts w:ascii="Times New Roman" w:hAnsi="Times New Roman" w:cs="Times New Roman" w:hint="eastAsia"/>
          <w:sz w:val="24"/>
          <w:szCs w:val="28"/>
        </w:rPr>
        <w:t>C</w:t>
      </w:r>
      <w:r w:rsidR="008C283B">
        <w:rPr>
          <w:rFonts w:ascii="Times New Roman" w:hAnsi="Times New Roman" w:cs="Times New Roman"/>
          <w:sz w:val="24"/>
          <w:szCs w:val="28"/>
        </w:rPr>
        <w:t xml:space="preserve">umulative explained variance of </w:t>
      </w:r>
      <w:r w:rsidR="008C283B">
        <w:rPr>
          <w:rFonts w:ascii="Times New Roman" w:hAnsi="Times New Roman" w:cs="Times New Roman" w:hint="eastAsia"/>
          <w:sz w:val="24"/>
          <w:szCs w:val="28"/>
        </w:rPr>
        <w:t>PCA</w:t>
      </w:r>
      <w:r w:rsidR="008C283B">
        <w:rPr>
          <w:rFonts w:ascii="Times New Roman" w:hAnsi="Times New Roman" w:cs="Times New Roman"/>
          <w:sz w:val="24"/>
          <w:szCs w:val="28"/>
        </w:rPr>
        <w:t xml:space="preserve"> components of 4,851 measured metabolites in serum.</w:t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69230" cy="7034003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34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5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Summary of metabolite genome-wide association studies (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mGWAS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).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, Distribution of the number of </w:t>
      </w:r>
      <w:proofErr w:type="spellStart"/>
      <w:r>
        <w:rPr>
          <w:rFonts w:ascii="Times New Roman" w:hAnsi="Times New Roman" w:cs="Times New Roman"/>
          <w:sz w:val="24"/>
          <w:szCs w:val="28"/>
        </w:rPr>
        <w:t>mQTL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per metabolite in plasma and serum. The median number of </w:t>
      </w:r>
      <w:proofErr w:type="spellStart"/>
      <w:r>
        <w:rPr>
          <w:rFonts w:ascii="Times New Roman" w:hAnsi="Times New Roman" w:cs="Times New Roman"/>
          <w:sz w:val="24"/>
          <w:szCs w:val="28"/>
        </w:rPr>
        <w:t>mQTL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per metabolite is indicated in red (Plasma: median = 182; Serum: median = 281). </w:t>
      </w:r>
      <w:r>
        <w:rPr>
          <w:rFonts w:ascii="Times New Roman" w:hAnsi="Times New Roman" w:cs="Times New Roman"/>
          <w:b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, Distribution of metabolites with </w:t>
      </w:r>
      <w:r>
        <w:rPr>
          <w:rFonts w:ascii="Times New Roman" w:hAnsi="Times New Roman" w:cs="Times New Roman" w:hint="eastAsia"/>
          <w:sz w:val="24"/>
          <w:szCs w:val="28"/>
        </w:rPr>
        <w:t>and</w:t>
      </w:r>
      <w:r>
        <w:rPr>
          <w:rFonts w:ascii="Times New Roman" w:hAnsi="Times New Roman" w:cs="Times New Roman"/>
          <w:sz w:val="24"/>
          <w:szCs w:val="28"/>
        </w:rPr>
        <w:t xml:space="preserve"> without </w:t>
      </w:r>
      <w:proofErr w:type="spellStart"/>
      <w:r>
        <w:rPr>
          <w:rFonts w:ascii="Times New Roman" w:hAnsi="Times New Roman" w:cs="Times New Roman"/>
          <w:sz w:val="24"/>
          <w:szCs w:val="28"/>
        </w:rPr>
        <w:t>mQTL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according to annotation levels (</w:t>
      </w:r>
      <w:r>
        <w:rPr>
          <w:rFonts w:ascii="Times New Roman" w:hAnsi="Times New Roman" w:cs="Times New Roman" w:hint="eastAsia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>evel1-</w:t>
      </w:r>
      <w:r>
        <w:rPr>
          <w:rFonts w:ascii="Times New Roman" w:hAnsi="Times New Roman" w:cs="Times New Roman" w:hint="eastAsia"/>
          <w:bCs/>
          <w:sz w:val="24"/>
          <w:szCs w:val="24"/>
        </w:rPr>
        <w:t>Level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) for plasma and serum. </w:t>
      </w:r>
      <w:r>
        <w:rPr>
          <w:rFonts w:ascii="Times New Roman" w:hAnsi="Times New Roman" w:cs="Times New Roman"/>
          <w:b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, Number of metabolites with </w:t>
      </w:r>
      <w:r>
        <w:rPr>
          <w:rFonts w:ascii="Times New Roman" w:hAnsi="Times New Roman" w:cs="Times New Roman" w:hint="eastAsia"/>
          <w:sz w:val="24"/>
          <w:szCs w:val="28"/>
        </w:rPr>
        <w:t>and</w:t>
      </w:r>
      <w:r>
        <w:rPr>
          <w:rFonts w:ascii="Times New Roman" w:hAnsi="Times New Roman" w:cs="Times New Roman"/>
          <w:sz w:val="24"/>
          <w:szCs w:val="28"/>
        </w:rPr>
        <w:t xml:space="preserve"> without </w:t>
      </w:r>
      <w:proofErr w:type="spellStart"/>
      <w:r>
        <w:rPr>
          <w:rFonts w:ascii="Times New Roman" w:hAnsi="Times New Roman" w:cs="Times New Roman"/>
          <w:sz w:val="24"/>
          <w:szCs w:val="28"/>
        </w:rPr>
        <w:t>mQTL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across metabolite super-pathways in plasma and serum. </w:t>
      </w:r>
      <w:r>
        <w:rPr>
          <w:rFonts w:ascii="Times New Roman" w:hAnsi="Times New Roman" w:cs="Times New Roman" w:hint="eastAsia"/>
          <w:sz w:val="24"/>
          <w:szCs w:val="28"/>
        </w:rPr>
        <w:t>BOSM</w:t>
      </w:r>
      <w:r>
        <w:rPr>
          <w:rFonts w:ascii="Times New Roman" w:hAnsi="Times New Roman" w:cs="Times New Roman"/>
          <w:sz w:val="24"/>
          <w:szCs w:val="28"/>
        </w:rPr>
        <w:t xml:space="preserve">: Biosynthesis of other secondary metabolites; CSTM: Chemical structure transformation maps; GOM: Global and overview maps. </w:t>
      </w:r>
      <w:r>
        <w:rPr>
          <w:rFonts w:ascii="Times New Roman" w:hAnsi="Times New Roman" w:cs="Times New Roman"/>
          <w:b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 xml:space="preserve">, Violin plots </w:t>
      </w:r>
      <w:r>
        <w:rPr>
          <w:rFonts w:ascii="Times New Roman" w:hAnsi="Times New Roman" w:cs="Times New Roman"/>
          <w:sz w:val="24"/>
          <w:szCs w:val="28"/>
        </w:rPr>
        <w:lastRenderedPageBreak/>
        <w:t xml:space="preserve">showing heritability estimates for metabolites with and without </w:t>
      </w:r>
      <w:proofErr w:type="spellStart"/>
      <w:r>
        <w:rPr>
          <w:rFonts w:ascii="Times New Roman" w:hAnsi="Times New Roman" w:cs="Times New Roman"/>
          <w:sz w:val="24"/>
          <w:szCs w:val="28"/>
        </w:rPr>
        <w:t>mQTL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in plasma and serum. Statistical significance was determined using </w:t>
      </w:r>
      <w:r>
        <w:rPr>
          <w:rFonts w:ascii="Times New Roman" w:hAnsi="Times New Roman" w:cs="Times New Roman" w:hint="eastAsia"/>
          <w:sz w:val="24"/>
          <w:szCs w:val="28"/>
        </w:rPr>
        <w:t xml:space="preserve">a </w:t>
      </w:r>
      <w:r>
        <w:rPr>
          <w:rFonts w:ascii="Times New Roman" w:hAnsi="Times New Roman" w:cs="Times New Roman"/>
          <w:sz w:val="24"/>
          <w:szCs w:val="28"/>
        </w:rPr>
        <w:t xml:space="preserve">two-sided Wilcoxon </w:t>
      </w:r>
      <w:r>
        <w:rPr>
          <w:rFonts w:ascii="Times New Roman" w:hAnsi="Times New Roman" w:cs="Times New Roman" w:hint="eastAsia"/>
          <w:sz w:val="24"/>
          <w:szCs w:val="28"/>
        </w:rPr>
        <w:t xml:space="preserve">rank-sum </w:t>
      </w:r>
      <w:r>
        <w:rPr>
          <w:rFonts w:ascii="Times New Roman" w:hAnsi="Times New Roman" w:cs="Times New Roman"/>
          <w:sz w:val="24"/>
          <w:szCs w:val="28"/>
        </w:rPr>
        <w:t xml:space="preserve">test. </w:t>
      </w:r>
      <w:r>
        <w:rPr>
          <w:rFonts w:ascii="Times New Roman" w:hAnsi="Times New Roman" w:cs="Times New Roman"/>
          <w:b/>
          <w:sz w:val="24"/>
          <w:szCs w:val="28"/>
        </w:rPr>
        <w:t>e</w:t>
      </w:r>
      <w:r>
        <w:rPr>
          <w:rFonts w:ascii="Times New Roman" w:hAnsi="Times New Roman" w:cs="Times New Roman"/>
          <w:sz w:val="24"/>
          <w:szCs w:val="28"/>
        </w:rPr>
        <w:t xml:space="preserve">, Relationship between metabolite heritability and the number of independent </w:t>
      </w:r>
      <w:proofErr w:type="spellStart"/>
      <w:r>
        <w:rPr>
          <w:rFonts w:ascii="Times New Roman" w:hAnsi="Times New Roman" w:cs="Times New Roman"/>
          <w:sz w:val="24"/>
          <w:szCs w:val="28"/>
        </w:rPr>
        <w:t>mQTL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detected per metabolite. Each point represents a metabolite. Linear regression lines are shown for plasma (blue) and serum (orange). Pearson’s correlation coefficient and corresponding </w:t>
      </w:r>
      <w:r>
        <w:rPr>
          <w:rFonts w:ascii="Times New Roman" w:hAnsi="Times New Roman" w:cs="Times New Roman"/>
          <w:i/>
          <w:sz w:val="24"/>
          <w:szCs w:val="28"/>
        </w:rPr>
        <w:t>P</w:t>
      </w:r>
      <w:r>
        <w:rPr>
          <w:rFonts w:ascii="Times New Roman" w:hAnsi="Times New Roman" w:cs="Times New Roman" w:hint="eastAsia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value are shown.</w:t>
      </w: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</w:p>
    <w:p w:rsidR="008F1C9D" w:rsidRPr="008C283B" w:rsidRDefault="00681984" w:rsidP="008C283B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19998" cy="3713243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998" cy="371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C283B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Summary of fine-mapping results.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, Distribution of the number of 95% credible sets (CSs) across fine-mapped regions. Most regions contain a single or</w:t>
      </w:r>
      <w:r>
        <w:rPr>
          <w:rFonts w:ascii="Times New Roman" w:hAnsi="Times New Roman" w:cs="Times New Roman" w:hint="eastAsia"/>
          <w:sz w:val="24"/>
          <w:szCs w:val="28"/>
        </w:rPr>
        <w:t xml:space="preserve"> a</w:t>
      </w:r>
      <w:r>
        <w:rPr>
          <w:rFonts w:ascii="Times New Roman" w:hAnsi="Times New Roman" w:cs="Times New Roman"/>
          <w:sz w:val="24"/>
          <w:szCs w:val="28"/>
        </w:rPr>
        <w:t xml:space="preserve"> few variants in the CSs, indicating high resolution of fine-mapping. </w:t>
      </w:r>
      <w:r>
        <w:rPr>
          <w:rFonts w:ascii="Times New Roman" w:hAnsi="Times New Roman" w:cs="Times New Roman"/>
          <w:b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bookmarkStart w:id="2" w:name="_Hlk233549830"/>
      <w:r>
        <w:rPr>
          <w:rFonts w:ascii="Times New Roman" w:hAnsi="Times New Roman" w:cs="Times New Roman"/>
          <w:sz w:val="24"/>
          <w:szCs w:val="28"/>
        </w:rPr>
        <w:t xml:space="preserve">Distribution of the number of putative causal SNPs (PIP </w:t>
      </w:r>
      <w:r w:rsidR="008C283B">
        <w:rPr>
          <w:rFonts w:ascii="Times New Roman" w:hAnsi="Times New Roman" w:cs="Times New Roman"/>
          <w:sz w:val="24"/>
          <w:szCs w:val="28"/>
        </w:rPr>
        <w:t>&gt;</w:t>
      </w:r>
      <w:r>
        <w:rPr>
          <w:rFonts w:ascii="Times New Roman" w:hAnsi="Times New Roman" w:cs="Times New Roman"/>
          <w:sz w:val="24"/>
          <w:szCs w:val="28"/>
        </w:rPr>
        <w:t xml:space="preserve"> 0.5) per metabolite.</w:t>
      </w:r>
      <w:bookmarkEnd w:id="2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c</w:t>
      </w:r>
      <w:r>
        <w:rPr>
          <w:rFonts w:ascii="Times New Roman" w:hAnsi="Times New Roman" w:cs="Times New Roman" w:hint="eastAsia"/>
          <w:sz w:val="24"/>
          <w:szCs w:val="28"/>
        </w:rPr>
        <w:t xml:space="preserve"> and </w:t>
      </w:r>
      <w:r>
        <w:rPr>
          <w:rFonts w:ascii="Times New Roman" w:hAnsi="Times New Roman" w:cs="Times New Roman"/>
          <w:b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 xml:space="preserve">, Functional annotation of putative causal SNPs (PIP </w:t>
      </w:r>
      <w:r w:rsidR="008C283B">
        <w:rPr>
          <w:rFonts w:ascii="Times New Roman" w:hAnsi="Times New Roman" w:cs="Times New Roman"/>
          <w:sz w:val="24"/>
          <w:szCs w:val="28"/>
        </w:rPr>
        <w:t>&gt;</w:t>
      </w:r>
      <w:r>
        <w:rPr>
          <w:rFonts w:ascii="Times New Roman" w:hAnsi="Times New Roman" w:cs="Times New Roman"/>
          <w:sz w:val="24"/>
          <w:szCs w:val="28"/>
        </w:rPr>
        <w:t xml:space="preserve"> 0.5) in plasma (</w:t>
      </w:r>
      <w:r>
        <w:rPr>
          <w:rFonts w:ascii="Times New Roman" w:hAnsi="Times New Roman" w:cs="Times New Roman"/>
          <w:b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>) and serum (</w:t>
      </w:r>
      <w:r>
        <w:rPr>
          <w:rFonts w:ascii="Times New Roman" w:hAnsi="Times New Roman" w:cs="Times New Roman"/>
          <w:b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 xml:space="preserve">). </w:t>
      </w:r>
    </w:p>
    <w:p w:rsidR="008C283B" w:rsidRDefault="008C283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8"/>
        </w:rPr>
      </w:pPr>
    </w:p>
    <w:p w:rsidR="008C283B" w:rsidRDefault="008C283B">
      <w:pPr>
        <w:widowControl/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8C283B" w:rsidRDefault="008C283B" w:rsidP="008C283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56CB39B6" wp14:editId="4D71DCF9">
            <wp:extent cx="5259100" cy="54102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100" cy="541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7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Shared genetic effects of colocalized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mQTL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on overlapping metabolites between plasma and serum.</w:t>
      </w:r>
      <w:r>
        <w:rPr>
          <w:rFonts w:ascii="Times New Roman" w:hAnsi="Times New Roman" w:cs="Times New Roman"/>
          <w:sz w:val="24"/>
          <w:szCs w:val="28"/>
        </w:rPr>
        <w:t xml:space="preserve"> Each sector corresponds to a</w:t>
      </w:r>
      <w:r>
        <w:rPr>
          <w:rFonts w:ascii="Times New Roman" w:hAnsi="Times New Roman" w:cs="Times New Roman" w:hint="eastAsia"/>
          <w:sz w:val="24"/>
          <w:szCs w:val="28"/>
        </w:rPr>
        <w:t>n</w:t>
      </w:r>
      <w:r>
        <w:rPr>
          <w:rFonts w:ascii="Times New Roman" w:hAnsi="Times New Roman" w:cs="Times New Roman"/>
          <w:sz w:val="24"/>
          <w:szCs w:val="28"/>
        </w:rPr>
        <w:t xml:space="preserve"> SNP-metabolite association. The inner ring represents the effect size of </w:t>
      </w:r>
      <w:proofErr w:type="spellStart"/>
      <w:r>
        <w:rPr>
          <w:rFonts w:ascii="Times New Roman" w:hAnsi="Times New Roman" w:cs="Times New Roman"/>
          <w:sz w:val="24"/>
          <w:szCs w:val="28"/>
        </w:rPr>
        <w:t>mQTL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on metabolite. The outer ring shows the proportion of variation explained (PVE) by </w:t>
      </w:r>
      <w:proofErr w:type="spellStart"/>
      <w:r>
        <w:rPr>
          <w:rFonts w:ascii="Times New Roman" w:hAnsi="Times New Roman" w:cs="Times New Roman"/>
          <w:sz w:val="24"/>
          <w:szCs w:val="28"/>
        </w:rPr>
        <w:t>mQTL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for each metabolite. Blue and orange outlines denote</w:t>
      </w:r>
      <w:r>
        <w:rPr>
          <w:rFonts w:ascii="Times New Roman" w:hAnsi="Times New Roman" w:cs="Times New Roman" w:hint="eastAsia"/>
          <w:sz w:val="24"/>
          <w:szCs w:val="28"/>
        </w:rPr>
        <w:t xml:space="preserve"> the</w:t>
      </w:r>
      <w:r>
        <w:rPr>
          <w:rFonts w:ascii="Times New Roman" w:hAnsi="Times New Roman" w:cs="Times New Roman"/>
          <w:sz w:val="24"/>
          <w:szCs w:val="28"/>
        </w:rPr>
        <w:t xml:space="preserve"> plasma and serum layers, respectively.</w:t>
      </w:r>
    </w:p>
    <w:p w:rsidR="008C283B" w:rsidRPr="008C283B" w:rsidRDefault="008C283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8"/>
        </w:rPr>
      </w:pPr>
    </w:p>
    <w:p w:rsidR="00406FCA" w:rsidRDefault="00406FC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8"/>
        </w:rPr>
      </w:pPr>
    </w:p>
    <w:p w:rsidR="00406FCA" w:rsidRDefault="00406FCA">
      <w:pPr>
        <w:widowControl/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8C283B" w:rsidRDefault="002A3595" w:rsidP="002A35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lastRenderedPageBreak/>
        <w:drawing>
          <wp:inline distT="0" distB="0" distL="0" distR="0" wp14:anchorId="2D528946">
            <wp:extent cx="4680000" cy="1905992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905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3595" w:rsidRPr="002A3595" w:rsidRDefault="002A3595" w:rsidP="002A359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8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3595">
        <w:rPr>
          <w:rFonts w:ascii="Times New Roman" w:hAnsi="Times New Roman" w:cs="Times New Roman"/>
          <w:b/>
          <w:bCs/>
          <w:sz w:val="24"/>
          <w:szCs w:val="24"/>
        </w:rPr>
        <w:t xml:space="preserve">Cross-matrix sharing and matrix-specific regulation of </w:t>
      </w:r>
      <w:proofErr w:type="spellStart"/>
      <w:r w:rsidRPr="002A3595">
        <w:rPr>
          <w:rFonts w:ascii="Times New Roman" w:hAnsi="Times New Roman" w:cs="Times New Roman"/>
          <w:b/>
          <w:bCs/>
          <w:sz w:val="24"/>
          <w:szCs w:val="24"/>
        </w:rPr>
        <w:t>mQTL</w:t>
      </w:r>
      <w:proofErr w:type="spellEnd"/>
      <w:r w:rsidRPr="002A35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A359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A359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D6252" w:rsidRPr="005D6252">
        <w:rPr>
          <w:rFonts w:ascii="Times New Roman" w:hAnsi="Times New Roman" w:cs="Times New Roman"/>
          <w:bCs/>
          <w:sz w:val="24"/>
          <w:szCs w:val="24"/>
        </w:rPr>
        <w:t xml:space="preserve">Proportions of </w:t>
      </w:r>
      <w:proofErr w:type="spellStart"/>
      <w:r w:rsidR="005D6252" w:rsidRPr="005D6252">
        <w:rPr>
          <w:rFonts w:ascii="Times New Roman" w:hAnsi="Times New Roman" w:cs="Times New Roman"/>
          <w:bCs/>
          <w:sz w:val="24"/>
          <w:szCs w:val="24"/>
        </w:rPr>
        <w:t>mQTL</w:t>
      </w:r>
      <w:proofErr w:type="spellEnd"/>
      <w:r w:rsidR="005D6252">
        <w:rPr>
          <w:rFonts w:ascii="Times New Roman" w:hAnsi="Times New Roman" w:cs="Times New Roman"/>
          <w:bCs/>
          <w:sz w:val="24"/>
          <w:szCs w:val="24"/>
        </w:rPr>
        <w:t>-</w:t>
      </w:r>
      <w:r w:rsidR="005D6252" w:rsidRPr="005D6252">
        <w:rPr>
          <w:rFonts w:ascii="Times New Roman" w:hAnsi="Times New Roman" w:cs="Times New Roman"/>
          <w:bCs/>
          <w:sz w:val="24"/>
          <w:szCs w:val="24"/>
        </w:rPr>
        <w:t xml:space="preserve">metabolite pairs with significant effects detected only in plasma, only in serum, or in both matrices, as inferred by </w:t>
      </w:r>
      <w:proofErr w:type="spellStart"/>
      <w:r w:rsidR="005D6252" w:rsidRPr="005D6252">
        <w:rPr>
          <w:rFonts w:ascii="Times New Roman" w:hAnsi="Times New Roman" w:cs="Times New Roman"/>
          <w:bCs/>
          <w:sz w:val="24"/>
          <w:szCs w:val="24"/>
        </w:rPr>
        <w:t>MashR</w:t>
      </w:r>
      <w:proofErr w:type="spellEnd"/>
      <w:r w:rsidR="005D6252" w:rsidRPr="005D6252">
        <w:rPr>
          <w:rFonts w:ascii="Times New Roman" w:hAnsi="Times New Roman" w:cs="Times New Roman"/>
          <w:bCs/>
          <w:sz w:val="24"/>
          <w:szCs w:val="24"/>
        </w:rPr>
        <w:t xml:space="preserve"> at LFSR &lt; 0.05</w:t>
      </w:r>
      <w:r w:rsidRPr="002A359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D625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A3595">
        <w:rPr>
          <w:rFonts w:ascii="Times New Roman" w:hAnsi="Times New Roman" w:cs="Times New Roman"/>
          <w:bCs/>
          <w:sz w:val="24"/>
          <w:szCs w:val="24"/>
        </w:rPr>
        <w:t xml:space="preserve">, Representative examples of a plasma-specific </w:t>
      </w:r>
      <w:proofErr w:type="spellStart"/>
      <w:r w:rsidRPr="002A3595">
        <w:rPr>
          <w:rFonts w:ascii="Times New Roman" w:hAnsi="Times New Roman" w:cs="Times New Roman"/>
          <w:bCs/>
          <w:sz w:val="24"/>
          <w:szCs w:val="24"/>
        </w:rPr>
        <w:t>mQTL</w:t>
      </w:r>
      <w:proofErr w:type="spellEnd"/>
      <w:r w:rsidRPr="002A3595">
        <w:rPr>
          <w:rFonts w:ascii="Times New Roman" w:hAnsi="Times New Roman" w:cs="Times New Roman"/>
          <w:bCs/>
          <w:sz w:val="24"/>
          <w:szCs w:val="24"/>
        </w:rPr>
        <w:t xml:space="preserve"> for N(</w:t>
      </w:r>
      <w:proofErr w:type="gramStart"/>
      <w:r w:rsidRPr="002A3595">
        <w:rPr>
          <w:rFonts w:ascii="Times New Roman" w:hAnsi="Times New Roman" w:cs="Times New Roman"/>
          <w:bCs/>
          <w:sz w:val="24"/>
          <w:szCs w:val="24"/>
        </w:rPr>
        <w:t>6)-(</w:t>
      </w:r>
      <w:proofErr w:type="gramEnd"/>
      <w:r w:rsidRPr="002A3595">
        <w:rPr>
          <w:rFonts w:ascii="Times New Roman" w:hAnsi="Times New Roman" w:cs="Times New Roman"/>
          <w:bCs/>
          <w:sz w:val="24"/>
          <w:szCs w:val="24"/>
        </w:rPr>
        <w:t xml:space="preserve">1-carboxyethyl)-L-lysine and a serum-specific </w:t>
      </w:r>
      <w:proofErr w:type="spellStart"/>
      <w:r w:rsidRPr="002A3595">
        <w:rPr>
          <w:rFonts w:ascii="Times New Roman" w:hAnsi="Times New Roman" w:cs="Times New Roman"/>
          <w:bCs/>
          <w:sz w:val="24"/>
          <w:szCs w:val="24"/>
        </w:rPr>
        <w:t>mQTL</w:t>
      </w:r>
      <w:proofErr w:type="spellEnd"/>
      <w:r w:rsidRPr="002A3595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2A3595">
        <w:rPr>
          <w:rFonts w:ascii="Times New Roman" w:hAnsi="Times New Roman" w:cs="Times New Roman"/>
          <w:bCs/>
          <w:sz w:val="24"/>
          <w:szCs w:val="24"/>
        </w:rPr>
        <w:t>lysosulfatide</w:t>
      </w:r>
      <w:proofErr w:type="spellEnd"/>
      <w:r w:rsidRPr="002A3595">
        <w:rPr>
          <w:rFonts w:ascii="Times New Roman" w:hAnsi="Times New Roman" w:cs="Times New Roman"/>
          <w:bCs/>
          <w:sz w:val="24"/>
          <w:szCs w:val="24"/>
        </w:rPr>
        <w:t xml:space="preserve">. Boxplots show metabolite abundance across genotypes, whereas point plots show </w:t>
      </w:r>
      <w:proofErr w:type="spellStart"/>
      <w:r w:rsidRPr="002A3595">
        <w:rPr>
          <w:rFonts w:ascii="Times New Roman" w:hAnsi="Times New Roman" w:cs="Times New Roman"/>
          <w:bCs/>
          <w:sz w:val="24"/>
          <w:szCs w:val="24"/>
        </w:rPr>
        <w:t>mQTL</w:t>
      </w:r>
      <w:proofErr w:type="spellEnd"/>
      <w:r w:rsidRPr="002A3595">
        <w:rPr>
          <w:rFonts w:ascii="Times New Roman" w:hAnsi="Times New Roman" w:cs="Times New Roman"/>
          <w:bCs/>
          <w:sz w:val="24"/>
          <w:szCs w:val="24"/>
        </w:rPr>
        <w:t xml:space="preserve"> effect-size estimates with standard errors from the </w:t>
      </w:r>
      <w:proofErr w:type="spellStart"/>
      <w:r w:rsidRPr="002A3595">
        <w:rPr>
          <w:rFonts w:ascii="Times New Roman" w:hAnsi="Times New Roman" w:cs="Times New Roman"/>
          <w:bCs/>
          <w:sz w:val="24"/>
          <w:szCs w:val="24"/>
        </w:rPr>
        <w:t>mGWAS</w:t>
      </w:r>
      <w:proofErr w:type="spellEnd"/>
      <w:r w:rsidRPr="002A3595">
        <w:rPr>
          <w:rFonts w:ascii="Times New Roman" w:hAnsi="Times New Roman" w:cs="Times New Roman"/>
          <w:bCs/>
          <w:sz w:val="24"/>
          <w:szCs w:val="24"/>
        </w:rPr>
        <w:t>.</w:t>
      </w:r>
    </w:p>
    <w:p w:rsidR="008C283B" w:rsidRDefault="008C283B" w:rsidP="008C283B">
      <w:pPr>
        <w:widowControl/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50180" cy="5837416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5837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D4B" w:rsidRDefault="0068198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B3D4B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3D4B">
        <w:rPr>
          <w:rFonts w:ascii="Times New Roman" w:hAnsi="Times New Roman" w:cs="Times New Roman"/>
          <w:b/>
          <w:bCs/>
          <w:sz w:val="24"/>
          <w:szCs w:val="24"/>
        </w:rPr>
        <w:t>Context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sharing and specificity properties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mQTL</w:t>
      </w:r>
      <w:proofErr w:type="spellEnd"/>
      <w:r w:rsidR="007B3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across parity and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actation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stages.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, Relationship between the proportion of metabolites with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mQTL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sample size across different parity and lactation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stages</w:t>
      </w:r>
      <w:r w:rsidR="007B3D4B">
        <w:rPr>
          <w:rFonts w:ascii="Times New Roman" w:hAnsi="Times New Roman" w:cs="Times New Roman"/>
          <w:bCs/>
          <w:sz w:val="24"/>
          <w:szCs w:val="24"/>
        </w:rPr>
        <w:t xml:space="preserve"> in plasma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7B3D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3D4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B3D4B">
        <w:rPr>
          <w:rFonts w:ascii="Times New Roman" w:hAnsi="Times New Roman" w:cs="Times New Roman"/>
          <w:bCs/>
          <w:sz w:val="24"/>
          <w:szCs w:val="24"/>
        </w:rPr>
        <w:t xml:space="preserve">, Relationship between the proportion of metabolites with </w:t>
      </w:r>
      <w:proofErr w:type="spellStart"/>
      <w:r w:rsidR="007B3D4B">
        <w:rPr>
          <w:rFonts w:ascii="Times New Roman" w:hAnsi="Times New Roman" w:cs="Times New Roman"/>
          <w:bCs/>
          <w:sz w:val="24"/>
          <w:szCs w:val="24"/>
        </w:rPr>
        <w:t>mQTL</w:t>
      </w:r>
      <w:proofErr w:type="spellEnd"/>
      <w:r w:rsidR="007B3D4B">
        <w:rPr>
          <w:rFonts w:ascii="Times New Roman" w:hAnsi="Times New Roman" w:cs="Times New Roman"/>
          <w:bCs/>
          <w:sz w:val="24"/>
          <w:szCs w:val="24"/>
        </w:rPr>
        <w:t xml:space="preserve"> and sample size across different parity and lactation</w:t>
      </w:r>
      <w:r w:rsidR="007B3D4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7B3D4B">
        <w:rPr>
          <w:rFonts w:ascii="Times New Roman" w:hAnsi="Times New Roman" w:cs="Times New Roman"/>
          <w:bCs/>
          <w:sz w:val="24"/>
          <w:szCs w:val="24"/>
        </w:rPr>
        <w:t xml:space="preserve">stages in serum. </w:t>
      </w:r>
      <w:r w:rsidR="007B3D4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B3D4B">
        <w:rPr>
          <w:rFonts w:ascii="Times New Roman" w:hAnsi="Times New Roman" w:cs="Times New Roman"/>
          <w:bCs/>
          <w:sz w:val="24"/>
          <w:szCs w:val="24"/>
        </w:rPr>
        <w:t>, Example</w:t>
      </w:r>
      <w:r w:rsidR="007B3D4B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7B3D4B">
        <w:rPr>
          <w:rFonts w:ascii="Times New Roman" w:hAnsi="Times New Roman" w:cs="Times New Roman"/>
          <w:bCs/>
          <w:sz w:val="24"/>
          <w:szCs w:val="24"/>
        </w:rPr>
        <w:t xml:space="preserve"> of parity- or lactation-stage specific </w:t>
      </w:r>
      <w:proofErr w:type="spellStart"/>
      <w:r w:rsidR="007B3D4B">
        <w:rPr>
          <w:rFonts w:ascii="Times New Roman" w:hAnsi="Times New Roman" w:cs="Times New Roman"/>
          <w:bCs/>
          <w:sz w:val="24"/>
          <w:szCs w:val="24"/>
        </w:rPr>
        <w:t>mQTL</w:t>
      </w:r>
      <w:proofErr w:type="spellEnd"/>
      <w:r w:rsidR="007B3D4B">
        <w:rPr>
          <w:rFonts w:ascii="Times New Roman" w:hAnsi="Times New Roman" w:cs="Times New Roman"/>
          <w:bCs/>
          <w:sz w:val="24"/>
          <w:szCs w:val="24"/>
        </w:rPr>
        <w:t xml:space="preserve"> in plasma. </w:t>
      </w:r>
      <w:r w:rsidR="007B3D4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7B3D4B">
        <w:rPr>
          <w:rFonts w:ascii="Times New Roman" w:hAnsi="Times New Roman" w:cs="Times New Roman"/>
          <w:bCs/>
          <w:sz w:val="24"/>
          <w:szCs w:val="24"/>
        </w:rPr>
        <w:t>, Example</w:t>
      </w:r>
      <w:r w:rsidR="007B3D4B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7B3D4B">
        <w:rPr>
          <w:rFonts w:ascii="Times New Roman" w:hAnsi="Times New Roman" w:cs="Times New Roman"/>
          <w:bCs/>
          <w:sz w:val="24"/>
          <w:szCs w:val="24"/>
        </w:rPr>
        <w:t xml:space="preserve"> of parity- or lactation-stage specific </w:t>
      </w:r>
      <w:proofErr w:type="spellStart"/>
      <w:r w:rsidR="007B3D4B">
        <w:rPr>
          <w:rFonts w:ascii="Times New Roman" w:hAnsi="Times New Roman" w:cs="Times New Roman"/>
          <w:bCs/>
          <w:sz w:val="24"/>
          <w:szCs w:val="24"/>
        </w:rPr>
        <w:t>mQTL</w:t>
      </w:r>
      <w:proofErr w:type="spellEnd"/>
      <w:r w:rsidR="007B3D4B">
        <w:rPr>
          <w:rFonts w:ascii="Times New Roman" w:hAnsi="Times New Roman" w:cs="Times New Roman"/>
          <w:bCs/>
          <w:sz w:val="24"/>
          <w:szCs w:val="24"/>
        </w:rPr>
        <w:t xml:space="preserve"> in serum.</w:t>
      </w:r>
    </w:p>
    <w:p w:rsidR="007B3D4B" w:rsidRPr="007B3D4B" w:rsidRDefault="007B3D4B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7B3D4B" w:rsidRDefault="007B3D4B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8F1C9D" w:rsidRDefault="008F1C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lastRenderedPageBreak/>
        <w:drawing>
          <wp:inline distT="0" distB="0" distL="0" distR="0">
            <wp:extent cx="5233670" cy="4062369"/>
            <wp:effectExtent l="0" t="0" r="508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4062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10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Characteristics and functional annotation of colocalization signals.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, Relationship between the number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mQTL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the number of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colocalization </w:t>
      </w:r>
      <w:r>
        <w:rPr>
          <w:rFonts w:ascii="Times New Roman" w:hAnsi="Times New Roman" w:cs="Times New Roman"/>
          <w:bCs/>
          <w:sz w:val="24"/>
          <w:szCs w:val="24"/>
        </w:rPr>
        <w:t>events per metabolite in plasma and serum. Each point represents one metabolite; solid lines indicate linear regression fits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shaded areas denote 95% confidence intervals. Pearson correlation coefficients and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corresponding </w:t>
      </w:r>
      <w:r>
        <w:rPr>
          <w:rFonts w:ascii="Times New Roman" w:hAnsi="Times New Roman" w:cs="Times New Roman"/>
          <w:bCs/>
          <w:sz w:val="24"/>
          <w:szCs w:val="24"/>
        </w:rPr>
        <w:t xml:space="preserve">two-sided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>
        <w:rPr>
          <w:rFonts w:ascii="Times New Roman" w:hAnsi="Times New Roman" w:cs="Times New Roman" w:hint="eastAsia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values are shown.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7B3D4B" w:rsidRPr="007B3D4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B3D4B">
        <w:rPr>
          <w:rFonts w:ascii="Times New Roman" w:hAnsi="Times New Roman" w:cs="Times New Roman" w:hint="eastAsia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, Distribution of the number of tissues showing colocalization for each metabolite in plasma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) and serum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). Median values are indicated.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, Functional enrichment analysis of genes implicated by colocalization in plasma.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, Functional enrichment analysis of genes implicated by colocalization in serum. Enriched terms from Gene Ontology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of </w:t>
      </w:r>
      <w:r>
        <w:rPr>
          <w:rFonts w:ascii="Times New Roman" w:hAnsi="Times New Roman" w:cs="Times New Roman"/>
          <w:bCs/>
          <w:sz w:val="24"/>
          <w:szCs w:val="24"/>
        </w:rPr>
        <w:t xml:space="preserve">biological process (BP), cellular component (CC),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</w:rPr>
        <w:t>molecular function (MF) and KEGG pathways are shown.</w:t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lastRenderedPageBreak/>
        <w:drawing>
          <wp:inline distT="0" distB="0" distL="0" distR="0">
            <wp:extent cx="5231130" cy="7599045"/>
            <wp:effectExtent l="0" t="0" r="762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759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11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Schematic overview of glycolysis and the tricarboxylic acid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(TCA) </w:t>
      </w:r>
      <w:r>
        <w:rPr>
          <w:rFonts w:ascii="Times New Roman" w:hAnsi="Times New Roman" w:cs="Times New Roman"/>
          <w:b/>
          <w:bCs/>
          <w:sz w:val="24"/>
          <w:szCs w:val="24"/>
        </w:rPr>
        <w:t>cycle.</w:t>
      </w:r>
      <w:r>
        <w:rPr>
          <w:rFonts w:ascii="Times New Roman" w:hAnsi="Times New Roman" w:cs="Times New Roman"/>
          <w:bCs/>
          <w:sz w:val="24"/>
          <w:szCs w:val="24"/>
        </w:rPr>
        <w:t xml:space="preserve"> In glycolysis, KDM8 </w:t>
      </w:r>
      <w:r>
        <w:rPr>
          <w:rFonts w:ascii="Times New Roman" w:hAnsi="Times New Roman" w:cs="Times New Roman" w:hint="eastAsia"/>
          <w:bCs/>
          <w:sz w:val="24"/>
          <w:szCs w:val="24"/>
        </w:rPr>
        <w:t>has been reported</w:t>
      </w:r>
      <w:r>
        <w:rPr>
          <w:rFonts w:ascii="Times New Roman" w:hAnsi="Times New Roman" w:cs="Times New Roman"/>
          <w:bCs/>
          <w:sz w:val="24"/>
          <w:szCs w:val="24"/>
        </w:rPr>
        <w:t xml:space="preserve"> to regulate PKM2, which catalyzes the conversion of phosphoenolpyruvate to pyruvate. The dashed red line indicates the </w:t>
      </w:r>
      <w:r>
        <w:rPr>
          <w:rFonts w:ascii="Times New Roman" w:hAnsi="Times New Roman" w:cs="Times New Roman" w:hint="eastAsia"/>
          <w:bCs/>
          <w:sz w:val="24"/>
          <w:szCs w:val="24"/>
        </w:rPr>
        <w:t>colocalization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between KDM8 expression and malic acid levels. Arrows denote metabolic flow, and key enzymatic steps are indicated.</w:t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lastRenderedPageBreak/>
        <w:drawing>
          <wp:inline distT="0" distB="0" distL="0" distR="0">
            <wp:extent cx="5226050" cy="3336290"/>
            <wp:effectExtent l="0" t="0" r="1270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333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12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Schematic overview of tryptophan metabolism.</w:t>
      </w:r>
      <w:r>
        <w:rPr>
          <w:rFonts w:ascii="Times New Roman" w:hAnsi="Times New Roman" w:cs="Times New Roman"/>
          <w:bCs/>
          <w:sz w:val="24"/>
          <w:szCs w:val="24"/>
        </w:rPr>
        <w:t xml:space="preserve"> Tryptophan is metabolized through three major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pathway </w:t>
      </w:r>
      <w:r>
        <w:rPr>
          <w:rFonts w:ascii="Times New Roman" w:hAnsi="Times New Roman" w:cs="Times New Roman"/>
          <w:bCs/>
          <w:sz w:val="24"/>
          <w:szCs w:val="24"/>
        </w:rPr>
        <w:t>branches: the serotonin pathway, the indole pathway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the kynurenine pathway. Key intermediates and downstream metabolites are shown. Major enzymes involved in each step are indicated. Arrows denote the direction of metabolic conversions.</w:t>
      </w: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8F1C9D" w:rsidRDefault="00681984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lastRenderedPageBreak/>
        <w:drawing>
          <wp:inline distT="0" distB="0" distL="0" distR="0">
            <wp:extent cx="5238750" cy="1139825"/>
            <wp:effectExtent l="0" t="0" r="6350" b="31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13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xamples of colocalization between serum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mQTL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cis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eQTL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Regional colocalization plots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are shown</w:t>
      </w:r>
      <w:r>
        <w:rPr>
          <w:rFonts w:ascii="Times New Roman" w:hAnsi="Times New Roman" w:cs="Times New Roman"/>
          <w:bCs/>
          <w:sz w:val="24"/>
          <w:szCs w:val="24"/>
        </w:rPr>
        <w:t xml:space="preserve"> for serum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mQTL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of 3-</w:t>
      </w:r>
      <w:r>
        <w:rPr>
          <w:rFonts w:ascii="Times New Roman" w:hAnsi="Times New Roman" w:cs="Times New Roman" w:hint="eastAsia"/>
          <w:bCs/>
          <w:sz w:val="24"/>
          <w:szCs w:val="24"/>
        </w:rPr>
        <w:t>h</w:t>
      </w:r>
      <w:r>
        <w:rPr>
          <w:rFonts w:ascii="Times New Roman" w:hAnsi="Times New Roman" w:cs="Times New Roman"/>
          <w:bCs/>
          <w:sz w:val="24"/>
          <w:szCs w:val="24"/>
        </w:rPr>
        <w:t xml:space="preserve">ydroxyanthranilic acid, </w:t>
      </w:r>
      <w:r>
        <w:rPr>
          <w:rFonts w:ascii="Times New Roman" w:hAnsi="Times New Roman" w:cs="Times New Roman" w:hint="eastAsia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nthranilic acid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 xml:space="preserve">ynurenic acid, each colocalized with </w:t>
      </w:r>
      <w:r>
        <w:rPr>
          <w:rFonts w:ascii="Times New Roman" w:hAnsi="Times New Roman" w:cs="Times New Roman"/>
          <w:bCs/>
          <w:i/>
          <w:sz w:val="24"/>
          <w:szCs w:val="24"/>
        </w:rPr>
        <w:t>cis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eQTL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>
        <w:rPr>
          <w:rFonts w:ascii="Times New Roman" w:hAnsi="Times New Roman" w:cs="Times New Roman"/>
          <w:bCs/>
          <w:i/>
          <w:sz w:val="24"/>
          <w:szCs w:val="24"/>
        </w:rPr>
        <w:t>KMO</w:t>
      </w:r>
      <w:r>
        <w:rPr>
          <w:rFonts w:ascii="Times New Roman" w:hAnsi="Times New Roman" w:cs="Times New Roman"/>
          <w:bCs/>
          <w:sz w:val="24"/>
          <w:szCs w:val="24"/>
        </w:rPr>
        <w:t xml:space="preserve"> in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the</w:t>
      </w:r>
      <w:r>
        <w:rPr>
          <w:rFonts w:ascii="Times New Roman" w:hAnsi="Times New Roman" w:cs="Times New Roman"/>
          <w:bCs/>
          <w:sz w:val="24"/>
          <w:szCs w:val="24"/>
        </w:rPr>
        <w:t xml:space="preserve"> liver.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Variants are colored according to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their </w:t>
      </w:r>
      <w:r>
        <w:rPr>
          <w:rFonts w:ascii="Times New Roman" w:hAnsi="Times New Roman" w:cs="Times New Roman"/>
          <w:bCs/>
          <w:sz w:val="24"/>
          <w:szCs w:val="24"/>
        </w:rPr>
        <w:t>linkage disequilibrium (</w:t>
      </w:r>
      <w:r>
        <w:rPr>
          <w:rFonts w:ascii="Times New Roman" w:hAnsi="Times New Roman" w:cs="Times New Roman"/>
          <w:bCs/>
          <w:i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²) with the lead colocalized variant. Dashed horizontal lines indicate the significance threshold.</w:t>
      </w: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8F1C9D" w:rsidRDefault="00681984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78755" cy="4337050"/>
            <wp:effectExtent l="0" t="0" r="4445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433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14 | Summary of stage-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based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colocalization signals across tissues.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Proportion of colocalization events across tissues for plasma and serum metabolites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stratified by parity and lactation stages. Stacked bars represent the tissue composition of colocalized signals within each stage.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, Distribution of the number of tissues showing colocalization for each metabolite in plasma and serum across parity and lactation stages.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, Summary of stage-specific colocalization events in which a plasma metabolite was colocalized only in a single stage with the </w:t>
      </w:r>
      <w:r>
        <w:rPr>
          <w:rFonts w:ascii="Times New Roman" w:hAnsi="Times New Roman" w:cs="Times New Roman"/>
          <w:bCs/>
          <w:i/>
          <w:sz w:val="24"/>
          <w:szCs w:val="24"/>
        </w:rPr>
        <w:t>cis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eQTL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of a single gene in a single tissue. </w:t>
      </w:r>
      <w:r>
        <w:rPr>
          <w:rFonts w:ascii="Times New Roman" w:hAnsi="Times New Roman" w:cs="Times New Roman"/>
          <w:b/>
          <w:sz w:val="24"/>
          <w:szCs w:val="24"/>
        </w:rPr>
        <w:t>d,</w:t>
      </w:r>
      <w:r>
        <w:rPr>
          <w:rFonts w:ascii="Times New Roman" w:hAnsi="Times New Roman" w:cs="Times New Roman"/>
          <w:bCs/>
          <w:sz w:val="24"/>
          <w:szCs w:val="24"/>
        </w:rPr>
        <w:t xml:space="preserve"> Regional colocalization plots for a stage-specific signal at the </w:t>
      </w:r>
      <w:r>
        <w:rPr>
          <w:rFonts w:ascii="Times New Roman" w:hAnsi="Times New Roman" w:cs="Times New Roman"/>
          <w:bCs/>
          <w:i/>
          <w:sz w:val="24"/>
          <w:szCs w:val="24"/>
        </w:rPr>
        <w:t>KMO</w:t>
      </w:r>
      <w:r>
        <w:rPr>
          <w:rFonts w:ascii="Times New Roman" w:hAnsi="Times New Roman" w:cs="Times New Roman"/>
          <w:bCs/>
          <w:sz w:val="24"/>
          <w:szCs w:val="24"/>
        </w:rPr>
        <w:t xml:space="preserve"> locus in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</w:rPr>
        <w:t>liver across lactation stages. The top four panels show metabolite association signals in the perinatal, early, peak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end stages, and the bottom panel shows the corresponding liver </w:t>
      </w:r>
      <w:r>
        <w:rPr>
          <w:rFonts w:ascii="Times New Roman" w:hAnsi="Times New Roman" w:cs="Times New Roman"/>
          <w:bCs/>
          <w:i/>
          <w:sz w:val="24"/>
          <w:szCs w:val="24"/>
        </w:rPr>
        <w:t>KMO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cis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eQTL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signal. Variants are colored according to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their</w:t>
      </w:r>
      <w:r>
        <w:rPr>
          <w:rFonts w:ascii="Times New Roman" w:hAnsi="Times New Roman" w:cs="Times New Roman"/>
          <w:bCs/>
          <w:sz w:val="24"/>
          <w:szCs w:val="24"/>
        </w:rPr>
        <w:t xml:space="preserve"> linkage disequilibrium (</w:t>
      </w:r>
      <w:r>
        <w:rPr>
          <w:rFonts w:ascii="Times New Roman" w:hAnsi="Times New Roman" w:cs="Times New Roman"/>
          <w:bCs/>
          <w:i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²) with the lead colocalized variant. Dashed horizontal lines indicate the significance threshold.</w:t>
      </w: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lastRenderedPageBreak/>
        <w:drawing>
          <wp:inline distT="0" distB="0" distL="0" distR="0">
            <wp:extent cx="5273675" cy="7370445"/>
            <wp:effectExtent l="0" t="0" r="3175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37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15 | </w:t>
      </w:r>
      <w:r>
        <w:rPr>
          <w:rFonts w:ascii="Times New Roman" w:hAnsi="Times New Roman" w:cs="Times New Roman"/>
          <w:bCs/>
          <w:sz w:val="24"/>
          <w:szCs w:val="24"/>
        </w:rPr>
        <w:t xml:space="preserve">Summary of stage-specific colocalization events in which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 xml:space="preserve">serum metabolite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exclusively </w:t>
      </w:r>
      <w:r>
        <w:rPr>
          <w:rFonts w:ascii="Times New Roman" w:hAnsi="Times New Roman" w:cs="Times New Roman"/>
          <w:bCs/>
          <w:sz w:val="24"/>
          <w:szCs w:val="24"/>
        </w:rPr>
        <w:t xml:space="preserve">colocalize </w:t>
      </w:r>
      <w:r>
        <w:rPr>
          <w:rFonts w:ascii="Times New Roman" w:hAnsi="Times New Roman" w:cs="Times New Roman" w:hint="eastAsia"/>
          <w:bCs/>
          <w:sz w:val="24"/>
          <w:szCs w:val="24"/>
        </w:rPr>
        <w:t>within</w:t>
      </w:r>
      <w:r>
        <w:rPr>
          <w:rFonts w:ascii="Times New Roman" w:hAnsi="Times New Roman" w:cs="Times New Roman"/>
          <w:bCs/>
          <w:sz w:val="24"/>
          <w:szCs w:val="24"/>
        </w:rPr>
        <w:t xml:space="preserve"> a single stage with the </w:t>
      </w:r>
      <w:r>
        <w:rPr>
          <w:rFonts w:ascii="Times New Roman" w:hAnsi="Times New Roman" w:cs="Times New Roman"/>
          <w:bCs/>
          <w:i/>
          <w:sz w:val="24"/>
          <w:szCs w:val="24"/>
        </w:rPr>
        <w:t>cis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eQTL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of a single gene in a single tissue.</w:t>
      </w: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lastRenderedPageBreak/>
        <w:drawing>
          <wp:inline distT="0" distB="0" distL="0" distR="0">
            <wp:extent cx="5251450" cy="6727825"/>
            <wp:effectExtent l="0" t="0" r="635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672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16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Summary data-based Mendelian randomization (SMR) associations in plasma and serum.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a</w:t>
      </w:r>
      <w:r>
        <w:rPr>
          <w:rFonts w:ascii="Times New Roman" w:hAnsi="Times New Roman" w:cs="Times New Roman"/>
          <w:bCs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UpSetR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plot showing the overlap between significant E2M_SMR (gene expression to metabolite level) and M2E_SMR (metabolite level to gene expression) associations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value</w:t>
      </w:r>
      <w:r>
        <w:rPr>
          <w:rFonts w:ascii="Times New Roman" w:hAnsi="Times New Roman" w:cs="Times New Roman"/>
          <w:sz w:val="24"/>
          <w:szCs w:val="24"/>
          <w:vertAlign w:val="subscript"/>
        </w:rPr>
        <w:t>SMR</w:t>
      </w:r>
      <w:proofErr w:type="spellEnd"/>
      <w:r>
        <w:rPr>
          <w:rFonts w:ascii="Times New Roman" w:hAnsi="Times New Roman" w:cs="Times New Roman"/>
          <w:sz w:val="24"/>
          <w:szCs w:val="24"/>
        </w:rPr>
        <w:t> &lt; 5 × 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iCs/>
          <w:sz w:val="24"/>
          <w:szCs w:val="24"/>
        </w:rPr>
        <w:t>-</w:t>
      </w:r>
      <w:proofErr w:type="spellStart"/>
      <w:r>
        <w:rPr>
          <w:rFonts w:ascii="Times New Roman" w:hAnsi="Times New Roman" w:cs="Times New Roman" w:hint="eastAsia"/>
          <w:iCs/>
          <w:sz w:val="24"/>
          <w:szCs w:val="24"/>
        </w:rPr>
        <w:t>value</w:t>
      </w:r>
      <w:r>
        <w:rPr>
          <w:rFonts w:ascii="Times New Roman" w:hAnsi="Times New Roman" w:cs="Times New Roman"/>
          <w:sz w:val="24"/>
          <w:szCs w:val="24"/>
          <w:vertAlign w:val="subscript"/>
        </w:rPr>
        <w:t>HEIDI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&gt; 0.05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8"/>
        </w:rPr>
        <w:t>in plasma and serum.</w:t>
      </w:r>
      <w:r>
        <w:rPr>
          <w:rFonts w:ascii="Times New Roman" w:hAnsi="Times New Roman" w:cs="Times New Roman" w:hint="eastAsia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/>
          <w:bCs/>
          <w:sz w:val="24"/>
          <w:szCs w:val="28"/>
        </w:rPr>
        <w:t>, Proportion of SMR associations overlapping with colocalization results in plasma and serum.</w:t>
      </w:r>
      <w:r>
        <w:rPr>
          <w:rFonts w:ascii="Times New Roman" w:hAnsi="Times New Roman" w:cs="Times New Roman" w:hint="eastAsia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, Heatmaps showing the number of significant E2M_SMR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) and M2E_SMR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) associations for each plasma metabolite across tissues.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>, Heatmaps showing the number of significant E2M_SMR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>) and M2E_SMR 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 xml:space="preserve">) associations for each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serum </w:t>
      </w:r>
      <w:r>
        <w:rPr>
          <w:rFonts w:ascii="Times New Roman" w:hAnsi="Times New Roman" w:cs="Times New Roman"/>
          <w:bCs/>
          <w:sz w:val="24"/>
          <w:szCs w:val="24"/>
        </w:rPr>
        <w:t>metabolite across tissues. Rows represent tissues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columns represent metabolites. Metabolites are ordered by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hierarchical clustering based on the tissue distribution of colocalization events.</w:t>
      </w: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8F1C9D" w:rsidRDefault="008F1C9D" w:rsidP="004775A0">
      <w:pPr>
        <w:autoSpaceDE w:val="0"/>
        <w:autoSpaceDN w:val="0"/>
        <w:adjustRightInd w:val="0"/>
      </w:pPr>
    </w:p>
    <w:p w:rsidR="008F1C9D" w:rsidRDefault="006819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126390" cy="3824768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390" cy="382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C9D" w:rsidRDefault="0068198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17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| a</w:t>
      </w:r>
      <w:r>
        <w:rPr>
          <w:rFonts w:ascii="Times New Roman" w:hAnsi="Times New Roman" w:cs="Times New Roman"/>
          <w:bCs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Association between stromal cells and </w:t>
      </w:r>
      <w:r>
        <w:rPr>
          <w:rFonts w:ascii="Times New Roman" w:hAnsi="Times New Roman" w:cs="Times New Roman"/>
          <w:bCs/>
          <w:sz w:val="24"/>
          <w:szCs w:val="24"/>
        </w:rPr>
        <w:t>D-</w:t>
      </w:r>
      <w:r>
        <w:rPr>
          <w:rFonts w:ascii="Times New Roman" w:hAnsi="Times New Roman" w:cs="Times New Roman" w:hint="eastAsia"/>
          <w:bCs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>lucuronic acid 1-phosphate</w:t>
      </w:r>
      <w:r>
        <w:rPr>
          <w:rFonts w:ascii="Times New Roman" w:hAnsi="Times New Roman" w:cs="Times New Roman"/>
          <w:sz w:val="24"/>
          <w:szCs w:val="24"/>
        </w:rPr>
        <w:t xml:space="preserve">. The violin plot presents the TRS for each cell type with the </w:t>
      </w:r>
      <w:r>
        <w:rPr>
          <w:rFonts w:ascii="Times New Roman" w:hAnsi="Times New Roman" w:cs="Times New Roman"/>
          <w:bCs/>
          <w:sz w:val="24"/>
          <w:szCs w:val="24"/>
        </w:rPr>
        <w:t>D-</w:t>
      </w:r>
      <w:r>
        <w:rPr>
          <w:rFonts w:ascii="Times New Roman" w:hAnsi="Times New Roman" w:cs="Times New Roman" w:hint="eastAsia"/>
          <w:bCs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>lucuronic acid 1-phosphate</w:t>
      </w:r>
      <w:r>
        <w:rPr>
          <w:rFonts w:ascii="Times New Roman" w:hAnsi="Times New Roman" w:cs="Times New Roman"/>
          <w:bCs/>
          <w:sz w:val="24"/>
          <w:szCs w:val="28"/>
        </w:rPr>
        <w:t>.</w:t>
      </w:r>
      <w:r>
        <w:rPr>
          <w:rFonts w:ascii="Times New Roman" w:hAnsi="Times New Roman" w:cs="Times New Roman" w:hint="eastAsia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/>
          <w:bCs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Active KEGG pathways in the top significant trait-relevant cell types. Dot size represents the significance level (-log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(</w:t>
      </w:r>
      <w:r w:rsidR="005A12B3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)) of pathway activity; the dot color represents the significance level (FDR) after multiple comparisons of the enrichment between active pathway genes and top metabolism-relevant genes in the given cell type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Association between carbohydrate metabolism and nervous cells. Each circle represents a cell type–trait association. The </w:t>
      </w:r>
      <w:r>
        <w:rPr>
          <w:rFonts w:ascii="Times New Roman" w:hAnsi="Times New Roman" w:cs="Times New Roman"/>
          <w:i/>
          <w:i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 axis represents cell lineages sorted alphabetically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F1C9D" w:rsidRDefault="008F1C9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8F1C9D" w:rsidRDefault="00681984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8F1C9D" w:rsidRDefault="00681984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237480" cy="6899275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071" cy="689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18 |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Mendelian randomization (MR) reveals candidate causal metabolites across traits.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Number of significant plasma and serum metabolites identified by Mendelian randomization for production, reproduction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health traits.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, Distribution of the number of associated traits per metabolite in plasma and serum.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Overlap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of significant metabolites identified in plasma and serum.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>, Estimated Mendelian randomization effect sizes for representative significant metabolites associated with traits in plasma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) and serum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). Points indicate effect estimates with standard errors derived from the </w:t>
      </w:r>
      <w:r>
        <w:rPr>
          <w:rFonts w:ascii="Times New Roman" w:hAnsi="Times New Roman" w:cs="Times New Roman" w:hint="eastAsia"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</w:rPr>
        <w:t>nverse variance weighted</w:t>
      </w:r>
      <w:r>
        <w:rPr>
          <w:rFonts w:ascii="Times New Roman" w:hAnsi="Times New Roman" w:cs="Times New Roman" w:hint="eastAsia"/>
          <w:sz w:val="24"/>
          <w:szCs w:val="28"/>
        </w:rPr>
        <w:t xml:space="preserve"> (IVW)</w:t>
      </w:r>
      <w:r>
        <w:rPr>
          <w:rFonts w:ascii="Times New Roman" w:hAnsi="Times New Roman" w:cs="Times New Roman"/>
          <w:bCs/>
          <w:sz w:val="24"/>
          <w:szCs w:val="24"/>
        </w:rPr>
        <w:t xml:space="preserve"> in MR analysis.</w:t>
      </w:r>
    </w:p>
    <w:p w:rsidR="008F1C9D" w:rsidRDefault="00681984">
      <w:pPr>
        <w:jc w:val="center"/>
      </w:pPr>
      <w:r>
        <w:rPr>
          <w:noProof/>
        </w:rPr>
        <w:lastRenderedPageBreak/>
        <w:drawing>
          <wp:inline distT="0" distB="0" distL="0" distR="0">
            <wp:extent cx="3754120" cy="195199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2809" cy="1977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C9D" w:rsidRDefault="0068198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19 | Overlap of predicted target genes for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ZNF331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across three databases.</w:t>
      </w:r>
      <w:r>
        <w:rPr>
          <w:rFonts w:ascii="Times New Roman" w:hAnsi="Times New Roman" w:cs="Times New Roman"/>
          <w:bCs/>
          <w:sz w:val="24"/>
          <w:szCs w:val="24"/>
        </w:rPr>
        <w:t xml:space="preserve"> Shared genes are shown in the right panel.</w:t>
      </w:r>
    </w:p>
    <w:p w:rsidR="008F1C9D" w:rsidRDefault="008F1C9D"/>
    <w:p w:rsidR="008F1C9D" w:rsidRDefault="008F1C9D"/>
    <w:p w:rsidR="008F1C9D" w:rsidRDefault="00681984">
      <w:pPr>
        <w:widowControl/>
        <w:jc w:val="left"/>
      </w:pPr>
      <w:r>
        <w:br w:type="page"/>
      </w:r>
    </w:p>
    <w:p w:rsidR="008F1C9D" w:rsidRDefault="00681984">
      <w:pPr>
        <w:jc w:val="center"/>
      </w:pPr>
      <w:r>
        <w:rPr>
          <w:noProof/>
        </w:rPr>
        <w:lastRenderedPageBreak/>
        <w:drawing>
          <wp:inline distT="0" distB="0" distL="0" distR="0">
            <wp:extent cx="5219999" cy="490466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999" cy="490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C9D" w:rsidRDefault="0068198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20 | Cross-species comparison of metabolite heritability and heritability enrichment at orthologous loci.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, Correlation of metabolite heritability estimates between cattle and humans for overlapping plasma metabolites using human CLSA cohort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) and serum metabolites using human ZMSC,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WeBirth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THSBC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) cohort</w:t>
      </w:r>
      <w:r>
        <w:rPr>
          <w:rFonts w:ascii="Times New Roman" w:hAnsi="Times New Roman" w:cs="Times New Roman" w:hint="eastAsia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. Each point represents one metabolite. Solid lines indicate linear regression fits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shaded areas denote 95% confidence intervals. Pearson’s correlation coefficients and two-sided </w:t>
      </w:r>
      <w:r>
        <w:rPr>
          <w:rFonts w:ascii="Times New Roman" w:hAnsi="Times New Roman" w:cs="Times New Roman"/>
          <w:bCs/>
          <w:i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-values are shown.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, Proportion of cattle metabolite heritability explained by orthologous loci of human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 w:hint="eastAsia"/>
          <w:bCs/>
          <w:sz w:val="24"/>
          <w:szCs w:val="24"/>
        </w:rPr>
        <w:t>QTL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MAF-matched random loci for overlapping plasma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) and serum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) metabolites shared between cattle and humans. Colors indicate the proportion of heritability explained by each locus set. Green boxes indicate metabolites for which orthologous loci explained &gt;5% of heritability.</w:t>
      </w:r>
    </w:p>
    <w:p w:rsidR="008F1C9D" w:rsidRDefault="008F1C9D"/>
    <w:sectPr w:rsidR="008F1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51A" w:rsidRDefault="0015351A" w:rsidP="004775A0">
      <w:r>
        <w:separator/>
      </w:r>
    </w:p>
  </w:endnote>
  <w:endnote w:type="continuationSeparator" w:id="0">
    <w:p w:rsidR="0015351A" w:rsidRDefault="0015351A" w:rsidP="0047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51A" w:rsidRDefault="0015351A" w:rsidP="004775A0">
      <w:r>
        <w:separator/>
      </w:r>
    </w:p>
  </w:footnote>
  <w:footnote w:type="continuationSeparator" w:id="0">
    <w:p w:rsidR="0015351A" w:rsidRDefault="0015351A" w:rsidP="00477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949"/>
    <w:rsid w:val="0003302C"/>
    <w:rsid w:val="000465F7"/>
    <w:rsid w:val="000B0C84"/>
    <w:rsid w:val="000B2052"/>
    <w:rsid w:val="000C4AEF"/>
    <w:rsid w:val="0015351A"/>
    <w:rsid w:val="001D5636"/>
    <w:rsid w:val="00232807"/>
    <w:rsid w:val="002453CD"/>
    <w:rsid w:val="0026535F"/>
    <w:rsid w:val="00291D7C"/>
    <w:rsid w:val="00297516"/>
    <w:rsid w:val="002A3595"/>
    <w:rsid w:val="002B2570"/>
    <w:rsid w:val="002C253D"/>
    <w:rsid w:val="002C491A"/>
    <w:rsid w:val="002D59BD"/>
    <w:rsid w:val="00316856"/>
    <w:rsid w:val="00322B45"/>
    <w:rsid w:val="003E5966"/>
    <w:rsid w:val="00406FCA"/>
    <w:rsid w:val="00442A80"/>
    <w:rsid w:val="004775A0"/>
    <w:rsid w:val="00492F77"/>
    <w:rsid w:val="004A0D2B"/>
    <w:rsid w:val="004D3200"/>
    <w:rsid w:val="004E6F6E"/>
    <w:rsid w:val="00553E11"/>
    <w:rsid w:val="00577BFF"/>
    <w:rsid w:val="00582FC0"/>
    <w:rsid w:val="005A12B3"/>
    <w:rsid w:val="005C1AB2"/>
    <w:rsid w:val="005D6252"/>
    <w:rsid w:val="00681984"/>
    <w:rsid w:val="006E0509"/>
    <w:rsid w:val="006F0477"/>
    <w:rsid w:val="00714A56"/>
    <w:rsid w:val="007B3D4B"/>
    <w:rsid w:val="007E088B"/>
    <w:rsid w:val="008172C7"/>
    <w:rsid w:val="008615D9"/>
    <w:rsid w:val="008839CC"/>
    <w:rsid w:val="008C283B"/>
    <w:rsid w:val="008F1C9D"/>
    <w:rsid w:val="00965502"/>
    <w:rsid w:val="009809AA"/>
    <w:rsid w:val="00A71093"/>
    <w:rsid w:val="00AC684F"/>
    <w:rsid w:val="00AE6A39"/>
    <w:rsid w:val="00B23306"/>
    <w:rsid w:val="00B35C95"/>
    <w:rsid w:val="00B41A4B"/>
    <w:rsid w:val="00B57EF4"/>
    <w:rsid w:val="00BB5527"/>
    <w:rsid w:val="00CA1E9A"/>
    <w:rsid w:val="00CF52FE"/>
    <w:rsid w:val="00D85B93"/>
    <w:rsid w:val="00DB23C6"/>
    <w:rsid w:val="00DD4AA9"/>
    <w:rsid w:val="00DD6F41"/>
    <w:rsid w:val="00E30AAF"/>
    <w:rsid w:val="00E724FA"/>
    <w:rsid w:val="00E74D3A"/>
    <w:rsid w:val="00E879BF"/>
    <w:rsid w:val="00ED5949"/>
    <w:rsid w:val="00EE4728"/>
    <w:rsid w:val="00F41351"/>
    <w:rsid w:val="00F83F2D"/>
    <w:rsid w:val="00F934C6"/>
    <w:rsid w:val="00FA67EF"/>
    <w:rsid w:val="00FB111D"/>
    <w:rsid w:val="00FB50B5"/>
    <w:rsid w:val="06145368"/>
    <w:rsid w:val="107B324F"/>
    <w:rsid w:val="1ACB41A7"/>
    <w:rsid w:val="1AE14356"/>
    <w:rsid w:val="1F83778A"/>
    <w:rsid w:val="1FA179B9"/>
    <w:rsid w:val="227A05A1"/>
    <w:rsid w:val="2567514D"/>
    <w:rsid w:val="273E3F20"/>
    <w:rsid w:val="355F1216"/>
    <w:rsid w:val="44DB5385"/>
    <w:rsid w:val="4CC46BAF"/>
    <w:rsid w:val="53346A84"/>
    <w:rsid w:val="53B11E10"/>
    <w:rsid w:val="53EF0107"/>
    <w:rsid w:val="5F950838"/>
    <w:rsid w:val="6FAD74D8"/>
    <w:rsid w:val="732D2E0A"/>
    <w:rsid w:val="732D79AD"/>
    <w:rsid w:val="787C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57429"/>
  <w15:docId w15:val="{F84D7973-41F6-4748-BCD8-D3AD6F43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22</Pages>
  <Words>1785</Words>
  <Characters>10175</Characters>
  <Application>Microsoft Office Word</Application>
  <DocSecurity>0</DocSecurity>
  <Lines>84</Lines>
  <Paragraphs>23</Paragraphs>
  <ScaleCrop>false</ScaleCrop>
  <Company/>
  <LinksUpToDate>false</LinksUpToDate>
  <CharactersWithSpaces>11937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Junteng</dc:creator>
  <cp:lastModifiedBy>Junteng</cp:lastModifiedBy>
  <cp:revision>31</cp:revision>
  <cp:lastPrinted>2026-05-10T01:06:00Z</cp:lastPrinted>
  <dcterms:created xsi:type="dcterms:W3CDTF">2026-03-28T09:32:00Z</dcterms:created>
  <dcterms:modified xsi:type="dcterms:W3CDTF">2026-07-14T09:01:00Z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eyJoZGlkIjoiZjU2MmMwODI1OWQzMDZlN2U5MTI3MzQ5NTJlNmRmY2IiLCJ1c2VySWQiOiIxNDM2MzE0MzQxIn0=</vt:lpwstr>
  </property>
  <property fmtid="{D5CDD505-2E9C-101B-9397-08002B2CF9AE}" pid="3" name="KSOProductBuildVer">
    <vt:lpwstr>2052-12.1.0.26895</vt:lpwstr>
  </property>
  <property fmtid="{D5CDD505-2E9C-101B-9397-08002B2CF9AE}" pid="4" name="ICV">
    <vt:lpwstr>48745E1A4C224B07B006467AA82E6FB6_12</vt:lpwstr>
  </property>
</Properties>
</file>