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BB7671" w14:textId="5415341C" w:rsidR="006E29EE" w:rsidRPr="00B65254" w:rsidRDefault="00C922B3" w:rsidP="00B72D65">
      <w:pPr>
        <w:jc w:val="center"/>
        <w:rPr>
          <w:b/>
          <w:bCs/>
          <w:sz w:val="32"/>
          <w:szCs w:val="32"/>
        </w:rPr>
      </w:pPr>
      <w:r w:rsidRPr="00B65254">
        <w:rPr>
          <w:b/>
          <w:bCs/>
          <w:sz w:val="32"/>
          <w:szCs w:val="32"/>
        </w:rPr>
        <w:t>Supplement</w:t>
      </w:r>
    </w:p>
    <w:sdt>
      <w:sdtPr>
        <w:rPr>
          <w:rFonts w:ascii="Times New Roman" w:eastAsia="Times New Roman" w:hAnsi="Times New Roman" w:cs="Times New Roman"/>
          <w:b w:val="0"/>
          <w:bCs w:val="0"/>
          <w:color w:val="auto"/>
          <w:sz w:val="24"/>
          <w:szCs w:val="24"/>
        </w:rPr>
        <w:id w:val="1451435200"/>
        <w:docPartObj>
          <w:docPartGallery w:val="Table of Contents"/>
          <w:docPartUnique/>
        </w:docPartObj>
      </w:sdtPr>
      <w:sdtEndPr>
        <w:rPr>
          <w:noProof/>
        </w:rPr>
      </w:sdtEndPr>
      <w:sdtContent>
        <w:p w14:paraId="56ED772C" w14:textId="175ECF41" w:rsidR="004E6BA5" w:rsidRPr="00B65254" w:rsidRDefault="004E6BA5">
          <w:pPr>
            <w:pStyle w:val="TOCHeading"/>
            <w:rPr>
              <w:rFonts w:ascii="Times New Roman" w:hAnsi="Times New Roman" w:cs="Times New Roman"/>
              <w:color w:val="auto"/>
            </w:rPr>
          </w:pPr>
          <w:r w:rsidRPr="00B65254">
            <w:rPr>
              <w:rFonts w:ascii="Times New Roman" w:hAnsi="Times New Roman" w:cs="Times New Roman"/>
              <w:color w:val="auto"/>
            </w:rPr>
            <w:t>Table of Contents</w:t>
          </w:r>
        </w:p>
        <w:p w14:paraId="5F9B3D5F" w14:textId="6B64C770" w:rsidR="004E6BA5" w:rsidRDefault="004E6BA5">
          <w:pPr>
            <w:pStyle w:val="TOC2"/>
            <w:tabs>
              <w:tab w:val="right" w:leader="dot" w:pos="9350"/>
            </w:tabs>
            <w:rPr>
              <w:rFonts w:eastAsiaTheme="minorEastAsia" w:cstheme="minorBidi"/>
              <w:smallCaps w:val="0"/>
              <w:noProof/>
              <w:kern w:val="2"/>
              <w:sz w:val="24"/>
              <w:szCs w:val="24"/>
              <w14:ligatures w14:val="standardContextual"/>
            </w:rPr>
          </w:pPr>
          <w:r>
            <w:fldChar w:fldCharType="begin"/>
          </w:r>
          <w:r>
            <w:instrText xml:space="preserve"> TOC \o "1-3" \h \z \u </w:instrText>
          </w:r>
          <w:r>
            <w:fldChar w:fldCharType="separate"/>
          </w:r>
          <w:hyperlink w:anchor="_Toc235161880" w:history="1">
            <w:r w:rsidRPr="00A47B91">
              <w:rPr>
                <w:rStyle w:val="Hyperlink"/>
                <w:rFonts w:ascii="Times New Roman" w:hAnsi="Times New Roman" w:cs="Times New Roman"/>
                <w:b/>
                <w:bCs/>
                <w:noProof/>
              </w:rPr>
              <w:t>Aedes larval habitat types and broader categories</w:t>
            </w:r>
            <w:r>
              <w:rPr>
                <w:noProof/>
                <w:webHidden/>
              </w:rPr>
              <w:tab/>
            </w:r>
            <w:r>
              <w:rPr>
                <w:noProof/>
                <w:webHidden/>
              </w:rPr>
              <w:fldChar w:fldCharType="begin"/>
            </w:r>
            <w:r>
              <w:rPr>
                <w:noProof/>
                <w:webHidden/>
              </w:rPr>
              <w:instrText xml:space="preserve"> PAGEREF _Toc235161880 \h </w:instrText>
            </w:r>
            <w:r>
              <w:rPr>
                <w:noProof/>
                <w:webHidden/>
              </w:rPr>
            </w:r>
            <w:r>
              <w:rPr>
                <w:noProof/>
                <w:webHidden/>
              </w:rPr>
              <w:fldChar w:fldCharType="separate"/>
            </w:r>
            <w:r w:rsidR="00325A39">
              <w:rPr>
                <w:noProof/>
                <w:webHidden/>
              </w:rPr>
              <w:t>2</w:t>
            </w:r>
            <w:r>
              <w:rPr>
                <w:noProof/>
                <w:webHidden/>
              </w:rPr>
              <w:fldChar w:fldCharType="end"/>
            </w:r>
          </w:hyperlink>
        </w:p>
        <w:p w14:paraId="618E5694" w14:textId="4D3E9C32"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81" w:history="1">
            <w:r w:rsidRPr="00A47B91">
              <w:rPr>
                <w:rStyle w:val="Hyperlink"/>
                <w:rFonts w:ascii="Times New Roman" w:hAnsi="Times New Roman"/>
                <w:b/>
                <w:bCs/>
                <w:noProof/>
              </w:rPr>
              <w:t>Table S1. Distribution of Aedes larval habitats by habitat type and habitat category in Sri Lanka, 2024–2025.</w:t>
            </w:r>
            <w:r>
              <w:rPr>
                <w:noProof/>
                <w:webHidden/>
              </w:rPr>
              <w:tab/>
            </w:r>
            <w:r>
              <w:rPr>
                <w:noProof/>
                <w:webHidden/>
              </w:rPr>
              <w:fldChar w:fldCharType="begin"/>
            </w:r>
            <w:r>
              <w:rPr>
                <w:noProof/>
                <w:webHidden/>
              </w:rPr>
              <w:instrText xml:space="preserve"> PAGEREF _Toc235161881 \h </w:instrText>
            </w:r>
            <w:r>
              <w:rPr>
                <w:noProof/>
                <w:webHidden/>
              </w:rPr>
            </w:r>
            <w:r>
              <w:rPr>
                <w:noProof/>
                <w:webHidden/>
              </w:rPr>
              <w:fldChar w:fldCharType="separate"/>
            </w:r>
            <w:r w:rsidR="00325A39">
              <w:rPr>
                <w:noProof/>
                <w:webHidden/>
              </w:rPr>
              <w:t>2</w:t>
            </w:r>
            <w:r>
              <w:rPr>
                <w:noProof/>
                <w:webHidden/>
              </w:rPr>
              <w:fldChar w:fldCharType="end"/>
            </w:r>
          </w:hyperlink>
        </w:p>
        <w:p w14:paraId="2C9C4947" w14:textId="36FA3922"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82" w:history="1">
            <w:r w:rsidRPr="00A47B91">
              <w:rPr>
                <w:rStyle w:val="Hyperlink"/>
                <w:rFonts w:ascii="Times New Roman" w:hAnsi="Times New Roman"/>
                <w:b/>
                <w:bCs/>
                <w:noProof/>
                <w:lang w:val="en-GB"/>
              </w:rPr>
              <w:t>Supplementary Fig 1: Spatial heterogeneity and ecological transition of Aedes larval habitat categories along an urbanization gradient.</w:t>
            </w:r>
            <w:r>
              <w:rPr>
                <w:noProof/>
                <w:webHidden/>
              </w:rPr>
              <w:tab/>
            </w:r>
            <w:r>
              <w:rPr>
                <w:noProof/>
                <w:webHidden/>
              </w:rPr>
              <w:fldChar w:fldCharType="begin"/>
            </w:r>
            <w:r>
              <w:rPr>
                <w:noProof/>
                <w:webHidden/>
              </w:rPr>
              <w:instrText xml:space="preserve"> PAGEREF _Toc235161882 \h </w:instrText>
            </w:r>
            <w:r>
              <w:rPr>
                <w:noProof/>
                <w:webHidden/>
              </w:rPr>
            </w:r>
            <w:r>
              <w:rPr>
                <w:noProof/>
                <w:webHidden/>
              </w:rPr>
              <w:fldChar w:fldCharType="separate"/>
            </w:r>
            <w:r w:rsidR="00325A39">
              <w:rPr>
                <w:noProof/>
                <w:webHidden/>
              </w:rPr>
              <w:t>3</w:t>
            </w:r>
            <w:r>
              <w:rPr>
                <w:noProof/>
                <w:webHidden/>
              </w:rPr>
              <w:fldChar w:fldCharType="end"/>
            </w:r>
          </w:hyperlink>
        </w:p>
        <w:p w14:paraId="02B3F6A6" w14:textId="71FDD7B4"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83" w:history="1">
            <w:r w:rsidRPr="00A47B91">
              <w:rPr>
                <w:rStyle w:val="Hyperlink"/>
                <w:rFonts w:ascii="Times New Roman" w:hAnsi="Times New Roman"/>
                <w:b/>
                <w:bCs/>
                <w:noProof/>
                <w:lang w:val="en-GB"/>
              </w:rPr>
              <w:t>Supplementary Fig 2. Seasonal variation in Container Index</w:t>
            </w:r>
            <w:r>
              <w:rPr>
                <w:noProof/>
                <w:webHidden/>
              </w:rPr>
              <w:tab/>
            </w:r>
            <w:r>
              <w:rPr>
                <w:noProof/>
                <w:webHidden/>
              </w:rPr>
              <w:fldChar w:fldCharType="begin"/>
            </w:r>
            <w:r>
              <w:rPr>
                <w:noProof/>
                <w:webHidden/>
              </w:rPr>
              <w:instrText xml:space="preserve"> PAGEREF _Toc235161883 \h </w:instrText>
            </w:r>
            <w:r>
              <w:rPr>
                <w:noProof/>
                <w:webHidden/>
              </w:rPr>
            </w:r>
            <w:r>
              <w:rPr>
                <w:noProof/>
                <w:webHidden/>
              </w:rPr>
              <w:fldChar w:fldCharType="separate"/>
            </w:r>
            <w:r w:rsidR="00325A39">
              <w:rPr>
                <w:noProof/>
                <w:webHidden/>
              </w:rPr>
              <w:t>4</w:t>
            </w:r>
            <w:r>
              <w:rPr>
                <w:noProof/>
                <w:webHidden/>
              </w:rPr>
              <w:fldChar w:fldCharType="end"/>
            </w:r>
          </w:hyperlink>
        </w:p>
        <w:p w14:paraId="4D09E737" w14:textId="4DEF0377"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84" w:history="1">
            <w:r w:rsidRPr="00A47B91">
              <w:rPr>
                <w:rStyle w:val="Hyperlink"/>
                <w:rFonts w:ascii="Times New Roman" w:hAnsi="Times New Roman"/>
                <w:b/>
                <w:bCs/>
                <w:noProof/>
                <w:lang w:val="en-GB"/>
              </w:rPr>
              <w:t>Supplementary Fig 3. Temporal flux in non-biodegradable waste load and post-festive accumulation.</w:t>
            </w:r>
            <w:r>
              <w:rPr>
                <w:noProof/>
                <w:webHidden/>
              </w:rPr>
              <w:tab/>
            </w:r>
            <w:r>
              <w:rPr>
                <w:noProof/>
                <w:webHidden/>
              </w:rPr>
              <w:fldChar w:fldCharType="begin"/>
            </w:r>
            <w:r>
              <w:rPr>
                <w:noProof/>
                <w:webHidden/>
              </w:rPr>
              <w:instrText xml:space="preserve"> PAGEREF _Toc235161884 \h </w:instrText>
            </w:r>
            <w:r>
              <w:rPr>
                <w:noProof/>
                <w:webHidden/>
              </w:rPr>
            </w:r>
            <w:r>
              <w:rPr>
                <w:noProof/>
                <w:webHidden/>
              </w:rPr>
              <w:fldChar w:fldCharType="separate"/>
            </w:r>
            <w:r w:rsidR="00325A39">
              <w:rPr>
                <w:noProof/>
                <w:webHidden/>
              </w:rPr>
              <w:t>5</w:t>
            </w:r>
            <w:r>
              <w:rPr>
                <w:noProof/>
                <w:webHidden/>
              </w:rPr>
              <w:fldChar w:fldCharType="end"/>
            </w:r>
          </w:hyperlink>
        </w:p>
        <w:p w14:paraId="0FF80992" w14:textId="185359B7" w:rsidR="004E6BA5" w:rsidRDefault="004E6BA5">
          <w:pPr>
            <w:pStyle w:val="TOC2"/>
            <w:tabs>
              <w:tab w:val="right" w:leader="dot" w:pos="9350"/>
            </w:tabs>
            <w:rPr>
              <w:rFonts w:eastAsiaTheme="minorEastAsia" w:cstheme="minorBidi"/>
              <w:smallCaps w:val="0"/>
              <w:noProof/>
              <w:kern w:val="2"/>
              <w:sz w:val="24"/>
              <w:szCs w:val="24"/>
              <w14:ligatures w14:val="standardContextual"/>
            </w:rPr>
          </w:pPr>
          <w:hyperlink w:anchor="_Toc235161885" w:history="1">
            <w:r w:rsidRPr="00A47B91">
              <w:rPr>
                <w:rStyle w:val="Hyperlink"/>
                <w:rFonts w:ascii="Times New Roman" w:hAnsi="Times New Roman" w:cs="Times New Roman"/>
                <w:b/>
                <w:bCs/>
                <w:noProof/>
              </w:rPr>
              <w:t>Pilot field validation for material-specific waste partitioning</w:t>
            </w:r>
            <w:r>
              <w:rPr>
                <w:noProof/>
                <w:webHidden/>
              </w:rPr>
              <w:tab/>
            </w:r>
            <w:r>
              <w:rPr>
                <w:noProof/>
                <w:webHidden/>
              </w:rPr>
              <w:fldChar w:fldCharType="begin"/>
            </w:r>
            <w:r>
              <w:rPr>
                <w:noProof/>
                <w:webHidden/>
              </w:rPr>
              <w:instrText xml:space="preserve"> PAGEREF _Toc235161885 \h </w:instrText>
            </w:r>
            <w:r>
              <w:rPr>
                <w:noProof/>
                <w:webHidden/>
              </w:rPr>
            </w:r>
            <w:r>
              <w:rPr>
                <w:noProof/>
                <w:webHidden/>
              </w:rPr>
              <w:fldChar w:fldCharType="separate"/>
            </w:r>
            <w:r w:rsidR="00325A39">
              <w:rPr>
                <w:noProof/>
                <w:webHidden/>
              </w:rPr>
              <w:t>6</w:t>
            </w:r>
            <w:r>
              <w:rPr>
                <w:noProof/>
                <w:webHidden/>
              </w:rPr>
              <w:fldChar w:fldCharType="end"/>
            </w:r>
          </w:hyperlink>
        </w:p>
        <w:p w14:paraId="3993CF53" w14:textId="13E3E464"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86" w:history="1">
            <w:r w:rsidRPr="00A47B91">
              <w:rPr>
                <w:rStyle w:val="Hyperlink"/>
                <w:rFonts w:ascii="Times New Roman" w:hAnsi="Times New Roman"/>
                <w:b/>
                <w:bCs/>
                <w:noProof/>
              </w:rPr>
              <w:t>Table S2: Empirical substrate partitioning and Aedes larval infestation dynamics across pilot sentinel districts.</w:t>
            </w:r>
            <w:r>
              <w:rPr>
                <w:noProof/>
                <w:webHidden/>
              </w:rPr>
              <w:tab/>
            </w:r>
            <w:r>
              <w:rPr>
                <w:noProof/>
                <w:webHidden/>
              </w:rPr>
              <w:fldChar w:fldCharType="begin"/>
            </w:r>
            <w:r>
              <w:rPr>
                <w:noProof/>
                <w:webHidden/>
              </w:rPr>
              <w:instrText xml:space="preserve"> PAGEREF _Toc235161886 \h </w:instrText>
            </w:r>
            <w:r>
              <w:rPr>
                <w:noProof/>
                <w:webHidden/>
              </w:rPr>
            </w:r>
            <w:r>
              <w:rPr>
                <w:noProof/>
                <w:webHidden/>
              </w:rPr>
              <w:fldChar w:fldCharType="separate"/>
            </w:r>
            <w:r w:rsidR="00325A39">
              <w:rPr>
                <w:noProof/>
                <w:webHidden/>
              </w:rPr>
              <w:t>6</w:t>
            </w:r>
            <w:r>
              <w:rPr>
                <w:noProof/>
                <w:webHidden/>
              </w:rPr>
              <w:fldChar w:fldCharType="end"/>
            </w:r>
          </w:hyperlink>
        </w:p>
        <w:p w14:paraId="76858036" w14:textId="5DF4ECCC" w:rsidR="004E6BA5" w:rsidRDefault="004E6BA5">
          <w:pPr>
            <w:pStyle w:val="TOC2"/>
            <w:tabs>
              <w:tab w:val="right" w:leader="dot" w:pos="9350"/>
            </w:tabs>
            <w:rPr>
              <w:rFonts w:eastAsiaTheme="minorEastAsia" w:cstheme="minorBidi"/>
              <w:smallCaps w:val="0"/>
              <w:noProof/>
              <w:kern w:val="2"/>
              <w:sz w:val="24"/>
              <w:szCs w:val="24"/>
              <w14:ligatures w14:val="standardContextual"/>
            </w:rPr>
          </w:pPr>
          <w:hyperlink w:anchor="_Toc235161887" w:history="1">
            <w:r w:rsidRPr="00A47B91">
              <w:rPr>
                <w:rStyle w:val="Hyperlink"/>
                <w:rFonts w:ascii="Times New Roman" w:hAnsi="Times New Roman" w:cs="Times New Roman"/>
                <w:b/>
                <w:bCs/>
                <w:noProof/>
                <w:lang w:val="en-GB"/>
              </w:rPr>
              <w:t>Assessing association between discarded non-biodegradable waste and dengue</w:t>
            </w:r>
            <w:r>
              <w:rPr>
                <w:noProof/>
                <w:webHidden/>
              </w:rPr>
              <w:tab/>
            </w:r>
            <w:r>
              <w:rPr>
                <w:noProof/>
                <w:webHidden/>
              </w:rPr>
              <w:fldChar w:fldCharType="begin"/>
            </w:r>
            <w:r>
              <w:rPr>
                <w:noProof/>
                <w:webHidden/>
              </w:rPr>
              <w:instrText xml:space="preserve"> PAGEREF _Toc235161887 \h </w:instrText>
            </w:r>
            <w:r>
              <w:rPr>
                <w:noProof/>
                <w:webHidden/>
              </w:rPr>
            </w:r>
            <w:r>
              <w:rPr>
                <w:noProof/>
                <w:webHidden/>
              </w:rPr>
              <w:fldChar w:fldCharType="separate"/>
            </w:r>
            <w:r w:rsidR="00325A39">
              <w:rPr>
                <w:noProof/>
                <w:webHidden/>
              </w:rPr>
              <w:t>7</w:t>
            </w:r>
            <w:r>
              <w:rPr>
                <w:noProof/>
                <w:webHidden/>
              </w:rPr>
              <w:fldChar w:fldCharType="end"/>
            </w:r>
          </w:hyperlink>
        </w:p>
        <w:p w14:paraId="7A948862" w14:textId="6E9B7AFE"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88" w:history="1">
            <w:r w:rsidRPr="00A47B91">
              <w:rPr>
                <w:rStyle w:val="Hyperlink"/>
                <w:rFonts w:ascii="Times New Roman" w:hAnsi="Times New Roman" w:cs="Times New Roman"/>
                <w:b/>
                <w:bCs/>
                <w:noProof/>
              </w:rPr>
              <w:t>Supplementary Fig. 4:   Lag–specific relationship between BIwaste and dengue incidence.</w:t>
            </w:r>
            <w:r>
              <w:rPr>
                <w:noProof/>
                <w:webHidden/>
              </w:rPr>
              <w:tab/>
            </w:r>
            <w:r>
              <w:rPr>
                <w:noProof/>
                <w:webHidden/>
              </w:rPr>
              <w:fldChar w:fldCharType="begin"/>
            </w:r>
            <w:r>
              <w:rPr>
                <w:noProof/>
                <w:webHidden/>
              </w:rPr>
              <w:instrText xml:space="preserve"> PAGEREF _Toc235161888 \h </w:instrText>
            </w:r>
            <w:r>
              <w:rPr>
                <w:noProof/>
                <w:webHidden/>
              </w:rPr>
            </w:r>
            <w:r>
              <w:rPr>
                <w:noProof/>
                <w:webHidden/>
              </w:rPr>
              <w:fldChar w:fldCharType="separate"/>
            </w:r>
            <w:r w:rsidR="00325A39">
              <w:rPr>
                <w:noProof/>
                <w:webHidden/>
              </w:rPr>
              <w:t>7</w:t>
            </w:r>
            <w:r>
              <w:rPr>
                <w:noProof/>
                <w:webHidden/>
              </w:rPr>
              <w:fldChar w:fldCharType="end"/>
            </w:r>
          </w:hyperlink>
        </w:p>
        <w:p w14:paraId="2F40FFAE" w14:textId="026EE85E"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89" w:history="1">
            <w:r w:rsidRPr="00A47B91">
              <w:rPr>
                <w:rStyle w:val="Hyperlink"/>
                <w:rFonts w:ascii="Times New Roman" w:hAnsi="Times New Roman"/>
                <w:b/>
                <w:bCs/>
                <w:noProof/>
                <w:lang w:val="en-GB"/>
              </w:rPr>
              <w:t xml:space="preserve">Supplementary Fig. 5: Effect modification of the </w:t>
            </w:r>
            <w:r w:rsidRPr="00A47B91">
              <w:rPr>
                <w:rStyle w:val="Hyperlink"/>
                <w:rFonts w:ascii="Times New Roman" w:hAnsi="Times New Roman"/>
                <w:b/>
                <w:bCs/>
                <w:noProof/>
              </w:rPr>
              <w:t>BIwaste–</w:t>
            </w:r>
            <w:r w:rsidRPr="00A47B91">
              <w:rPr>
                <w:rStyle w:val="Hyperlink"/>
                <w:rFonts w:ascii="Times New Roman" w:hAnsi="Times New Roman"/>
                <w:b/>
                <w:bCs/>
                <w:noProof/>
                <w:lang w:val="en-GB"/>
              </w:rPr>
              <w:t>dengue association by climate and landscape.</w:t>
            </w:r>
            <w:r>
              <w:rPr>
                <w:noProof/>
                <w:webHidden/>
              </w:rPr>
              <w:tab/>
            </w:r>
            <w:r>
              <w:rPr>
                <w:noProof/>
                <w:webHidden/>
              </w:rPr>
              <w:fldChar w:fldCharType="begin"/>
            </w:r>
            <w:r>
              <w:rPr>
                <w:noProof/>
                <w:webHidden/>
              </w:rPr>
              <w:instrText xml:space="preserve"> PAGEREF _Toc235161889 \h </w:instrText>
            </w:r>
            <w:r>
              <w:rPr>
                <w:noProof/>
                <w:webHidden/>
              </w:rPr>
            </w:r>
            <w:r>
              <w:rPr>
                <w:noProof/>
                <w:webHidden/>
              </w:rPr>
              <w:fldChar w:fldCharType="separate"/>
            </w:r>
            <w:r w:rsidR="00325A39">
              <w:rPr>
                <w:noProof/>
                <w:webHidden/>
              </w:rPr>
              <w:t>8</w:t>
            </w:r>
            <w:r>
              <w:rPr>
                <w:noProof/>
                <w:webHidden/>
              </w:rPr>
              <w:fldChar w:fldCharType="end"/>
            </w:r>
          </w:hyperlink>
        </w:p>
        <w:p w14:paraId="6B9D7539" w14:textId="276ABD68"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90" w:history="1">
            <w:r w:rsidRPr="00A47B91">
              <w:rPr>
                <w:rStyle w:val="Hyperlink"/>
                <w:rFonts w:ascii="Times New Roman" w:hAnsi="Times New Roman" w:cs="Times New Roman"/>
                <w:b/>
                <w:bCs/>
                <w:noProof/>
                <w:lang w:val="en-GB"/>
              </w:rPr>
              <w:t>Table S3: Univariable multivariate meta-regression of climate zones and urban-rural gradient</w:t>
            </w:r>
            <w:r>
              <w:rPr>
                <w:noProof/>
                <w:webHidden/>
              </w:rPr>
              <w:tab/>
            </w:r>
            <w:r>
              <w:rPr>
                <w:noProof/>
                <w:webHidden/>
              </w:rPr>
              <w:fldChar w:fldCharType="begin"/>
            </w:r>
            <w:r>
              <w:rPr>
                <w:noProof/>
                <w:webHidden/>
              </w:rPr>
              <w:instrText xml:space="preserve"> PAGEREF _Toc235161890 \h </w:instrText>
            </w:r>
            <w:r>
              <w:rPr>
                <w:noProof/>
                <w:webHidden/>
              </w:rPr>
            </w:r>
            <w:r>
              <w:rPr>
                <w:noProof/>
                <w:webHidden/>
              </w:rPr>
              <w:fldChar w:fldCharType="separate"/>
            </w:r>
            <w:r w:rsidR="00325A39">
              <w:rPr>
                <w:noProof/>
                <w:webHidden/>
              </w:rPr>
              <w:t>8</w:t>
            </w:r>
            <w:r>
              <w:rPr>
                <w:noProof/>
                <w:webHidden/>
              </w:rPr>
              <w:fldChar w:fldCharType="end"/>
            </w:r>
          </w:hyperlink>
        </w:p>
        <w:p w14:paraId="12A702B2" w14:textId="173E3C7F" w:rsidR="004E6BA5" w:rsidRDefault="004E6BA5">
          <w:pPr>
            <w:pStyle w:val="TOC2"/>
            <w:tabs>
              <w:tab w:val="right" w:leader="dot" w:pos="9350"/>
            </w:tabs>
            <w:rPr>
              <w:rFonts w:eastAsiaTheme="minorEastAsia" w:cstheme="minorBidi"/>
              <w:smallCaps w:val="0"/>
              <w:noProof/>
              <w:kern w:val="2"/>
              <w:sz w:val="24"/>
              <w:szCs w:val="24"/>
              <w14:ligatures w14:val="standardContextual"/>
            </w:rPr>
          </w:pPr>
          <w:hyperlink w:anchor="_Toc235161891" w:history="1">
            <w:r w:rsidRPr="00A47B91">
              <w:rPr>
                <w:rStyle w:val="Hyperlink"/>
                <w:rFonts w:ascii="Times New Roman" w:hAnsi="Times New Roman" w:cs="Times New Roman"/>
                <w:b/>
                <w:bCs/>
                <w:noProof/>
                <w:lang w:val="en-GB"/>
              </w:rPr>
              <w:t xml:space="preserve">Validation of </w:t>
            </w:r>
            <w:r w:rsidRPr="00A47B91">
              <w:rPr>
                <w:rStyle w:val="Hyperlink"/>
                <w:rFonts w:ascii="Times New Roman" w:hAnsi="Times New Roman" w:cs="Times New Roman"/>
                <w:b/>
                <w:bCs/>
                <w:noProof/>
              </w:rPr>
              <w:t>BI</w:t>
            </w:r>
            <w:r w:rsidRPr="00A47B91">
              <w:rPr>
                <w:rStyle w:val="Hyperlink"/>
                <w:rFonts w:ascii="Times New Roman" w:hAnsi="Times New Roman" w:cs="Times New Roman"/>
                <w:b/>
                <w:bCs/>
                <w:i/>
                <w:iCs/>
                <w:noProof/>
                <w:vertAlign w:val="subscript"/>
              </w:rPr>
              <w:t>waste</w:t>
            </w:r>
            <w:r w:rsidRPr="00A47B91">
              <w:rPr>
                <w:rStyle w:val="Hyperlink"/>
                <w:rFonts w:ascii="Times New Roman" w:hAnsi="Times New Roman" w:cs="Times New Roman"/>
                <w:b/>
                <w:bCs/>
                <w:noProof/>
                <w:lang w:val="en-GB"/>
              </w:rPr>
              <w:t xml:space="preserve"> as the primary risk indicator</w:t>
            </w:r>
            <w:r>
              <w:rPr>
                <w:noProof/>
                <w:webHidden/>
              </w:rPr>
              <w:tab/>
            </w:r>
            <w:r>
              <w:rPr>
                <w:noProof/>
                <w:webHidden/>
              </w:rPr>
              <w:fldChar w:fldCharType="begin"/>
            </w:r>
            <w:r>
              <w:rPr>
                <w:noProof/>
                <w:webHidden/>
              </w:rPr>
              <w:instrText xml:space="preserve"> PAGEREF _Toc235161891 \h </w:instrText>
            </w:r>
            <w:r>
              <w:rPr>
                <w:noProof/>
                <w:webHidden/>
              </w:rPr>
            </w:r>
            <w:r>
              <w:rPr>
                <w:noProof/>
                <w:webHidden/>
              </w:rPr>
              <w:fldChar w:fldCharType="separate"/>
            </w:r>
            <w:r w:rsidR="00325A39">
              <w:rPr>
                <w:noProof/>
                <w:webHidden/>
              </w:rPr>
              <w:t>8</w:t>
            </w:r>
            <w:r>
              <w:rPr>
                <w:noProof/>
                <w:webHidden/>
              </w:rPr>
              <w:fldChar w:fldCharType="end"/>
            </w:r>
          </w:hyperlink>
        </w:p>
        <w:p w14:paraId="2C1F2B3A" w14:textId="7E4195E2" w:rsidR="004E6BA5" w:rsidRDefault="004E6BA5">
          <w:pPr>
            <w:pStyle w:val="TOC2"/>
            <w:tabs>
              <w:tab w:val="right" w:leader="dot" w:pos="9350"/>
            </w:tabs>
            <w:rPr>
              <w:rFonts w:eastAsiaTheme="minorEastAsia" w:cstheme="minorBidi"/>
              <w:smallCaps w:val="0"/>
              <w:noProof/>
              <w:kern w:val="2"/>
              <w:sz w:val="24"/>
              <w:szCs w:val="24"/>
              <w14:ligatures w14:val="standardContextual"/>
            </w:rPr>
          </w:pPr>
          <w:hyperlink w:anchor="_Toc235161892" w:history="1">
            <w:r w:rsidRPr="00A47B91">
              <w:rPr>
                <w:rStyle w:val="Hyperlink"/>
                <w:rFonts w:ascii="Times New Roman" w:hAnsi="Times New Roman" w:cs="Times New Roman"/>
                <w:b/>
                <w:bCs/>
                <w:noProof/>
              </w:rPr>
              <w:t>Exposure–response associations between container-specific larval indices and dengue relative risk</w:t>
            </w:r>
            <w:r>
              <w:rPr>
                <w:noProof/>
                <w:webHidden/>
              </w:rPr>
              <w:tab/>
            </w:r>
            <w:r>
              <w:rPr>
                <w:noProof/>
                <w:webHidden/>
              </w:rPr>
              <w:fldChar w:fldCharType="begin"/>
            </w:r>
            <w:r>
              <w:rPr>
                <w:noProof/>
                <w:webHidden/>
              </w:rPr>
              <w:instrText xml:space="preserve"> PAGEREF _Toc235161892 \h </w:instrText>
            </w:r>
            <w:r>
              <w:rPr>
                <w:noProof/>
                <w:webHidden/>
              </w:rPr>
            </w:r>
            <w:r>
              <w:rPr>
                <w:noProof/>
                <w:webHidden/>
              </w:rPr>
              <w:fldChar w:fldCharType="separate"/>
            </w:r>
            <w:r w:rsidR="00325A39">
              <w:rPr>
                <w:noProof/>
                <w:webHidden/>
              </w:rPr>
              <w:t>9</w:t>
            </w:r>
            <w:r>
              <w:rPr>
                <w:noProof/>
                <w:webHidden/>
              </w:rPr>
              <w:fldChar w:fldCharType="end"/>
            </w:r>
          </w:hyperlink>
        </w:p>
        <w:p w14:paraId="42CA0B44" w14:textId="63E35E72" w:rsidR="004E6BA5" w:rsidRDefault="004E6BA5">
          <w:pPr>
            <w:pStyle w:val="TOC2"/>
            <w:tabs>
              <w:tab w:val="right" w:leader="dot" w:pos="9350"/>
            </w:tabs>
            <w:rPr>
              <w:rFonts w:eastAsiaTheme="minorEastAsia" w:cstheme="minorBidi"/>
              <w:smallCaps w:val="0"/>
              <w:noProof/>
              <w:kern w:val="2"/>
              <w:sz w:val="24"/>
              <w:szCs w:val="24"/>
              <w14:ligatures w14:val="standardContextual"/>
            </w:rPr>
          </w:pPr>
          <w:hyperlink w:anchor="_Toc235161893" w:history="1">
            <w:r w:rsidRPr="00A47B91">
              <w:rPr>
                <w:rStyle w:val="Hyperlink"/>
                <w:rFonts w:ascii="Times New Roman" w:hAnsi="Times New Roman" w:cs="Times New Roman"/>
                <w:b/>
                <w:bCs/>
                <w:noProof/>
                <w:lang w:val="en-GB"/>
              </w:rPr>
              <w:t>Sensitivity analysis of DLNM cross-basis function specification and model selection</w:t>
            </w:r>
            <w:r>
              <w:rPr>
                <w:noProof/>
                <w:webHidden/>
              </w:rPr>
              <w:tab/>
            </w:r>
            <w:r>
              <w:rPr>
                <w:noProof/>
                <w:webHidden/>
              </w:rPr>
              <w:fldChar w:fldCharType="begin"/>
            </w:r>
            <w:r>
              <w:rPr>
                <w:noProof/>
                <w:webHidden/>
              </w:rPr>
              <w:instrText xml:space="preserve"> PAGEREF _Toc235161893 \h </w:instrText>
            </w:r>
            <w:r>
              <w:rPr>
                <w:noProof/>
                <w:webHidden/>
              </w:rPr>
            </w:r>
            <w:r>
              <w:rPr>
                <w:noProof/>
                <w:webHidden/>
              </w:rPr>
              <w:fldChar w:fldCharType="separate"/>
            </w:r>
            <w:r w:rsidR="00325A39">
              <w:rPr>
                <w:noProof/>
                <w:webHidden/>
              </w:rPr>
              <w:t>9</w:t>
            </w:r>
            <w:r>
              <w:rPr>
                <w:noProof/>
                <w:webHidden/>
              </w:rPr>
              <w:fldChar w:fldCharType="end"/>
            </w:r>
          </w:hyperlink>
        </w:p>
        <w:p w14:paraId="5C1EF636" w14:textId="24EBDB46" w:rsidR="004E6BA5" w:rsidRDefault="004E6BA5">
          <w:pPr>
            <w:pStyle w:val="TOC2"/>
            <w:tabs>
              <w:tab w:val="right" w:leader="dot" w:pos="9350"/>
            </w:tabs>
            <w:rPr>
              <w:rFonts w:eastAsiaTheme="minorEastAsia" w:cstheme="minorBidi"/>
              <w:smallCaps w:val="0"/>
              <w:noProof/>
              <w:kern w:val="2"/>
              <w:sz w:val="24"/>
              <w:szCs w:val="24"/>
              <w14:ligatures w14:val="standardContextual"/>
            </w:rPr>
          </w:pPr>
          <w:hyperlink w:anchor="_Toc235161894" w:history="1">
            <w:r w:rsidRPr="00A47B91">
              <w:rPr>
                <w:rStyle w:val="Hyperlink"/>
                <w:rFonts w:ascii="Times New Roman" w:hAnsi="Times New Roman" w:cs="Times New Roman"/>
                <w:b/>
                <w:bCs/>
                <w:noProof/>
                <w:lang w:val="en-GB"/>
              </w:rPr>
              <w:t>Sensitivity Analysis of DLNM alternative lag structure across different exposure variables for estimating attributable fraction</w:t>
            </w:r>
            <w:r>
              <w:rPr>
                <w:noProof/>
                <w:webHidden/>
              </w:rPr>
              <w:tab/>
            </w:r>
            <w:r>
              <w:rPr>
                <w:noProof/>
                <w:webHidden/>
              </w:rPr>
              <w:fldChar w:fldCharType="begin"/>
            </w:r>
            <w:r>
              <w:rPr>
                <w:noProof/>
                <w:webHidden/>
              </w:rPr>
              <w:instrText xml:space="preserve"> PAGEREF _Toc235161894 \h </w:instrText>
            </w:r>
            <w:r>
              <w:rPr>
                <w:noProof/>
                <w:webHidden/>
              </w:rPr>
            </w:r>
            <w:r>
              <w:rPr>
                <w:noProof/>
                <w:webHidden/>
              </w:rPr>
              <w:fldChar w:fldCharType="separate"/>
            </w:r>
            <w:r w:rsidR="00325A39">
              <w:rPr>
                <w:noProof/>
                <w:webHidden/>
              </w:rPr>
              <w:t>10</w:t>
            </w:r>
            <w:r>
              <w:rPr>
                <w:noProof/>
                <w:webHidden/>
              </w:rPr>
              <w:fldChar w:fldCharType="end"/>
            </w:r>
          </w:hyperlink>
        </w:p>
        <w:p w14:paraId="2AD84C89" w14:textId="34E8EC97"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95" w:history="1">
            <w:r w:rsidRPr="00A47B91">
              <w:rPr>
                <w:rStyle w:val="Hyperlink"/>
                <w:rFonts w:ascii="Times New Roman" w:hAnsi="Times New Roman" w:cs="Times New Roman"/>
                <w:b/>
                <w:bCs/>
                <w:noProof/>
                <w:lang w:val="en-GB"/>
              </w:rPr>
              <w:t>Table S4: Attributable fraction of dengue cases across lag periods 4 to 12 by habitat category.</w:t>
            </w:r>
            <w:r>
              <w:rPr>
                <w:noProof/>
                <w:webHidden/>
              </w:rPr>
              <w:tab/>
            </w:r>
            <w:r>
              <w:rPr>
                <w:noProof/>
                <w:webHidden/>
              </w:rPr>
              <w:fldChar w:fldCharType="begin"/>
            </w:r>
            <w:r>
              <w:rPr>
                <w:noProof/>
                <w:webHidden/>
              </w:rPr>
              <w:instrText xml:space="preserve"> PAGEREF _Toc235161895 \h </w:instrText>
            </w:r>
            <w:r>
              <w:rPr>
                <w:noProof/>
                <w:webHidden/>
              </w:rPr>
            </w:r>
            <w:r>
              <w:rPr>
                <w:noProof/>
                <w:webHidden/>
              </w:rPr>
              <w:fldChar w:fldCharType="separate"/>
            </w:r>
            <w:r w:rsidR="00325A39">
              <w:rPr>
                <w:noProof/>
                <w:webHidden/>
              </w:rPr>
              <w:t>11</w:t>
            </w:r>
            <w:r>
              <w:rPr>
                <w:noProof/>
                <w:webHidden/>
              </w:rPr>
              <w:fldChar w:fldCharType="end"/>
            </w:r>
          </w:hyperlink>
        </w:p>
        <w:p w14:paraId="46FCF238" w14:textId="1425F7C1" w:rsidR="004E6BA5" w:rsidRDefault="004E6BA5">
          <w:pPr>
            <w:pStyle w:val="TOC2"/>
            <w:tabs>
              <w:tab w:val="right" w:leader="dot" w:pos="9350"/>
            </w:tabs>
            <w:rPr>
              <w:rFonts w:eastAsiaTheme="minorEastAsia" w:cstheme="minorBidi"/>
              <w:smallCaps w:val="0"/>
              <w:noProof/>
              <w:kern w:val="2"/>
              <w:sz w:val="24"/>
              <w:szCs w:val="24"/>
              <w14:ligatures w14:val="standardContextual"/>
            </w:rPr>
          </w:pPr>
          <w:hyperlink w:anchor="_Toc235161896" w:history="1">
            <w:r w:rsidRPr="00A47B91">
              <w:rPr>
                <w:rStyle w:val="Hyperlink"/>
                <w:rFonts w:ascii="Times New Roman" w:hAnsi="Times New Roman" w:cs="Times New Roman"/>
                <w:b/>
                <w:bCs/>
                <w:noProof/>
              </w:rPr>
              <w:t>Cost-of-Illness Analysis and Economic Attribution Framework</w:t>
            </w:r>
            <w:r>
              <w:rPr>
                <w:noProof/>
                <w:webHidden/>
              </w:rPr>
              <w:tab/>
            </w:r>
            <w:r>
              <w:rPr>
                <w:noProof/>
                <w:webHidden/>
              </w:rPr>
              <w:fldChar w:fldCharType="begin"/>
            </w:r>
            <w:r>
              <w:rPr>
                <w:noProof/>
                <w:webHidden/>
              </w:rPr>
              <w:instrText xml:space="preserve"> PAGEREF _Toc235161896 \h </w:instrText>
            </w:r>
            <w:r>
              <w:rPr>
                <w:noProof/>
                <w:webHidden/>
              </w:rPr>
            </w:r>
            <w:r>
              <w:rPr>
                <w:noProof/>
                <w:webHidden/>
              </w:rPr>
              <w:fldChar w:fldCharType="separate"/>
            </w:r>
            <w:r w:rsidR="00325A39">
              <w:rPr>
                <w:noProof/>
                <w:webHidden/>
              </w:rPr>
              <w:t>11</w:t>
            </w:r>
            <w:r>
              <w:rPr>
                <w:noProof/>
                <w:webHidden/>
              </w:rPr>
              <w:fldChar w:fldCharType="end"/>
            </w:r>
          </w:hyperlink>
        </w:p>
        <w:p w14:paraId="70E52F00" w14:textId="1E37F13C"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97" w:history="1">
            <w:r w:rsidRPr="00A47B91">
              <w:rPr>
                <w:rStyle w:val="Hyperlink"/>
                <w:rFonts w:ascii="Times New Roman" w:hAnsi="Times New Roman" w:cs="Times New Roman"/>
                <w:b/>
                <w:bCs/>
                <w:noProof/>
                <w:lang w:val="en-GB"/>
              </w:rPr>
              <w:t>Table S5: Parameters and parameter specifications used in cost of illness analysis</w:t>
            </w:r>
            <w:r>
              <w:rPr>
                <w:noProof/>
                <w:webHidden/>
              </w:rPr>
              <w:tab/>
            </w:r>
            <w:r>
              <w:rPr>
                <w:noProof/>
                <w:webHidden/>
              </w:rPr>
              <w:fldChar w:fldCharType="begin"/>
            </w:r>
            <w:r>
              <w:rPr>
                <w:noProof/>
                <w:webHidden/>
              </w:rPr>
              <w:instrText xml:space="preserve"> PAGEREF _Toc235161897 \h </w:instrText>
            </w:r>
            <w:r>
              <w:rPr>
                <w:noProof/>
                <w:webHidden/>
              </w:rPr>
            </w:r>
            <w:r>
              <w:rPr>
                <w:noProof/>
                <w:webHidden/>
              </w:rPr>
              <w:fldChar w:fldCharType="separate"/>
            </w:r>
            <w:r w:rsidR="00325A39">
              <w:rPr>
                <w:noProof/>
                <w:webHidden/>
              </w:rPr>
              <w:t>11</w:t>
            </w:r>
            <w:r>
              <w:rPr>
                <w:noProof/>
                <w:webHidden/>
              </w:rPr>
              <w:fldChar w:fldCharType="end"/>
            </w:r>
          </w:hyperlink>
        </w:p>
        <w:p w14:paraId="2348F8FB" w14:textId="00C88313" w:rsidR="004E6BA5" w:rsidRDefault="004E6BA5">
          <w:pPr>
            <w:pStyle w:val="TOC2"/>
            <w:tabs>
              <w:tab w:val="right" w:leader="dot" w:pos="9350"/>
            </w:tabs>
            <w:rPr>
              <w:rFonts w:eastAsiaTheme="minorEastAsia" w:cstheme="minorBidi"/>
              <w:smallCaps w:val="0"/>
              <w:noProof/>
              <w:kern w:val="2"/>
              <w:sz w:val="24"/>
              <w:szCs w:val="24"/>
              <w14:ligatures w14:val="standardContextual"/>
            </w:rPr>
          </w:pPr>
          <w:hyperlink w:anchor="_Toc235161898" w:history="1">
            <w:r w:rsidRPr="00A47B91">
              <w:rPr>
                <w:rStyle w:val="Hyperlink"/>
                <w:rFonts w:ascii="Times New Roman" w:hAnsi="Times New Roman" w:cs="Times New Roman"/>
                <w:b/>
                <w:bCs/>
                <w:noProof/>
              </w:rPr>
              <w:t>Hierarchical surrogate-to-specific population attribution framework</w:t>
            </w:r>
            <w:r>
              <w:rPr>
                <w:noProof/>
                <w:webHidden/>
              </w:rPr>
              <w:tab/>
            </w:r>
            <w:r>
              <w:rPr>
                <w:noProof/>
                <w:webHidden/>
              </w:rPr>
              <w:fldChar w:fldCharType="begin"/>
            </w:r>
            <w:r>
              <w:rPr>
                <w:noProof/>
                <w:webHidden/>
              </w:rPr>
              <w:instrText xml:space="preserve"> PAGEREF _Toc235161898 \h </w:instrText>
            </w:r>
            <w:r>
              <w:rPr>
                <w:noProof/>
                <w:webHidden/>
              </w:rPr>
            </w:r>
            <w:r>
              <w:rPr>
                <w:noProof/>
                <w:webHidden/>
              </w:rPr>
              <w:fldChar w:fldCharType="separate"/>
            </w:r>
            <w:r w:rsidR="00325A39">
              <w:rPr>
                <w:noProof/>
                <w:webHidden/>
              </w:rPr>
              <w:t>13</w:t>
            </w:r>
            <w:r>
              <w:rPr>
                <w:noProof/>
                <w:webHidden/>
              </w:rPr>
              <w:fldChar w:fldCharType="end"/>
            </w:r>
          </w:hyperlink>
        </w:p>
        <w:p w14:paraId="418470E7" w14:textId="2367537C"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899" w:history="1">
            <w:r w:rsidRPr="00A47B91">
              <w:rPr>
                <w:rStyle w:val="Hyperlink"/>
                <w:rFonts w:ascii="Times New Roman" w:hAnsi="Times New Roman" w:cs="Times New Roman"/>
                <w:b/>
                <w:bCs/>
                <w:noProof/>
              </w:rPr>
              <w:t>Estimation of attributable cases and deaths</w:t>
            </w:r>
            <w:r>
              <w:rPr>
                <w:noProof/>
                <w:webHidden/>
              </w:rPr>
              <w:tab/>
            </w:r>
            <w:r>
              <w:rPr>
                <w:noProof/>
                <w:webHidden/>
              </w:rPr>
              <w:fldChar w:fldCharType="begin"/>
            </w:r>
            <w:r>
              <w:rPr>
                <w:noProof/>
                <w:webHidden/>
              </w:rPr>
              <w:instrText xml:space="preserve"> PAGEREF _Toc235161899 \h </w:instrText>
            </w:r>
            <w:r>
              <w:rPr>
                <w:noProof/>
                <w:webHidden/>
              </w:rPr>
            </w:r>
            <w:r>
              <w:rPr>
                <w:noProof/>
                <w:webHidden/>
              </w:rPr>
              <w:fldChar w:fldCharType="separate"/>
            </w:r>
            <w:r w:rsidR="00325A39">
              <w:rPr>
                <w:noProof/>
                <w:webHidden/>
              </w:rPr>
              <w:t>14</w:t>
            </w:r>
            <w:r>
              <w:rPr>
                <w:noProof/>
                <w:webHidden/>
              </w:rPr>
              <w:fldChar w:fldCharType="end"/>
            </w:r>
          </w:hyperlink>
        </w:p>
        <w:p w14:paraId="10EC1ED8" w14:textId="157DBE87"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900" w:history="1">
            <w:r w:rsidRPr="00A47B91">
              <w:rPr>
                <w:rStyle w:val="Hyperlink"/>
                <w:rFonts w:ascii="Times New Roman" w:hAnsi="Times New Roman" w:cs="Times New Roman"/>
                <w:b/>
                <w:bCs/>
                <w:noProof/>
              </w:rPr>
              <w:t>Probabilistic uncertainty analysis</w:t>
            </w:r>
            <w:r>
              <w:rPr>
                <w:noProof/>
                <w:webHidden/>
              </w:rPr>
              <w:tab/>
            </w:r>
            <w:r>
              <w:rPr>
                <w:noProof/>
                <w:webHidden/>
              </w:rPr>
              <w:fldChar w:fldCharType="begin"/>
            </w:r>
            <w:r>
              <w:rPr>
                <w:noProof/>
                <w:webHidden/>
              </w:rPr>
              <w:instrText xml:space="preserve"> PAGEREF _Toc235161900 \h </w:instrText>
            </w:r>
            <w:r>
              <w:rPr>
                <w:noProof/>
                <w:webHidden/>
              </w:rPr>
            </w:r>
            <w:r>
              <w:rPr>
                <w:noProof/>
                <w:webHidden/>
              </w:rPr>
              <w:fldChar w:fldCharType="separate"/>
            </w:r>
            <w:r w:rsidR="00325A39">
              <w:rPr>
                <w:noProof/>
                <w:webHidden/>
              </w:rPr>
              <w:t>17</w:t>
            </w:r>
            <w:r>
              <w:rPr>
                <w:noProof/>
                <w:webHidden/>
              </w:rPr>
              <w:fldChar w:fldCharType="end"/>
            </w:r>
          </w:hyperlink>
        </w:p>
        <w:p w14:paraId="4D67FE8A" w14:textId="3429F740"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901" w:history="1">
            <w:r w:rsidRPr="00A47B91">
              <w:rPr>
                <w:rStyle w:val="Hyperlink"/>
                <w:rFonts w:eastAsiaTheme="majorEastAsia" w:cstheme="majorBidi"/>
                <w:b/>
                <w:bCs/>
                <w:noProof/>
                <w:lang w:val="en-GB"/>
              </w:rPr>
              <w:t>Supplementary Fig. 6</w:t>
            </w:r>
            <w:r w:rsidRPr="00A47B91">
              <w:rPr>
                <w:rStyle w:val="Hyperlink"/>
                <w:rFonts w:eastAsiaTheme="majorEastAsia" w:cstheme="majorBidi"/>
                <w:b/>
                <w:bCs/>
                <w:noProof/>
              </w:rPr>
              <w:t>:  One-way deterministic sensitivity analysis of the total attributable societal economic burden (discount rate =0.035).</w:t>
            </w:r>
            <w:r>
              <w:rPr>
                <w:noProof/>
                <w:webHidden/>
              </w:rPr>
              <w:tab/>
            </w:r>
            <w:r>
              <w:rPr>
                <w:noProof/>
                <w:webHidden/>
              </w:rPr>
              <w:fldChar w:fldCharType="begin"/>
            </w:r>
            <w:r>
              <w:rPr>
                <w:noProof/>
                <w:webHidden/>
              </w:rPr>
              <w:instrText xml:space="preserve"> PAGEREF _Toc235161901 \h </w:instrText>
            </w:r>
            <w:r>
              <w:rPr>
                <w:noProof/>
                <w:webHidden/>
              </w:rPr>
            </w:r>
            <w:r>
              <w:rPr>
                <w:noProof/>
                <w:webHidden/>
              </w:rPr>
              <w:fldChar w:fldCharType="separate"/>
            </w:r>
            <w:r w:rsidR="00325A39">
              <w:rPr>
                <w:noProof/>
                <w:webHidden/>
              </w:rPr>
              <w:t>18</w:t>
            </w:r>
            <w:r>
              <w:rPr>
                <w:noProof/>
                <w:webHidden/>
              </w:rPr>
              <w:fldChar w:fldCharType="end"/>
            </w:r>
          </w:hyperlink>
        </w:p>
        <w:p w14:paraId="299CC535" w14:textId="6267F62B" w:rsidR="004E6BA5" w:rsidRDefault="004E6BA5">
          <w:pPr>
            <w:pStyle w:val="TOC3"/>
            <w:tabs>
              <w:tab w:val="right" w:leader="dot" w:pos="9350"/>
            </w:tabs>
            <w:rPr>
              <w:rFonts w:eastAsiaTheme="minorEastAsia" w:cstheme="minorBidi"/>
              <w:i w:val="0"/>
              <w:iCs w:val="0"/>
              <w:noProof/>
              <w:kern w:val="2"/>
              <w:sz w:val="24"/>
              <w:szCs w:val="24"/>
              <w14:ligatures w14:val="standardContextual"/>
            </w:rPr>
          </w:pPr>
          <w:hyperlink w:anchor="_Toc235161902" w:history="1">
            <w:r w:rsidRPr="00A47B91">
              <w:rPr>
                <w:rStyle w:val="Hyperlink"/>
                <w:rFonts w:eastAsiaTheme="majorEastAsia" w:cstheme="majorBidi"/>
                <w:b/>
                <w:bCs/>
                <w:noProof/>
                <w:lang w:val="en-GB"/>
              </w:rPr>
              <w:t>Supplementary Fig. 7</w:t>
            </w:r>
            <w:r w:rsidRPr="00A47B91">
              <w:rPr>
                <w:rStyle w:val="Hyperlink"/>
                <w:rFonts w:eastAsiaTheme="majorEastAsia" w:cstheme="majorBidi"/>
                <w:b/>
                <w:bCs/>
                <w:noProof/>
              </w:rPr>
              <w:t>: One-way deterministic sensitivity analysis of the total attributable societal economic burden (discount rate = 0).</w:t>
            </w:r>
            <w:r>
              <w:rPr>
                <w:noProof/>
                <w:webHidden/>
              </w:rPr>
              <w:tab/>
            </w:r>
            <w:r>
              <w:rPr>
                <w:noProof/>
                <w:webHidden/>
              </w:rPr>
              <w:fldChar w:fldCharType="begin"/>
            </w:r>
            <w:r>
              <w:rPr>
                <w:noProof/>
                <w:webHidden/>
              </w:rPr>
              <w:instrText xml:space="preserve"> PAGEREF _Toc235161902 \h </w:instrText>
            </w:r>
            <w:r>
              <w:rPr>
                <w:noProof/>
                <w:webHidden/>
              </w:rPr>
            </w:r>
            <w:r>
              <w:rPr>
                <w:noProof/>
                <w:webHidden/>
              </w:rPr>
              <w:fldChar w:fldCharType="separate"/>
            </w:r>
            <w:r w:rsidR="00325A39">
              <w:rPr>
                <w:noProof/>
                <w:webHidden/>
              </w:rPr>
              <w:t>19</w:t>
            </w:r>
            <w:r>
              <w:rPr>
                <w:noProof/>
                <w:webHidden/>
              </w:rPr>
              <w:fldChar w:fldCharType="end"/>
            </w:r>
          </w:hyperlink>
        </w:p>
        <w:p w14:paraId="7E464A42" w14:textId="4EC44581" w:rsidR="004E6BA5" w:rsidRDefault="004E6BA5">
          <w:pPr>
            <w:pStyle w:val="TOC2"/>
            <w:tabs>
              <w:tab w:val="right" w:leader="dot" w:pos="9350"/>
            </w:tabs>
            <w:rPr>
              <w:rFonts w:eastAsiaTheme="minorEastAsia" w:cstheme="minorBidi"/>
              <w:smallCaps w:val="0"/>
              <w:noProof/>
              <w:kern w:val="2"/>
              <w:sz w:val="24"/>
              <w:szCs w:val="24"/>
              <w14:ligatures w14:val="standardContextual"/>
            </w:rPr>
          </w:pPr>
          <w:hyperlink w:anchor="_Toc235161903" w:history="1">
            <w:r w:rsidRPr="00A47B91">
              <w:rPr>
                <w:rStyle w:val="Hyperlink"/>
                <w:rFonts w:ascii="Times New Roman" w:hAnsi="Times New Roman" w:cs="Times New Roman"/>
                <w:b/>
                <w:bCs/>
                <w:noProof/>
              </w:rPr>
              <w:t>Table S5: The CHEERS 2022 checklist</w:t>
            </w:r>
            <w:r>
              <w:rPr>
                <w:noProof/>
                <w:webHidden/>
              </w:rPr>
              <w:tab/>
            </w:r>
            <w:r>
              <w:rPr>
                <w:noProof/>
                <w:webHidden/>
              </w:rPr>
              <w:fldChar w:fldCharType="begin"/>
            </w:r>
            <w:r>
              <w:rPr>
                <w:noProof/>
                <w:webHidden/>
              </w:rPr>
              <w:instrText xml:space="preserve"> PAGEREF _Toc235161903 \h </w:instrText>
            </w:r>
            <w:r>
              <w:rPr>
                <w:noProof/>
                <w:webHidden/>
              </w:rPr>
            </w:r>
            <w:r>
              <w:rPr>
                <w:noProof/>
                <w:webHidden/>
              </w:rPr>
              <w:fldChar w:fldCharType="separate"/>
            </w:r>
            <w:r w:rsidR="00325A39">
              <w:rPr>
                <w:noProof/>
                <w:webHidden/>
              </w:rPr>
              <w:t>19</w:t>
            </w:r>
            <w:r>
              <w:rPr>
                <w:noProof/>
                <w:webHidden/>
              </w:rPr>
              <w:fldChar w:fldCharType="end"/>
            </w:r>
          </w:hyperlink>
        </w:p>
        <w:p w14:paraId="6F01AF5E" w14:textId="699BB52B" w:rsidR="004E6BA5" w:rsidRDefault="004E6BA5">
          <w:r>
            <w:rPr>
              <w:b/>
              <w:bCs/>
              <w:noProof/>
            </w:rPr>
            <w:fldChar w:fldCharType="end"/>
          </w:r>
        </w:p>
      </w:sdtContent>
    </w:sdt>
    <w:p w14:paraId="3B9B88ED" w14:textId="77777777" w:rsidR="00B72D65" w:rsidRDefault="00B72D65" w:rsidP="00B72D65">
      <w:pPr>
        <w:jc w:val="center"/>
      </w:pPr>
    </w:p>
    <w:p w14:paraId="0B62A30F" w14:textId="77777777" w:rsidR="009555F1" w:rsidRDefault="009555F1"/>
    <w:p w14:paraId="622CCDB1" w14:textId="77777777" w:rsidR="004E6BA5" w:rsidRDefault="004E6BA5" w:rsidP="00924238">
      <w:pPr>
        <w:pStyle w:val="Heading2"/>
        <w:rPr>
          <w:rStyle w:val="Strong"/>
          <w:rFonts w:ascii="Times New Roman" w:hAnsi="Times New Roman" w:cs="Times New Roman"/>
          <w:color w:val="auto"/>
          <w:sz w:val="24"/>
          <w:szCs w:val="24"/>
        </w:rPr>
      </w:pPr>
      <w:bookmarkStart w:id="0" w:name="_Toc235161880"/>
    </w:p>
    <w:p w14:paraId="703C5CAC" w14:textId="77777777" w:rsidR="004E6BA5" w:rsidRDefault="004E6BA5">
      <w:pPr>
        <w:spacing w:after="160" w:line="278" w:lineRule="auto"/>
        <w:rPr>
          <w:rStyle w:val="Strong"/>
          <w:rFonts w:eastAsiaTheme="majorEastAsia"/>
          <w:kern w:val="2"/>
          <w14:ligatures w14:val="standardContextual"/>
        </w:rPr>
      </w:pPr>
      <w:r>
        <w:rPr>
          <w:rStyle w:val="Strong"/>
        </w:rPr>
        <w:br w:type="page"/>
      </w:r>
    </w:p>
    <w:p w14:paraId="1F5980BF" w14:textId="628F9DA9" w:rsidR="00343130" w:rsidRPr="004E6BA5" w:rsidRDefault="00343130" w:rsidP="004E6BA5">
      <w:pPr>
        <w:spacing w:after="160" w:line="278" w:lineRule="auto"/>
        <w:rPr>
          <w:rStyle w:val="Strong"/>
          <w:rFonts w:eastAsiaTheme="majorEastAsia"/>
          <w:kern w:val="2"/>
          <w14:ligatures w14:val="standardContextual"/>
        </w:rPr>
      </w:pPr>
      <w:r w:rsidRPr="00924238">
        <w:rPr>
          <w:rStyle w:val="Strong"/>
        </w:rPr>
        <w:lastRenderedPageBreak/>
        <w:t>Aedes larval habitat types and broader categories</w:t>
      </w:r>
      <w:bookmarkEnd w:id="0"/>
    </w:p>
    <w:p w14:paraId="2FD90AD9" w14:textId="28056B78" w:rsidR="00343130" w:rsidRDefault="00343130" w:rsidP="003518F8">
      <w:pPr>
        <w:spacing w:line="276" w:lineRule="auto"/>
        <w:jc w:val="both"/>
        <w:rPr>
          <w:rStyle w:val="Strong"/>
          <w:b w:val="0"/>
          <w:bCs w:val="0"/>
        </w:rPr>
      </w:pPr>
      <w:r w:rsidRPr="00343130">
        <w:rPr>
          <w:rStyle w:val="Strong"/>
          <w:b w:val="0"/>
          <w:bCs w:val="0"/>
        </w:rPr>
        <w:t>To facilitate epidemiological modelling and improve interpretability for risk attribution, the 21 habitat types were aggregated into five broad habitat categories (Supplementary Table 1).</w:t>
      </w:r>
    </w:p>
    <w:p w14:paraId="62811416" w14:textId="77777777" w:rsidR="00343130" w:rsidRPr="00343130" w:rsidRDefault="00343130" w:rsidP="008F0CA3">
      <w:pPr>
        <w:jc w:val="both"/>
        <w:rPr>
          <w:rStyle w:val="Strong"/>
          <w:b w:val="0"/>
          <w:bCs w:val="0"/>
        </w:rPr>
      </w:pPr>
    </w:p>
    <w:p w14:paraId="066D222D" w14:textId="0706EDAF" w:rsidR="00092C83" w:rsidRDefault="008F0CA3" w:rsidP="008F0CA3">
      <w:pPr>
        <w:jc w:val="both"/>
      </w:pPr>
      <w:bookmarkStart w:id="1" w:name="_Toc235161881"/>
      <w:r w:rsidRPr="00924238">
        <w:rPr>
          <w:rStyle w:val="Heading3Char"/>
          <w:b/>
          <w:bCs/>
          <w:color w:val="auto"/>
          <w:sz w:val="24"/>
          <w:szCs w:val="24"/>
        </w:rPr>
        <w:t xml:space="preserve">Table S1. Distribution of </w:t>
      </w:r>
      <w:r w:rsidRPr="003518F8">
        <w:rPr>
          <w:rStyle w:val="Heading3Char"/>
          <w:b/>
          <w:bCs/>
          <w:i/>
          <w:iCs/>
          <w:color w:val="auto"/>
          <w:sz w:val="24"/>
          <w:szCs w:val="24"/>
        </w:rPr>
        <w:t>Aedes</w:t>
      </w:r>
      <w:r w:rsidRPr="00924238">
        <w:rPr>
          <w:rStyle w:val="Heading3Char"/>
          <w:b/>
          <w:bCs/>
          <w:color w:val="auto"/>
          <w:sz w:val="24"/>
          <w:szCs w:val="24"/>
        </w:rPr>
        <w:t xml:space="preserve"> larval habitats by habitat type and habitat category in Sri Lanka, 2024–2025.</w:t>
      </w:r>
      <w:bookmarkEnd w:id="1"/>
      <w:r w:rsidRPr="00924238">
        <w:t xml:space="preserve"> </w:t>
      </w:r>
      <w:r>
        <w:t xml:space="preserve">National entomological surveillance data from 2,036,022 inspected containers were classified into 21 standardized habitat types and subsequently grouped into five broad habitat categories: discarded non-biodegradable waste, ornamental and domestic containers, water-storage containers, infrastructure and drainage systems, and natural habitats. For each habitat type, the table presents the total number of containers inspected, the number of water-holding containers (B), the number of </w:t>
      </w:r>
      <w:r>
        <w:rPr>
          <w:rStyle w:val="Emphasis"/>
        </w:rPr>
        <w:t>Aedes</w:t>
      </w:r>
      <w:r>
        <w:t xml:space="preserve">-positive containers (A), and the Container Index (CI), calculated as the proportion of water-holding containers positive for </w:t>
      </w:r>
      <w:r>
        <w:rPr>
          <w:rStyle w:val="Emphasis"/>
        </w:rPr>
        <w:t>Aedes</w:t>
      </w:r>
      <w:r>
        <w:t xml:space="preserve"> larvae or pupae </w:t>
      </w:r>
      <m:oMath>
        <m:d>
          <m:dPr>
            <m:ctrlPr>
              <w:rPr>
                <w:rFonts w:ascii="Cambria Math" w:hAnsi="Cambria Math"/>
              </w:rPr>
            </m:ctrlPr>
          </m:dPr>
          <m:e>
            <m:r>
              <w:rPr>
                <w:rFonts w:ascii="Cambria Math" w:hAnsi="Cambria Math"/>
              </w:rPr>
              <m:t>CI=A</m:t>
            </m:r>
            <m:r>
              <m:rPr>
                <m:sty m:val="p"/>
              </m:rPr>
              <w:rPr>
                <w:rFonts w:ascii="Cambria Math" w:hAnsi="Cambria Math"/>
              </w:rPr>
              <m:t>/</m:t>
            </m:r>
            <m:r>
              <w:rPr>
                <w:rFonts w:ascii="Cambria Math" w:hAnsi="Cambria Math"/>
              </w:rPr>
              <m:t>B×100</m:t>
            </m:r>
          </m:e>
        </m:d>
      </m:oMath>
      <w:r>
        <w:t xml:space="preserve">. The contribution to total infestation represents the percentage of all </w:t>
      </w:r>
      <w:r>
        <w:rPr>
          <w:rStyle w:val="Emphasis"/>
        </w:rPr>
        <w:t>Aedes</w:t>
      </w:r>
      <w:r>
        <w:t>-positive containers attributable to each habitat type. Habitat category totals summarize the cumulative burden across all constituent habitat types, while the final row provides national aggregate estimates across all surveyed sites.</w:t>
      </w:r>
    </w:p>
    <w:p w14:paraId="48B9415B" w14:textId="77777777" w:rsidR="008F0CA3" w:rsidRDefault="008F0CA3" w:rsidP="008F0CA3">
      <w:pPr>
        <w:jc w:val="both"/>
      </w:pPr>
    </w:p>
    <w:tbl>
      <w:tblPr>
        <w:tblStyle w:val="TableGrid"/>
        <w:tblW w:w="10253" w:type="dxa"/>
        <w:tblInd w:w="-185" w:type="dxa"/>
        <w:tblLook w:val="04A0" w:firstRow="1" w:lastRow="0" w:firstColumn="1" w:lastColumn="0" w:noHBand="0" w:noVBand="1"/>
      </w:tblPr>
      <w:tblGrid>
        <w:gridCol w:w="3332"/>
        <w:gridCol w:w="1529"/>
        <w:gridCol w:w="1259"/>
        <w:gridCol w:w="1445"/>
        <w:gridCol w:w="1344"/>
        <w:gridCol w:w="1344"/>
      </w:tblGrid>
      <w:tr w:rsidR="00092C83" w:rsidRPr="00B91038" w14:paraId="391D70B4" w14:textId="77777777" w:rsidTr="007725A9">
        <w:tc>
          <w:tcPr>
            <w:tcW w:w="3332" w:type="dxa"/>
            <w:vAlign w:val="center"/>
            <w:hideMark/>
          </w:tcPr>
          <w:p w14:paraId="293C45C2" w14:textId="02964D08" w:rsidR="00092C83" w:rsidRPr="00B91038" w:rsidRDefault="00092C83" w:rsidP="007725A9">
            <w:pPr>
              <w:spacing w:line="276" w:lineRule="auto"/>
              <w:jc w:val="center"/>
              <w:rPr>
                <w:color w:val="1F1F1F"/>
                <w:sz w:val="18"/>
                <w:szCs w:val="18"/>
              </w:rPr>
            </w:pPr>
            <w:r>
              <w:rPr>
                <w:b/>
                <w:bCs/>
                <w:color w:val="1F1F1F"/>
                <w:sz w:val="18"/>
                <w:szCs w:val="18"/>
                <w:bdr w:val="none" w:sz="0" w:space="0" w:color="auto" w:frame="1"/>
              </w:rPr>
              <w:t>Habitat</w:t>
            </w:r>
            <w:r w:rsidRPr="00B91038">
              <w:rPr>
                <w:b/>
                <w:bCs/>
                <w:color w:val="1F1F1F"/>
                <w:sz w:val="18"/>
                <w:szCs w:val="18"/>
                <w:bdr w:val="none" w:sz="0" w:space="0" w:color="auto" w:frame="1"/>
              </w:rPr>
              <w:t xml:space="preserve"> Categories</w:t>
            </w:r>
          </w:p>
        </w:tc>
        <w:tc>
          <w:tcPr>
            <w:tcW w:w="1529" w:type="dxa"/>
            <w:vAlign w:val="center"/>
            <w:hideMark/>
          </w:tcPr>
          <w:p w14:paraId="084CEBA3" w14:textId="77777777" w:rsidR="00092C83" w:rsidRPr="00B91038" w:rsidRDefault="00092C83" w:rsidP="007725A9">
            <w:pPr>
              <w:spacing w:line="276" w:lineRule="auto"/>
              <w:jc w:val="center"/>
              <w:rPr>
                <w:b/>
                <w:bCs/>
                <w:color w:val="1F1F1F"/>
                <w:sz w:val="18"/>
                <w:szCs w:val="18"/>
                <w:bdr w:val="none" w:sz="0" w:space="0" w:color="auto" w:frame="1"/>
              </w:rPr>
            </w:pPr>
            <w:r w:rsidRPr="00B91038">
              <w:rPr>
                <w:b/>
                <w:bCs/>
                <w:color w:val="1F1F1F"/>
                <w:sz w:val="18"/>
                <w:szCs w:val="18"/>
                <w:bdr w:val="none" w:sz="0" w:space="0" w:color="auto" w:frame="1"/>
              </w:rPr>
              <w:t>Total Containers inspected</w:t>
            </w:r>
          </w:p>
          <w:p w14:paraId="09F87C9F" w14:textId="77777777" w:rsidR="00092C83" w:rsidRPr="00B91038" w:rsidRDefault="00092C83" w:rsidP="007725A9">
            <w:pPr>
              <w:spacing w:line="276" w:lineRule="auto"/>
              <w:rPr>
                <w:color w:val="1F1F1F"/>
                <w:sz w:val="18"/>
                <w:szCs w:val="18"/>
              </w:rPr>
            </w:pPr>
          </w:p>
        </w:tc>
        <w:tc>
          <w:tcPr>
            <w:tcW w:w="1259" w:type="dxa"/>
            <w:vAlign w:val="center"/>
            <w:hideMark/>
          </w:tcPr>
          <w:p w14:paraId="1CD1A047"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Water-Holding Containers (B)</w:t>
            </w:r>
          </w:p>
        </w:tc>
        <w:tc>
          <w:tcPr>
            <w:tcW w:w="1445" w:type="dxa"/>
            <w:vAlign w:val="center"/>
            <w:hideMark/>
          </w:tcPr>
          <w:p w14:paraId="30FE8655" w14:textId="77777777" w:rsidR="00092C83" w:rsidRPr="00B91038" w:rsidRDefault="00092C83" w:rsidP="007725A9">
            <w:pPr>
              <w:spacing w:line="276" w:lineRule="auto"/>
              <w:jc w:val="center"/>
              <w:rPr>
                <w:color w:val="1F1F1F"/>
                <w:sz w:val="18"/>
                <w:szCs w:val="18"/>
              </w:rPr>
            </w:pPr>
            <w:r w:rsidRPr="00B91038">
              <w:rPr>
                <w:b/>
                <w:bCs/>
                <w:i/>
                <w:iCs/>
                <w:color w:val="1F1F1F"/>
                <w:sz w:val="18"/>
                <w:szCs w:val="18"/>
                <w:bdr w:val="none" w:sz="0" w:space="0" w:color="auto" w:frame="1"/>
              </w:rPr>
              <w:t>Aedes</w:t>
            </w:r>
            <w:r w:rsidRPr="00B91038">
              <w:rPr>
                <w:b/>
                <w:bCs/>
                <w:color w:val="1F1F1F"/>
                <w:sz w:val="18"/>
                <w:szCs w:val="18"/>
                <w:bdr w:val="none" w:sz="0" w:space="0" w:color="auto" w:frame="1"/>
              </w:rPr>
              <w:t>-Positive Containers (A)</w:t>
            </w:r>
          </w:p>
        </w:tc>
        <w:tc>
          <w:tcPr>
            <w:tcW w:w="1344" w:type="dxa"/>
            <w:vAlign w:val="center"/>
          </w:tcPr>
          <w:p w14:paraId="2F7429BF" w14:textId="77777777" w:rsidR="00092C83" w:rsidRPr="00B91038" w:rsidRDefault="00092C83" w:rsidP="007725A9">
            <w:pPr>
              <w:spacing w:line="276" w:lineRule="auto"/>
              <w:jc w:val="center"/>
              <w:rPr>
                <w:b/>
                <w:bCs/>
                <w:color w:val="1F1F1F"/>
                <w:sz w:val="18"/>
                <w:szCs w:val="18"/>
                <w:bdr w:val="none" w:sz="0" w:space="0" w:color="auto" w:frame="1"/>
              </w:rPr>
            </w:pPr>
            <w:r w:rsidRPr="00B91038">
              <w:rPr>
                <w:b/>
                <w:bCs/>
                <w:color w:val="1F1F1F"/>
                <w:sz w:val="18"/>
                <w:szCs w:val="18"/>
                <w:bdr w:val="none" w:sz="0" w:space="0" w:color="auto" w:frame="1"/>
              </w:rPr>
              <w:t>Container Index (CI</w:t>
            </w:r>
            <w:proofErr w:type="gramStart"/>
            <w:r w:rsidRPr="00B91038">
              <w:rPr>
                <w:b/>
                <w:bCs/>
                <w:color w:val="1F1F1F"/>
                <w:sz w:val="18"/>
                <w:szCs w:val="18"/>
                <w:bdr w:val="none" w:sz="0" w:space="0" w:color="auto" w:frame="1"/>
              </w:rPr>
              <w:t>)  (</w:t>
            </w:r>
            <w:proofErr w:type="gramEnd"/>
            <w:r w:rsidRPr="00B91038">
              <w:rPr>
                <w:b/>
                <w:bCs/>
                <w:color w:val="1F1F1F"/>
                <w:sz w:val="18"/>
                <w:szCs w:val="18"/>
                <w:bdr w:val="none" w:sz="0" w:space="0" w:color="auto" w:frame="1"/>
              </w:rPr>
              <w:t>A/B) (%)</w:t>
            </w:r>
          </w:p>
        </w:tc>
        <w:tc>
          <w:tcPr>
            <w:tcW w:w="1344" w:type="dxa"/>
            <w:vAlign w:val="center"/>
            <w:hideMark/>
          </w:tcPr>
          <w:p w14:paraId="16724713"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Contribution to Total Infestation* (%)</w:t>
            </w:r>
          </w:p>
        </w:tc>
      </w:tr>
      <w:tr w:rsidR="00092C83" w:rsidRPr="00B91038" w14:paraId="6B81975F" w14:textId="77777777" w:rsidTr="007725A9">
        <w:tc>
          <w:tcPr>
            <w:tcW w:w="3332" w:type="dxa"/>
            <w:shd w:val="clear" w:color="auto" w:fill="E7E6E6" w:themeFill="background2"/>
            <w:hideMark/>
          </w:tcPr>
          <w:p w14:paraId="39798A33" w14:textId="77777777" w:rsidR="00092C83" w:rsidRPr="00B91038" w:rsidRDefault="00092C83" w:rsidP="007725A9">
            <w:pPr>
              <w:spacing w:line="276" w:lineRule="auto"/>
              <w:rPr>
                <w:color w:val="1F1F1F"/>
                <w:sz w:val="18"/>
                <w:szCs w:val="18"/>
              </w:rPr>
            </w:pPr>
            <w:r w:rsidRPr="00B91038">
              <w:rPr>
                <w:b/>
                <w:bCs/>
                <w:color w:val="1F1F1F"/>
                <w:sz w:val="18"/>
                <w:szCs w:val="18"/>
                <w:bdr w:val="none" w:sz="0" w:space="0" w:color="auto" w:frame="1"/>
              </w:rPr>
              <w:t xml:space="preserve">Discarded non-biodegradable waste </w:t>
            </w:r>
          </w:p>
        </w:tc>
        <w:tc>
          <w:tcPr>
            <w:tcW w:w="1529" w:type="dxa"/>
            <w:shd w:val="clear" w:color="auto" w:fill="E7E6E6" w:themeFill="background2"/>
            <w:vAlign w:val="center"/>
            <w:hideMark/>
          </w:tcPr>
          <w:p w14:paraId="06B79415"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568,902</w:t>
            </w:r>
          </w:p>
        </w:tc>
        <w:tc>
          <w:tcPr>
            <w:tcW w:w="1259" w:type="dxa"/>
            <w:shd w:val="clear" w:color="auto" w:fill="E7E6E6" w:themeFill="background2"/>
            <w:vAlign w:val="center"/>
            <w:hideMark/>
          </w:tcPr>
          <w:p w14:paraId="4BB89D08"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189,116</w:t>
            </w:r>
          </w:p>
        </w:tc>
        <w:tc>
          <w:tcPr>
            <w:tcW w:w="1445" w:type="dxa"/>
            <w:shd w:val="clear" w:color="auto" w:fill="E7E6E6" w:themeFill="background2"/>
            <w:vAlign w:val="center"/>
            <w:hideMark/>
          </w:tcPr>
          <w:p w14:paraId="046D069D"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33,213</w:t>
            </w:r>
          </w:p>
        </w:tc>
        <w:tc>
          <w:tcPr>
            <w:tcW w:w="1344" w:type="dxa"/>
            <w:shd w:val="clear" w:color="auto" w:fill="E7E6E6" w:themeFill="background2"/>
            <w:vAlign w:val="center"/>
          </w:tcPr>
          <w:p w14:paraId="65A36C2E" w14:textId="77777777" w:rsidR="00092C83" w:rsidRPr="00B91038" w:rsidRDefault="00092C83" w:rsidP="007725A9">
            <w:pPr>
              <w:spacing w:line="276" w:lineRule="auto"/>
              <w:jc w:val="center"/>
              <w:rPr>
                <w:b/>
                <w:bCs/>
                <w:color w:val="1F1F1F"/>
                <w:sz w:val="18"/>
                <w:szCs w:val="18"/>
                <w:bdr w:val="none" w:sz="0" w:space="0" w:color="auto" w:frame="1"/>
              </w:rPr>
            </w:pPr>
            <w:r w:rsidRPr="00B91038">
              <w:rPr>
                <w:b/>
                <w:bCs/>
                <w:color w:val="1F1F1F"/>
                <w:sz w:val="18"/>
                <w:szCs w:val="18"/>
                <w:bdr w:val="none" w:sz="0" w:space="0" w:color="auto" w:frame="1"/>
              </w:rPr>
              <w:t>17.6</w:t>
            </w:r>
          </w:p>
        </w:tc>
        <w:tc>
          <w:tcPr>
            <w:tcW w:w="1344" w:type="dxa"/>
            <w:shd w:val="clear" w:color="auto" w:fill="E7E6E6" w:themeFill="background2"/>
            <w:vAlign w:val="center"/>
            <w:hideMark/>
          </w:tcPr>
          <w:p w14:paraId="497A14ED"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28.9</w:t>
            </w:r>
          </w:p>
        </w:tc>
      </w:tr>
      <w:tr w:rsidR="00092C83" w:rsidRPr="00B91038" w14:paraId="054F8AD9" w14:textId="77777777" w:rsidTr="007725A9">
        <w:tc>
          <w:tcPr>
            <w:tcW w:w="3332" w:type="dxa"/>
            <w:hideMark/>
          </w:tcPr>
          <w:p w14:paraId="6598F818"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Discarded non-biodegradable containers</w:t>
            </w:r>
          </w:p>
        </w:tc>
        <w:tc>
          <w:tcPr>
            <w:tcW w:w="1529" w:type="dxa"/>
            <w:vAlign w:val="center"/>
            <w:hideMark/>
          </w:tcPr>
          <w:p w14:paraId="38728FCE"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495,847</w:t>
            </w:r>
          </w:p>
        </w:tc>
        <w:tc>
          <w:tcPr>
            <w:tcW w:w="1259" w:type="dxa"/>
            <w:vAlign w:val="center"/>
            <w:hideMark/>
          </w:tcPr>
          <w:p w14:paraId="1E039892"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157,461</w:t>
            </w:r>
          </w:p>
        </w:tc>
        <w:tc>
          <w:tcPr>
            <w:tcW w:w="1445" w:type="dxa"/>
            <w:vAlign w:val="center"/>
            <w:hideMark/>
          </w:tcPr>
          <w:p w14:paraId="0B00DE80"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23,775</w:t>
            </w:r>
          </w:p>
        </w:tc>
        <w:tc>
          <w:tcPr>
            <w:tcW w:w="1344" w:type="dxa"/>
            <w:vAlign w:val="center"/>
          </w:tcPr>
          <w:p w14:paraId="3B649696"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15.1</w:t>
            </w:r>
          </w:p>
        </w:tc>
        <w:tc>
          <w:tcPr>
            <w:tcW w:w="1344" w:type="dxa"/>
            <w:vAlign w:val="center"/>
            <w:hideMark/>
          </w:tcPr>
          <w:p w14:paraId="1CF1DA47"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20.7</w:t>
            </w:r>
          </w:p>
        </w:tc>
      </w:tr>
      <w:tr w:rsidR="00092C83" w:rsidRPr="00B91038" w14:paraId="2C9BEA74" w14:textId="77777777" w:rsidTr="007725A9">
        <w:tc>
          <w:tcPr>
            <w:tcW w:w="3332" w:type="dxa"/>
            <w:hideMark/>
          </w:tcPr>
          <w:p w14:paraId="578E4B05"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w:t>
            </w:r>
            <w:proofErr w:type="spellStart"/>
            <w:r w:rsidRPr="00B91038">
              <w:rPr>
                <w:color w:val="1F1F1F"/>
                <w:sz w:val="18"/>
                <w:szCs w:val="18"/>
                <w:bdr w:val="none" w:sz="0" w:space="0" w:color="auto" w:frame="1"/>
              </w:rPr>
              <w:t>Tyres</w:t>
            </w:r>
            <w:proofErr w:type="spellEnd"/>
          </w:p>
        </w:tc>
        <w:tc>
          <w:tcPr>
            <w:tcW w:w="1529" w:type="dxa"/>
            <w:vAlign w:val="center"/>
            <w:hideMark/>
          </w:tcPr>
          <w:p w14:paraId="08E0F4C2"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73,055</w:t>
            </w:r>
          </w:p>
        </w:tc>
        <w:tc>
          <w:tcPr>
            <w:tcW w:w="1259" w:type="dxa"/>
            <w:vAlign w:val="center"/>
            <w:hideMark/>
          </w:tcPr>
          <w:p w14:paraId="391A6635"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31,655</w:t>
            </w:r>
          </w:p>
        </w:tc>
        <w:tc>
          <w:tcPr>
            <w:tcW w:w="1445" w:type="dxa"/>
            <w:vAlign w:val="center"/>
            <w:hideMark/>
          </w:tcPr>
          <w:p w14:paraId="44CFCDC7"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9,438</w:t>
            </w:r>
          </w:p>
        </w:tc>
        <w:tc>
          <w:tcPr>
            <w:tcW w:w="1344" w:type="dxa"/>
            <w:vAlign w:val="center"/>
          </w:tcPr>
          <w:p w14:paraId="731632EA"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29.8</w:t>
            </w:r>
          </w:p>
        </w:tc>
        <w:tc>
          <w:tcPr>
            <w:tcW w:w="1344" w:type="dxa"/>
            <w:vAlign w:val="center"/>
            <w:hideMark/>
          </w:tcPr>
          <w:p w14:paraId="35AC433A"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8.2</w:t>
            </w:r>
          </w:p>
        </w:tc>
      </w:tr>
      <w:tr w:rsidR="00092C83" w:rsidRPr="00B91038" w14:paraId="568C751F" w14:textId="77777777" w:rsidTr="007725A9">
        <w:tc>
          <w:tcPr>
            <w:tcW w:w="3332" w:type="dxa"/>
            <w:shd w:val="clear" w:color="auto" w:fill="E7E6E6" w:themeFill="background2"/>
            <w:hideMark/>
          </w:tcPr>
          <w:p w14:paraId="747E2A92" w14:textId="77777777" w:rsidR="00092C83" w:rsidRPr="00B91038" w:rsidRDefault="00092C83" w:rsidP="007725A9">
            <w:pPr>
              <w:spacing w:line="276" w:lineRule="auto"/>
              <w:rPr>
                <w:color w:val="1F1F1F"/>
                <w:sz w:val="18"/>
                <w:szCs w:val="18"/>
              </w:rPr>
            </w:pPr>
            <w:r w:rsidRPr="00B91038">
              <w:rPr>
                <w:b/>
                <w:bCs/>
                <w:color w:val="1F1F1F"/>
                <w:sz w:val="18"/>
                <w:szCs w:val="18"/>
                <w:bdr w:val="none" w:sz="0" w:space="0" w:color="auto" w:frame="1"/>
              </w:rPr>
              <w:t xml:space="preserve">Ornamental &amp; Domestic </w:t>
            </w:r>
          </w:p>
        </w:tc>
        <w:tc>
          <w:tcPr>
            <w:tcW w:w="1529" w:type="dxa"/>
            <w:shd w:val="clear" w:color="auto" w:fill="E7E6E6" w:themeFill="background2"/>
            <w:vAlign w:val="center"/>
            <w:hideMark/>
          </w:tcPr>
          <w:p w14:paraId="2734195A"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898,662</w:t>
            </w:r>
          </w:p>
        </w:tc>
        <w:tc>
          <w:tcPr>
            <w:tcW w:w="1259" w:type="dxa"/>
            <w:shd w:val="clear" w:color="auto" w:fill="E7E6E6" w:themeFill="background2"/>
            <w:vAlign w:val="center"/>
            <w:hideMark/>
          </w:tcPr>
          <w:p w14:paraId="14BD6458"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395,553</w:t>
            </w:r>
          </w:p>
        </w:tc>
        <w:tc>
          <w:tcPr>
            <w:tcW w:w="1445" w:type="dxa"/>
            <w:shd w:val="clear" w:color="auto" w:fill="E7E6E6" w:themeFill="background2"/>
            <w:vAlign w:val="center"/>
            <w:hideMark/>
          </w:tcPr>
          <w:p w14:paraId="40BF44DB"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45,953</w:t>
            </w:r>
          </w:p>
        </w:tc>
        <w:tc>
          <w:tcPr>
            <w:tcW w:w="1344" w:type="dxa"/>
            <w:shd w:val="clear" w:color="auto" w:fill="E7E6E6" w:themeFill="background2"/>
            <w:vAlign w:val="center"/>
          </w:tcPr>
          <w:p w14:paraId="04C16AF1" w14:textId="77777777" w:rsidR="00092C83" w:rsidRPr="00B91038" w:rsidRDefault="00092C83" w:rsidP="007725A9">
            <w:pPr>
              <w:spacing w:line="276" w:lineRule="auto"/>
              <w:jc w:val="center"/>
              <w:rPr>
                <w:b/>
                <w:bCs/>
                <w:color w:val="1F1F1F"/>
                <w:sz w:val="18"/>
                <w:szCs w:val="18"/>
                <w:bdr w:val="none" w:sz="0" w:space="0" w:color="auto" w:frame="1"/>
              </w:rPr>
            </w:pPr>
            <w:r w:rsidRPr="00B91038">
              <w:rPr>
                <w:b/>
                <w:bCs/>
                <w:color w:val="1F1F1F"/>
                <w:sz w:val="18"/>
                <w:szCs w:val="18"/>
                <w:bdr w:val="none" w:sz="0" w:space="0" w:color="auto" w:frame="1"/>
              </w:rPr>
              <w:t>11.6</w:t>
            </w:r>
          </w:p>
        </w:tc>
        <w:tc>
          <w:tcPr>
            <w:tcW w:w="1344" w:type="dxa"/>
            <w:shd w:val="clear" w:color="auto" w:fill="E7E6E6" w:themeFill="background2"/>
            <w:vAlign w:val="center"/>
            <w:hideMark/>
          </w:tcPr>
          <w:p w14:paraId="0B3049D0"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40.0</w:t>
            </w:r>
          </w:p>
        </w:tc>
      </w:tr>
      <w:tr w:rsidR="00092C83" w:rsidRPr="00B91038" w14:paraId="3F497AB2" w14:textId="77777777" w:rsidTr="007725A9">
        <w:tc>
          <w:tcPr>
            <w:tcW w:w="3332" w:type="dxa"/>
            <w:hideMark/>
          </w:tcPr>
          <w:p w14:paraId="657607D1"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Temporary removable items</w:t>
            </w:r>
          </w:p>
        </w:tc>
        <w:tc>
          <w:tcPr>
            <w:tcW w:w="1529" w:type="dxa"/>
            <w:vAlign w:val="center"/>
            <w:hideMark/>
          </w:tcPr>
          <w:p w14:paraId="7C16C9CB"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205,710</w:t>
            </w:r>
          </w:p>
        </w:tc>
        <w:tc>
          <w:tcPr>
            <w:tcW w:w="1259" w:type="dxa"/>
            <w:vAlign w:val="center"/>
            <w:hideMark/>
          </w:tcPr>
          <w:p w14:paraId="11486E08"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89,909</w:t>
            </w:r>
          </w:p>
        </w:tc>
        <w:tc>
          <w:tcPr>
            <w:tcW w:w="1445" w:type="dxa"/>
            <w:vAlign w:val="center"/>
            <w:hideMark/>
          </w:tcPr>
          <w:p w14:paraId="22B1D0FF"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14,489</w:t>
            </w:r>
          </w:p>
        </w:tc>
        <w:tc>
          <w:tcPr>
            <w:tcW w:w="1344" w:type="dxa"/>
            <w:vAlign w:val="center"/>
          </w:tcPr>
          <w:p w14:paraId="1AAB80EF"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16.1</w:t>
            </w:r>
          </w:p>
        </w:tc>
        <w:tc>
          <w:tcPr>
            <w:tcW w:w="1344" w:type="dxa"/>
            <w:vAlign w:val="center"/>
            <w:hideMark/>
          </w:tcPr>
          <w:p w14:paraId="407E1070"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12.6</w:t>
            </w:r>
          </w:p>
        </w:tc>
      </w:tr>
      <w:tr w:rsidR="00092C83" w:rsidRPr="00B91038" w14:paraId="0616CB20" w14:textId="77777777" w:rsidTr="007725A9">
        <w:tc>
          <w:tcPr>
            <w:tcW w:w="3332" w:type="dxa"/>
            <w:hideMark/>
          </w:tcPr>
          <w:p w14:paraId="00F4C89F"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Ornamental containers</w:t>
            </w:r>
          </w:p>
        </w:tc>
        <w:tc>
          <w:tcPr>
            <w:tcW w:w="1529" w:type="dxa"/>
            <w:vAlign w:val="center"/>
            <w:hideMark/>
          </w:tcPr>
          <w:p w14:paraId="49C139F4"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115,910</w:t>
            </w:r>
          </w:p>
        </w:tc>
        <w:tc>
          <w:tcPr>
            <w:tcW w:w="1259" w:type="dxa"/>
            <w:vAlign w:val="center"/>
            <w:hideMark/>
          </w:tcPr>
          <w:p w14:paraId="14D91658"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76,587</w:t>
            </w:r>
          </w:p>
        </w:tc>
        <w:tc>
          <w:tcPr>
            <w:tcW w:w="1445" w:type="dxa"/>
            <w:vAlign w:val="center"/>
            <w:hideMark/>
          </w:tcPr>
          <w:p w14:paraId="673ADE98"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11,260</w:t>
            </w:r>
          </w:p>
        </w:tc>
        <w:tc>
          <w:tcPr>
            <w:tcW w:w="1344" w:type="dxa"/>
            <w:vAlign w:val="center"/>
          </w:tcPr>
          <w:p w14:paraId="587A6900"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14.7</w:t>
            </w:r>
          </w:p>
        </w:tc>
        <w:tc>
          <w:tcPr>
            <w:tcW w:w="1344" w:type="dxa"/>
            <w:vAlign w:val="center"/>
            <w:hideMark/>
          </w:tcPr>
          <w:p w14:paraId="6B1B0189"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9.8</w:t>
            </w:r>
          </w:p>
        </w:tc>
      </w:tr>
      <w:tr w:rsidR="00092C83" w:rsidRPr="00B91038" w14:paraId="1FD9C25D" w14:textId="77777777" w:rsidTr="007725A9">
        <w:tc>
          <w:tcPr>
            <w:tcW w:w="3332" w:type="dxa"/>
            <w:hideMark/>
          </w:tcPr>
          <w:p w14:paraId="337B42BF"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Covering items</w:t>
            </w:r>
          </w:p>
        </w:tc>
        <w:tc>
          <w:tcPr>
            <w:tcW w:w="1529" w:type="dxa"/>
            <w:vAlign w:val="center"/>
            <w:hideMark/>
          </w:tcPr>
          <w:p w14:paraId="1ABC751A"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144,690</w:t>
            </w:r>
          </w:p>
        </w:tc>
        <w:tc>
          <w:tcPr>
            <w:tcW w:w="1259" w:type="dxa"/>
            <w:vAlign w:val="center"/>
            <w:hideMark/>
          </w:tcPr>
          <w:p w14:paraId="4AE52682"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45,599</w:t>
            </w:r>
          </w:p>
        </w:tc>
        <w:tc>
          <w:tcPr>
            <w:tcW w:w="1445" w:type="dxa"/>
            <w:vAlign w:val="center"/>
            <w:hideMark/>
          </w:tcPr>
          <w:p w14:paraId="54032EAE"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5,717</w:t>
            </w:r>
          </w:p>
        </w:tc>
        <w:tc>
          <w:tcPr>
            <w:tcW w:w="1344" w:type="dxa"/>
            <w:vAlign w:val="center"/>
          </w:tcPr>
          <w:p w14:paraId="1922A0CE"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12.5</w:t>
            </w:r>
          </w:p>
        </w:tc>
        <w:tc>
          <w:tcPr>
            <w:tcW w:w="1344" w:type="dxa"/>
            <w:vAlign w:val="center"/>
            <w:hideMark/>
          </w:tcPr>
          <w:p w14:paraId="607FBF46"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5.0</w:t>
            </w:r>
          </w:p>
        </w:tc>
      </w:tr>
      <w:tr w:rsidR="00092C83" w:rsidRPr="00B91038" w14:paraId="603E5925" w14:textId="77777777" w:rsidTr="007725A9">
        <w:tc>
          <w:tcPr>
            <w:tcW w:w="3332" w:type="dxa"/>
            <w:hideMark/>
          </w:tcPr>
          <w:p w14:paraId="00022CC6"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Pet feeding cups</w:t>
            </w:r>
          </w:p>
        </w:tc>
        <w:tc>
          <w:tcPr>
            <w:tcW w:w="1529" w:type="dxa"/>
            <w:vAlign w:val="center"/>
            <w:hideMark/>
          </w:tcPr>
          <w:p w14:paraId="6E7C6A3D"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92,973</w:t>
            </w:r>
          </w:p>
        </w:tc>
        <w:tc>
          <w:tcPr>
            <w:tcW w:w="1259" w:type="dxa"/>
            <w:vAlign w:val="center"/>
            <w:hideMark/>
          </w:tcPr>
          <w:p w14:paraId="36049CD9"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70,379</w:t>
            </w:r>
          </w:p>
        </w:tc>
        <w:tc>
          <w:tcPr>
            <w:tcW w:w="1445" w:type="dxa"/>
            <w:vAlign w:val="center"/>
            <w:hideMark/>
          </w:tcPr>
          <w:p w14:paraId="6A020DAA"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4,494</w:t>
            </w:r>
          </w:p>
        </w:tc>
        <w:tc>
          <w:tcPr>
            <w:tcW w:w="1344" w:type="dxa"/>
            <w:vAlign w:val="center"/>
          </w:tcPr>
          <w:p w14:paraId="6BD334FB"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6.4</w:t>
            </w:r>
          </w:p>
        </w:tc>
        <w:tc>
          <w:tcPr>
            <w:tcW w:w="1344" w:type="dxa"/>
            <w:vAlign w:val="center"/>
            <w:hideMark/>
          </w:tcPr>
          <w:p w14:paraId="20A4758D"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3.9</w:t>
            </w:r>
          </w:p>
        </w:tc>
      </w:tr>
      <w:tr w:rsidR="00092C83" w:rsidRPr="00B91038" w14:paraId="7CD084A0" w14:textId="77777777" w:rsidTr="007725A9">
        <w:tc>
          <w:tcPr>
            <w:tcW w:w="3332" w:type="dxa"/>
            <w:hideMark/>
          </w:tcPr>
          <w:p w14:paraId="52EEBFC0"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Discarded reuse</w:t>
            </w:r>
          </w:p>
        </w:tc>
        <w:tc>
          <w:tcPr>
            <w:tcW w:w="1529" w:type="dxa"/>
            <w:vAlign w:val="center"/>
            <w:hideMark/>
          </w:tcPr>
          <w:p w14:paraId="2C3F0464"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109,553</w:t>
            </w:r>
          </w:p>
        </w:tc>
        <w:tc>
          <w:tcPr>
            <w:tcW w:w="1259" w:type="dxa"/>
            <w:vAlign w:val="center"/>
            <w:hideMark/>
          </w:tcPr>
          <w:p w14:paraId="0898296D"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35,075</w:t>
            </w:r>
          </w:p>
        </w:tc>
        <w:tc>
          <w:tcPr>
            <w:tcW w:w="1445" w:type="dxa"/>
            <w:vAlign w:val="center"/>
            <w:hideMark/>
          </w:tcPr>
          <w:p w14:paraId="5079FDCF"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4,368</w:t>
            </w:r>
          </w:p>
        </w:tc>
        <w:tc>
          <w:tcPr>
            <w:tcW w:w="1344" w:type="dxa"/>
            <w:vAlign w:val="center"/>
          </w:tcPr>
          <w:p w14:paraId="730AC56A"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12.5</w:t>
            </w:r>
          </w:p>
        </w:tc>
        <w:tc>
          <w:tcPr>
            <w:tcW w:w="1344" w:type="dxa"/>
            <w:vAlign w:val="center"/>
            <w:hideMark/>
          </w:tcPr>
          <w:p w14:paraId="7F445DD4"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3.8</w:t>
            </w:r>
          </w:p>
        </w:tc>
      </w:tr>
      <w:tr w:rsidR="00092C83" w:rsidRPr="00B91038" w14:paraId="4293ACE7" w14:textId="77777777" w:rsidTr="007725A9">
        <w:tc>
          <w:tcPr>
            <w:tcW w:w="3332" w:type="dxa"/>
            <w:hideMark/>
          </w:tcPr>
          <w:p w14:paraId="667CDCA4"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Discarded degradable</w:t>
            </w:r>
          </w:p>
        </w:tc>
        <w:tc>
          <w:tcPr>
            <w:tcW w:w="1529" w:type="dxa"/>
            <w:vAlign w:val="center"/>
            <w:hideMark/>
          </w:tcPr>
          <w:p w14:paraId="5F297CC8"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159,790</w:t>
            </w:r>
          </w:p>
        </w:tc>
        <w:tc>
          <w:tcPr>
            <w:tcW w:w="1259" w:type="dxa"/>
            <w:vAlign w:val="center"/>
            <w:hideMark/>
          </w:tcPr>
          <w:p w14:paraId="55A4F280"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42,505</w:t>
            </w:r>
          </w:p>
        </w:tc>
        <w:tc>
          <w:tcPr>
            <w:tcW w:w="1445" w:type="dxa"/>
            <w:vAlign w:val="center"/>
            <w:hideMark/>
          </w:tcPr>
          <w:p w14:paraId="33F7FD48"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3,576</w:t>
            </w:r>
          </w:p>
        </w:tc>
        <w:tc>
          <w:tcPr>
            <w:tcW w:w="1344" w:type="dxa"/>
            <w:vAlign w:val="center"/>
          </w:tcPr>
          <w:p w14:paraId="4BBC7265"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8.4</w:t>
            </w:r>
          </w:p>
        </w:tc>
        <w:tc>
          <w:tcPr>
            <w:tcW w:w="1344" w:type="dxa"/>
            <w:vAlign w:val="center"/>
            <w:hideMark/>
          </w:tcPr>
          <w:p w14:paraId="177D7239"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3.1</w:t>
            </w:r>
          </w:p>
        </w:tc>
      </w:tr>
      <w:tr w:rsidR="00092C83" w:rsidRPr="00B91038" w14:paraId="784F086A" w14:textId="77777777" w:rsidTr="007725A9">
        <w:tc>
          <w:tcPr>
            <w:tcW w:w="3332" w:type="dxa"/>
            <w:hideMark/>
          </w:tcPr>
          <w:p w14:paraId="365CFC99"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Refrigerator trays</w:t>
            </w:r>
          </w:p>
        </w:tc>
        <w:tc>
          <w:tcPr>
            <w:tcW w:w="1529" w:type="dxa"/>
            <w:vAlign w:val="center"/>
            <w:hideMark/>
          </w:tcPr>
          <w:p w14:paraId="28535BE4"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70,036</w:t>
            </w:r>
          </w:p>
        </w:tc>
        <w:tc>
          <w:tcPr>
            <w:tcW w:w="1259" w:type="dxa"/>
            <w:vAlign w:val="center"/>
            <w:hideMark/>
          </w:tcPr>
          <w:p w14:paraId="20F8F94B"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35,499</w:t>
            </w:r>
          </w:p>
        </w:tc>
        <w:tc>
          <w:tcPr>
            <w:tcW w:w="1445" w:type="dxa"/>
            <w:vAlign w:val="center"/>
            <w:hideMark/>
          </w:tcPr>
          <w:p w14:paraId="0A808652"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2,049</w:t>
            </w:r>
          </w:p>
        </w:tc>
        <w:tc>
          <w:tcPr>
            <w:tcW w:w="1344" w:type="dxa"/>
            <w:vAlign w:val="center"/>
          </w:tcPr>
          <w:p w14:paraId="7FADA39E"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5.8</w:t>
            </w:r>
          </w:p>
        </w:tc>
        <w:tc>
          <w:tcPr>
            <w:tcW w:w="1344" w:type="dxa"/>
            <w:vAlign w:val="center"/>
            <w:hideMark/>
          </w:tcPr>
          <w:p w14:paraId="436AEE91"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1.8</w:t>
            </w:r>
          </w:p>
        </w:tc>
      </w:tr>
      <w:tr w:rsidR="00092C83" w:rsidRPr="00B91038" w14:paraId="3B3A4647" w14:textId="77777777" w:rsidTr="007725A9">
        <w:tc>
          <w:tcPr>
            <w:tcW w:w="3332" w:type="dxa"/>
            <w:shd w:val="clear" w:color="auto" w:fill="E7E6E6" w:themeFill="background2"/>
            <w:hideMark/>
          </w:tcPr>
          <w:p w14:paraId="0B02BF40" w14:textId="77777777" w:rsidR="00092C83" w:rsidRPr="00B91038" w:rsidRDefault="00092C83" w:rsidP="007725A9">
            <w:pPr>
              <w:spacing w:line="276" w:lineRule="auto"/>
              <w:rPr>
                <w:color w:val="1F1F1F"/>
                <w:sz w:val="18"/>
                <w:szCs w:val="18"/>
              </w:rPr>
            </w:pPr>
            <w:r w:rsidRPr="00B91038">
              <w:rPr>
                <w:b/>
                <w:bCs/>
                <w:color w:val="1F1F1F"/>
                <w:sz w:val="18"/>
                <w:szCs w:val="18"/>
                <w:bdr w:val="none" w:sz="0" w:space="0" w:color="auto" w:frame="1"/>
              </w:rPr>
              <w:t xml:space="preserve">Water Storage </w:t>
            </w:r>
          </w:p>
        </w:tc>
        <w:tc>
          <w:tcPr>
            <w:tcW w:w="1529" w:type="dxa"/>
            <w:shd w:val="clear" w:color="auto" w:fill="E7E6E6" w:themeFill="background2"/>
            <w:vAlign w:val="center"/>
            <w:hideMark/>
          </w:tcPr>
          <w:p w14:paraId="036FAD94"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321,350</w:t>
            </w:r>
          </w:p>
        </w:tc>
        <w:tc>
          <w:tcPr>
            <w:tcW w:w="1259" w:type="dxa"/>
            <w:shd w:val="clear" w:color="auto" w:fill="E7E6E6" w:themeFill="background2"/>
            <w:vAlign w:val="center"/>
            <w:hideMark/>
          </w:tcPr>
          <w:p w14:paraId="6E62CA80"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224,691</w:t>
            </w:r>
          </w:p>
        </w:tc>
        <w:tc>
          <w:tcPr>
            <w:tcW w:w="1445" w:type="dxa"/>
            <w:shd w:val="clear" w:color="auto" w:fill="E7E6E6" w:themeFill="background2"/>
            <w:vAlign w:val="center"/>
            <w:hideMark/>
          </w:tcPr>
          <w:p w14:paraId="5EFF7221"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22,284</w:t>
            </w:r>
          </w:p>
        </w:tc>
        <w:tc>
          <w:tcPr>
            <w:tcW w:w="1344" w:type="dxa"/>
            <w:shd w:val="clear" w:color="auto" w:fill="E7E6E6" w:themeFill="background2"/>
            <w:vAlign w:val="center"/>
          </w:tcPr>
          <w:p w14:paraId="08CA4FE8" w14:textId="77777777" w:rsidR="00092C83" w:rsidRPr="00B91038" w:rsidRDefault="00092C83" w:rsidP="007725A9">
            <w:pPr>
              <w:spacing w:line="276" w:lineRule="auto"/>
              <w:jc w:val="center"/>
              <w:rPr>
                <w:b/>
                <w:bCs/>
                <w:color w:val="1F1F1F"/>
                <w:sz w:val="18"/>
                <w:szCs w:val="18"/>
                <w:bdr w:val="none" w:sz="0" w:space="0" w:color="auto" w:frame="1"/>
              </w:rPr>
            </w:pPr>
            <w:r w:rsidRPr="00B91038">
              <w:rPr>
                <w:b/>
                <w:bCs/>
                <w:color w:val="1F1F1F"/>
                <w:sz w:val="18"/>
                <w:szCs w:val="18"/>
                <w:bdr w:val="none" w:sz="0" w:space="0" w:color="auto" w:frame="1"/>
              </w:rPr>
              <w:t>9.9</w:t>
            </w:r>
          </w:p>
        </w:tc>
        <w:tc>
          <w:tcPr>
            <w:tcW w:w="1344" w:type="dxa"/>
            <w:shd w:val="clear" w:color="auto" w:fill="E7E6E6" w:themeFill="background2"/>
            <w:vAlign w:val="center"/>
            <w:hideMark/>
          </w:tcPr>
          <w:p w14:paraId="54682AAE"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19.4</w:t>
            </w:r>
          </w:p>
        </w:tc>
      </w:tr>
      <w:tr w:rsidR="00092C83" w:rsidRPr="00B91038" w14:paraId="2AB672A3" w14:textId="77777777" w:rsidTr="007725A9">
        <w:tc>
          <w:tcPr>
            <w:tcW w:w="3332" w:type="dxa"/>
            <w:hideMark/>
          </w:tcPr>
          <w:p w14:paraId="45A6EF4E"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Barrels</w:t>
            </w:r>
          </w:p>
        </w:tc>
        <w:tc>
          <w:tcPr>
            <w:tcW w:w="1529" w:type="dxa"/>
            <w:vAlign w:val="center"/>
            <w:hideMark/>
          </w:tcPr>
          <w:p w14:paraId="30375130"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109,760</w:t>
            </w:r>
          </w:p>
        </w:tc>
        <w:tc>
          <w:tcPr>
            <w:tcW w:w="1259" w:type="dxa"/>
            <w:vAlign w:val="center"/>
            <w:hideMark/>
          </w:tcPr>
          <w:p w14:paraId="55326DB6"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84,513</w:t>
            </w:r>
          </w:p>
        </w:tc>
        <w:tc>
          <w:tcPr>
            <w:tcW w:w="1445" w:type="dxa"/>
            <w:vAlign w:val="center"/>
            <w:hideMark/>
          </w:tcPr>
          <w:p w14:paraId="0AA7BFB4"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8,949</w:t>
            </w:r>
          </w:p>
        </w:tc>
        <w:tc>
          <w:tcPr>
            <w:tcW w:w="1344" w:type="dxa"/>
            <w:vAlign w:val="center"/>
          </w:tcPr>
          <w:p w14:paraId="60721509"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10.6</w:t>
            </w:r>
          </w:p>
        </w:tc>
        <w:tc>
          <w:tcPr>
            <w:tcW w:w="1344" w:type="dxa"/>
            <w:vAlign w:val="center"/>
            <w:hideMark/>
          </w:tcPr>
          <w:p w14:paraId="139DE066"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7.8</w:t>
            </w:r>
          </w:p>
        </w:tc>
      </w:tr>
      <w:tr w:rsidR="00092C83" w:rsidRPr="00B91038" w14:paraId="2C8400E1" w14:textId="77777777" w:rsidTr="007725A9">
        <w:tc>
          <w:tcPr>
            <w:tcW w:w="3332" w:type="dxa"/>
            <w:hideMark/>
          </w:tcPr>
          <w:p w14:paraId="345898EE"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Cement Tanks</w:t>
            </w:r>
          </w:p>
        </w:tc>
        <w:tc>
          <w:tcPr>
            <w:tcW w:w="1529" w:type="dxa"/>
            <w:vAlign w:val="center"/>
            <w:hideMark/>
          </w:tcPr>
          <w:p w14:paraId="45EFA167"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52,372</w:t>
            </w:r>
          </w:p>
        </w:tc>
        <w:tc>
          <w:tcPr>
            <w:tcW w:w="1259" w:type="dxa"/>
            <w:vAlign w:val="center"/>
            <w:hideMark/>
          </w:tcPr>
          <w:p w14:paraId="150FB613"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34,412</w:t>
            </w:r>
          </w:p>
        </w:tc>
        <w:tc>
          <w:tcPr>
            <w:tcW w:w="1445" w:type="dxa"/>
            <w:vAlign w:val="center"/>
            <w:hideMark/>
          </w:tcPr>
          <w:p w14:paraId="16C8BF96"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2,546</w:t>
            </w:r>
          </w:p>
        </w:tc>
        <w:tc>
          <w:tcPr>
            <w:tcW w:w="1344" w:type="dxa"/>
            <w:vAlign w:val="center"/>
          </w:tcPr>
          <w:p w14:paraId="2E6A9850"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7.4</w:t>
            </w:r>
          </w:p>
        </w:tc>
        <w:tc>
          <w:tcPr>
            <w:tcW w:w="1344" w:type="dxa"/>
            <w:vAlign w:val="center"/>
            <w:hideMark/>
          </w:tcPr>
          <w:p w14:paraId="4A61FF17"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2.2</w:t>
            </w:r>
          </w:p>
        </w:tc>
      </w:tr>
      <w:tr w:rsidR="00092C83" w:rsidRPr="00B91038" w14:paraId="0506A470" w14:textId="77777777" w:rsidTr="007725A9">
        <w:tc>
          <w:tcPr>
            <w:tcW w:w="3332" w:type="dxa"/>
            <w:hideMark/>
          </w:tcPr>
          <w:p w14:paraId="5F228450"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Other Water Storage</w:t>
            </w:r>
          </w:p>
        </w:tc>
        <w:tc>
          <w:tcPr>
            <w:tcW w:w="1529" w:type="dxa"/>
            <w:vAlign w:val="center"/>
            <w:hideMark/>
          </w:tcPr>
          <w:p w14:paraId="4A3AE354"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159,218</w:t>
            </w:r>
          </w:p>
        </w:tc>
        <w:tc>
          <w:tcPr>
            <w:tcW w:w="1259" w:type="dxa"/>
            <w:vAlign w:val="center"/>
            <w:hideMark/>
          </w:tcPr>
          <w:p w14:paraId="502FE76E"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105,766</w:t>
            </w:r>
          </w:p>
        </w:tc>
        <w:tc>
          <w:tcPr>
            <w:tcW w:w="1445" w:type="dxa"/>
            <w:vAlign w:val="center"/>
            <w:hideMark/>
          </w:tcPr>
          <w:p w14:paraId="58CE3F9A"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10,789</w:t>
            </w:r>
          </w:p>
        </w:tc>
        <w:tc>
          <w:tcPr>
            <w:tcW w:w="1344" w:type="dxa"/>
            <w:vAlign w:val="center"/>
          </w:tcPr>
          <w:p w14:paraId="7B6ACC36"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10.2</w:t>
            </w:r>
          </w:p>
        </w:tc>
        <w:tc>
          <w:tcPr>
            <w:tcW w:w="1344" w:type="dxa"/>
            <w:vAlign w:val="center"/>
            <w:hideMark/>
          </w:tcPr>
          <w:p w14:paraId="4B292894"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9.4</w:t>
            </w:r>
          </w:p>
        </w:tc>
      </w:tr>
      <w:tr w:rsidR="00092C83" w:rsidRPr="00B91038" w14:paraId="73F16A1C" w14:textId="77777777" w:rsidTr="007725A9">
        <w:tc>
          <w:tcPr>
            <w:tcW w:w="3332" w:type="dxa"/>
            <w:shd w:val="clear" w:color="auto" w:fill="E7E6E6" w:themeFill="background2"/>
            <w:hideMark/>
          </w:tcPr>
          <w:p w14:paraId="6ADF1B07" w14:textId="77777777" w:rsidR="00092C83" w:rsidRPr="00B91038" w:rsidRDefault="00092C83" w:rsidP="007725A9">
            <w:pPr>
              <w:spacing w:line="276" w:lineRule="auto"/>
              <w:rPr>
                <w:color w:val="1F1F1F"/>
                <w:sz w:val="18"/>
                <w:szCs w:val="18"/>
              </w:rPr>
            </w:pPr>
            <w:r w:rsidRPr="00B91038">
              <w:rPr>
                <w:b/>
                <w:bCs/>
                <w:color w:val="1F1F1F"/>
                <w:sz w:val="18"/>
                <w:szCs w:val="18"/>
                <w:bdr w:val="none" w:sz="0" w:space="0" w:color="auto" w:frame="1"/>
              </w:rPr>
              <w:t xml:space="preserve">Infrastructure &amp; Drainage </w:t>
            </w:r>
          </w:p>
        </w:tc>
        <w:tc>
          <w:tcPr>
            <w:tcW w:w="1529" w:type="dxa"/>
            <w:shd w:val="clear" w:color="auto" w:fill="E7E6E6" w:themeFill="background2"/>
            <w:vAlign w:val="center"/>
            <w:hideMark/>
          </w:tcPr>
          <w:p w14:paraId="0C1CBA2E"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144,017</w:t>
            </w:r>
          </w:p>
        </w:tc>
        <w:tc>
          <w:tcPr>
            <w:tcW w:w="1259" w:type="dxa"/>
            <w:shd w:val="clear" w:color="auto" w:fill="E7E6E6" w:themeFill="background2"/>
            <w:vAlign w:val="center"/>
            <w:hideMark/>
          </w:tcPr>
          <w:p w14:paraId="451F3A12"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107,320</w:t>
            </w:r>
          </w:p>
        </w:tc>
        <w:tc>
          <w:tcPr>
            <w:tcW w:w="1445" w:type="dxa"/>
            <w:shd w:val="clear" w:color="auto" w:fill="E7E6E6" w:themeFill="background2"/>
            <w:vAlign w:val="center"/>
            <w:hideMark/>
          </w:tcPr>
          <w:p w14:paraId="5A03A9B1"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5,356</w:t>
            </w:r>
          </w:p>
        </w:tc>
        <w:tc>
          <w:tcPr>
            <w:tcW w:w="1344" w:type="dxa"/>
            <w:shd w:val="clear" w:color="auto" w:fill="E7E6E6" w:themeFill="background2"/>
            <w:vAlign w:val="center"/>
          </w:tcPr>
          <w:p w14:paraId="5991CD61" w14:textId="77777777" w:rsidR="00092C83" w:rsidRPr="00B91038" w:rsidRDefault="00092C83" w:rsidP="007725A9">
            <w:pPr>
              <w:spacing w:line="276" w:lineRule="auto"/>
              <w:jc w:val="center"/>
              <w:rPr>
                <w:b/>
                <w:bCs/>
                <w:color w:val="1F1F1F"/>
                <w:sz w:val="18"/>
                <w:szCs w:val="18"/>
                <w:bdr w:val="none" w:sz="0" w:space="0" w:color="auto" w:frame="1"/>
              </w:rPr>
            </w:pPr>
            <w:r w:rsidRPr="00B91038">
              <w:rPr>
                <w:b/>
                <w:bCs/>
                <w:color w:val="1F1F1F"/>
                <w:sz w:val="18"/>
                <w:szCs w:val="18"/>
                <w:bdr w:val="none" w:sz="0" w:space="0" w:color="auto" w:frame="1"/>
              </w:rPr>
              <w:t>5.0</w:t>
            </w:r>
          </w:p>
        </w:tc>
        <w:tc>
          <w:tcPr>
            <w:tcW w:w="1344" w:type="dxa"/>
            <w:shd w:val="clear" w:color="auto" w:fill="E7E6E6" w:themeFill="background2"/>
            <w:vAlign w:val="center"/>
            <w:hideMark/>
          </w:tcPr>
          <w:p w14:paraId="4980F986"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4.6</w:t>
            </w:r>
          </w:p>
        </w:tc>
      </w:tr>
      <w:tr w:rsidR="00092C83" w:rsidRPr="00B91038" w14:paraId="3756D38D" w14:textId="77777777" w:rsidTr="007725A9">
        <w:tc>
          <w:tcPr>
            <w:tcW w:w="3332" w:type="dxa"/>
            <w:hideMark/>
          </w:tcPr>
          <w:p w14:paraId="0F80AB9C"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Ponds</w:t>
            </w:r>
          </w:p>
        </w:tc>
        <w:tc>
          <w:tcPr>
            <w:tcW w:w="1529" w:type="dxa"/>
            <w:vAlign w:val="center"/>
            <w:hideMark/>
          </w:tcPr>
          <w:p w14:paraId="564447AD"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28,695</w:t>
            </w:r>
          </w:p>
        </w:tc>
        <w:tc>
          <w:tcPr>
            <w:tcW w:w="1259" w:type="dxa"/>
            <w:vAlign w:val="center"/>
            <w:hideMark/>
          </w:tcPr>
          <w:p w14:paraId="147EA70B"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26,104</w:t>
            </w:r>
          </w:p>
        </w:tc>
        <w:tc>
          <w:tcPr>
            <w:tcW w:w="1445" w:type="dxa"/>
            <w:vAlign w:val="center"/>
            <w:hideMark/>
          </w:tcPr>
          <w:p w14:paraId="59DB19C0"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1,384</w:t>
            </w:r>
          </w:p>
        </w:tc>
        <w:tc>
          <w:tcPr>
            <w:tcW w:w="1344" w:type="dxa"/>
            <w:vAlign w:val="center"/>
          </w:tcPr>
          <w:p w14:paraId="4577C2E6"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5.3</w:t>
            </w:r>
          </w:p>
        </w:tc>
        <w:tc>
          <w:tcPr>
            <w:tcW w:w="1344" w:type="dxa"/>
            <w:vAlign w:val="center"/>
            <w:hideMark/>
          </w:tcPr>
          <w:p w14:paraId="1E7CDDD4"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1.2</w:t>
            </w:r>
          </w:p>
        </w:tc>
      </w:tr>
      <w:tr w:rsidR="00092C83" w:rsidRPr="00B91038" w14:paraId="43D2097D" w14:textId="77777777" w:rsidTr="007725A9">
        <w:tc>
          <w:tcPr>
            <w:tcW w:w="3332" w:type="dxa"/>
            <w:hideMark/>
          </w:tcPr>
          <w:p w14:paraId="18FE9148"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Concrete Slabs</w:t>
            </w:r>
          </w:p>
        </w:tc>
        <w:tc>
          <w:tcPr>
            <w:tcW w:w="1529" w:type="dxa"/>
            <w:vAlign w:val="center"/>
            <w:hideMark/>
          </w:tcPr>
          <w:p w14:paraId="79182E73"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31,406</w:t>
            </w:r>
          </w:p>
        </w:tc>
        <w:tc>
          <w:tcPr>
            <w:tcW w:w="1259" w:type="dxa"/>
            <w:vAlign w:val="center"/>
            <w:hideMark/>
          </w:tcPr>
          <w:p w14:paraId="2FBAF3EE"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15,599</w:t>
            </w:r>
          </w:p>
        </w:tc>
        <w:tc>
          <w:tcPr>
            <w:tcW w:w="1445" w:type="dxa"/>
            <w:vAlign w:val="center"/>
            <w:hideMark/>
          </w:tcPr>
          <w:p w14:paraId="322CB892"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1,014</w:t>
            </w:r>
          </w:p>
        </w:tc>
        <w:tc>
          <w:tcPr>
            <w:tcW w:w="1344" w:type="dxa"/>
            <w:vAlign w:val="center"/>
          </w:tcPr>
          <w:p w14:paraId="78B17AF9"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6.5</w:t>
            </w:r>
          </w:p>
        </w:tc>
        <w:tc>
          <w:tcPr>
            <w:tcW w:w="1344" w:type="dxa"/>
            <w:vAlign w:val="center"/>
            <w:hideMark/>
          </w:tcPr>
          <w:p w14:paraId="4BC79CAA"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0.9</w:t>
            </w:r>
          </w:p>
        </w:tc>
      </w:tr>
      <w:tr w:rsidR="00092C83" w:rsidRPr="00B91038" w14:paraId="40433D0C" w14:textId="77777777" w:rsidTr="007725A9">
        <w:tc>
          <w:tcPr>
            <w:tcW w:w="3332" w:type="dxa"/>
            <w:hideMark/>
          </w:tcPr>
          <w:p w14:paraId="6BC2D12E"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Non-used Cisterns/Commodes</w:t>
            </w:r>
          </w:p>
        </w:tc>
        <w:tc>
          <w:tcPr>
            <w:tcW w:w="1529" w:type="dxa"/>
            <w:vAlign w:val="center"/>
            <w:hideMark/>
          </w:tcPr>
          <w:p w14:paraId="2BDFCA92"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8,473</w:t>
            </w:r>
          </w:p>
        </w:tc>
        <w:tc>
          <w:tcPr>
            <w:tcW w:w="1259" w:type="dxa"/>
            <w:vAlign w:val="center"/>
            <w:hideMark/>
          </w:tcPr>
          <w:p w14:paraId="436B1C6E"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5,382</w:t>
            </w:r>
          </w:p>
        </w:tc>
        <w:tc>
          <w:tcPr>
            <w:tcW w:w="1445" w:type="dxa"/>
            <w:vAlign w:val="center"/>
            <w:hideMark/>
          </w:tcPr>
          <w:p w14:paraId="7F2E762F"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1,023</w:t>
            </w:r>
          </w:p>
        </w:tc>
        <w:tc>
          <w:tcPr>
            <w:tcW w:w="1344" w:type="dxa"/>
            <w:vAlign w:val="center"/>
          </w:tcPr>
          <w:p w14:paraId="3478DB31"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19.0</w:t>
            </w:r>
          </w:p>
        </w:tc>
        <w:tc>
          <w:tcPr>
            <w:tcW w:w="1344" w:type="dxa"/>
            <w:vAlign w:val="center"/>
            <w:hideMark/>
          </w:tcPr>
          <w:p w14:paraId="1B7DB2DB"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0.9</w:t>
            </w:r>
          </w:p>
        </w:tc>
      </w:tr>
      <w:tr w:rsidR="00092C83" w:rsidRPr="00B91038" w14:paraId="24EA20C4" w14:textId="77777777" w:rsidTr="007725A9">
        <w:tc>
          <w:tcPr>
            <w:tcW w:w="3332" w:type="dxa"/>
            <w:hideMark/>
          </w:tcPr>
          <w:p w14:paraId="6E89C5C1"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Roof Gutters</w:t>
            </w:r>
          </w:p>
        </w:tc>
        <w:tc>
          <w:tcPr>
            <w:tcW w:w="1529" w:type="dxa"/>
            <w:vAlign w:val="center"/>
            <w:hideMark/>
          </w:tcPr>
          <w:p w14:paraId="3674797F"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22,917</w:t>
            </w:r>
          </w:p>
        </w:tc>
        <w:tc>
          <w:tcPr>
            <w:tcW w:w="1259" w:type="dxa"/>
            <w:vAlign w:val="center"/>
            <w:hideMark/>
          </w:tcPr>
          <w:p w14:paraId="2D65C4B2"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9,824</w:t>
            </w:r>
          </w:p>
        </w:tc>
        <w:tc>
          <w:tcPr>
            <w:tcW w:w="1445" w:type="dxa"/>
            <w:vAlign w:val="center"/>
            <w:hideMark/>
          </w:tcPr>
          <w:p w14:paraId="3437A60C"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849</w:t>
            </w:r>
          </w:p>
        </w:tc>
        <w:tc>
          <w:tcPr>
            <w:tcW w:w="1344" w:type="dxa"/>
            <w:vAlign w:val="center"/>
          </w:tcPr>
          <w:p w14:paraId="55E9FBD7"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8.6</w:t>
            </w:r>
          </w:p>
        </w:tc>
        <w:tc>
          <w:tcPr>
            <w:tcW w:w="1344" w:type="dxa"/>
            <w:vAlign w:val="center"/>
            <w:hideMark/>
          </w:tcPr>
          <w:p w14:paraId="0C6F4D03"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0.7</w:t>
            </w:r>
          </w:p>
        </w:tc>
      </w:tr>
      <w:tr w:rsidR="00092C83" w:rsidRPr="00B91038" w14:paraId="41A3BBF6" w14:textId="77777777" w:rsidTr="007725A9">
        <w:tc>
          <w:tcPr>
            <w:tcW w:w="3332" w:type="dxa"/>
            <w:hideMark/>
          </w:tcPr>
          <w:p w14:paraId="44F7CD47"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Wells</w:t>
            </w:r>
          </w:p>
        </w:tc>
        <w:tc>
          <w:tcPr>
            <w:tcW w:w="1529" w:type="dxa"/>
            <w:vAlign w:val="center"/>
            <w:hideMark/>
          </w:tcPr>
          <w:p w14:paraId="718B00F8"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42,454</w:t>
            </w:r>
          </w:p>
        </w:tc>
        <w:tc>
          <w:tcPr>
            <w:tcW w:w="1259" w:type="dxa"/>
            <w:vAlign w:val="center"/>
            <w:hideMark/>
          </w:tcPr>
          <w:p w14:paraId="7CB124AC"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42,051</w:t>
            </w:r>
          </w:p>
        </w:tc>
        <w:tc>
          <w:tcPr>
            <w:tcW w:w="1445" w:type="dxa"/>
            <w:vAlign w:val="center"/>
            <w:hideMark/>
          </w:tcPr>
          <w:p w14:paraId="32D8E0FB"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458</w:t>
            </w:r>
          </w:p>
        </w:tc>
        <w:tc>
          <w:tcPr>
            <w:tcW w:w="1344" w:type="dxa"/>
            <w:vAlign w:val="center"/>
          </w:tcPr>
          <w:p w14:paraId="453BD8D2"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1.1</w:t>
            </w:r>
          </w:p>
        </w:tc>
        <w:tc>
          <w:tcPr>
            <w:tcW w:w="1344" w:type="dxa"/>
            <w:vAlign w:val="center"/>
            <w:hideMark/>
          </w:tcPr>
          <w:p w14:paraId="23F9CFC0"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0.4</w:t>
            </w:r>
          </w:p>
        </w:tc>
      </w:tr>
      <w:tr w:rsidR="00092C83" w:rsidRPr="00B91038" w14:paraId="385F0E05" w14:textId="77777777" w:rsidTr="007725A9">
        <w:tc>
          <w:tcPr>
            <w:tcW w:w="3332" w:type="dxa"/>
            <w:hideMark/>
          </w:tcPr>
          <w:p w14:paraId="416EA395"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Tube Wells</w:t>
            </w:r>
          </w:p>
        </w:tc>
        <w:tc>
          <w:tcPr>
            <w:tcW w:w="1529" w:type="dxa"/>
            <w:vAlign w:val="center"/>
            <w:hideMark/>
          </w:tcPr>
          <w:p w14:paraId="4C867574"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7,457</w:t>
            </w:r>
          </w:p>
        </w:tc>
        <w:tc>
          <w:tcPr>
            <w:tcW w:w="1259" w:type="dxa"/>
            <w:vAlign w:val="center"/>
            <w:hideMark/>
          </w:tcPr>
          <w:p w14:paraId="5D54B350"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6,294</w:t>
            </w:r>
          </w:p>
        </w:tc>
        <w:tc>
          <w:tcPr>
            <w:tcW w:w="1445" w:type="dxa"/>
            <w:vAlign w:val="center"/>
            <w:hideMark/>
          </w:tcPr>
          <w:p w14:paraId="156FEB8B"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464</w:t>
            </w:r>
          </w:p>
        </w:tc>
        <w:tc>
          <w:tcPr>
            <w:tcW w:w="1344" w:type="dxa"/>
            <w:vAlign w:val="center"/>
          </w:tcPr>
          <w:p w14:paraId="01ABE10E"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7.4</w:t>
            </w:r>
          </w:p>
        </w:tc>
        <w:tc>
          <w:tcPr>
            <w:tcW w:w="1344" w:type="dxa"/>
            <w:vAlign w:val="center"/>
            <w:hideMark/>
          </w:tcPr>
          <w:p w14:paraId="39E59A59"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0.4</w:t>
            </w:r>
          </w:p>
        </w:tc>
      </w:tr>
      <w:tr w:rsidR="00092C83" w:rsidRPr="00B91038" w14:paraId="31B34A1F" w14:textId="77777777" w:rsidTr="007725A9">
        <w:tc>
          <w:tcPr>
            <w:tcW w:w="3332" w:type="dxa"/>
            <w:hideMark/>
          </w:tcPr>
          <w:p w14:paraId="31A99D73"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Blocked Drains</w:t>
            </w:r>
          </w:p>
        </w:tc>
        <w:tc>
          <w:tcPr>
            <w:tcW w:w="1529" w:type="dxa"/>
            <w:vAlign w:val="center"/>
            <w:hideMark/>
          </w:tcPr>
          <w:p w14:paraId="530A1121"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2,615</w:t>
            </w:r>
          </w:p>
        </w:tc>
        <w:tc>
          <w:tcPr>
            <w:tcW w:w="1259" w:type="dxa"/>
            <w:vAlign w:val="center"/>
            <w:hideMark/>
          </w:tcPr>
          <w:p w14:paraId="443FFC59"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2,066</w:t>
            </w:r>
          </w:p>
        </w:tc>
        <w:tc>
          <w:tcPr>
            <w:tcW w:w="1445" w:type="dxa"/>
            <w:vAlign w:val="center"/>
            <w:hideMark/>
          </w:tcPr>
          <w:p w14:paraId="65C0C89B"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164</w:t>
            </w:r>
          </w:p>
        </w:tc>
        <w:tc>
          <w:tcPr>
            <w:tcW w:w="1344" w:type="dxa"/>
            <w:vAlign w:val="center"/>
          </w:tcPr>
          <w:p w14:paraId="2FDCE030"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7.9</w:t>
            </w:r>
          </w:p>
        </w:tc>
        <w:tc>
          <w:tcPr>
            <w:tcW w:w="1344" w:type="dxa"/>
            <w:vAlign w:val="center"/>
            <w:hideMark/>
          </w:tcPr>
          <w:p w14:paraId="47917145"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0.1</w:t>
            </w:r>
          </w:p>
        </w:tc>
      </w:tr>
      <w:tr w:rsidR="00092C83" w:rsidRPr="00B91038" w14:paraId="24BCD3C7" w14:textId="77777777" w:rsidTr="007725A9">
        <w:tc>
          <w:tcPr>
            <w:tcW w:w="3332" w:type="dxa"/>
            <w:shd w:val="clear" w:color="auto" w:fill="E7E6E6" w:themeFill="background2"/>
            <w:hideMark/>
          </w:tcPr>
          <w:p w14:paraId="462F49DF" w14:textId="77777777" w:rsidR="00092C83" w:rsidRPr="00B91038" w:rsidRDefault="00092C83" w:rsidP="007725A9">
            <w:pPr>
              <w:spacing w:line="276" w:lineRule="auto"/>
              <w:rPr>
                <w:color w:val="1F1F1F"/>
                <w:sz w:val="18"/>
                <w:szCs w:val="18"/>
              </w:rPr>
            </w:pPr>
            <w:r w:rsidRPr="00B91038">
              <w:rPr>
                <w:b/>
                <w:bCs/>
                <w:color w:val="1F1F1F"/>
                <w:sz w:val="18"/>
                <w:szCs w:val="18"/>
                <w:bdr w:val="none" w:sz="0" w:space="0" w:color="auto" w:frame="1"/>
              </w:rPr>
              <w:t xml:space="preserve">Natural </w:t>
            </w:r>
          </w:p>
        </w:tc>
        <w:tc>
          <w:tcPr>
            <w:tcW w:w="1529" w:type="dxa"/>
            <w:shd w:val="clear" w:color="auto" w:fill="E7E6E6" w:themeFill="background2"/>
            <w:vAlign w:val="center"/>
            <w:hideMark/>
          </w:tcPr>
          <w:p w14:paraId="1F31DC36"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45,711</w:t>
            </w:r>
          </w:p>
        </w:tc>
        <w:tc>
          <w:tcPr>
            <w:tcW w:w="1259" w:type="dxa"/>
            <w:shd w:val="clear" w:color="auto" w:fill="E7E6E6" w:themeFill="background2"/>
            <w:vAlign w:val="center"/>
            <w:hideMark/>
          </w:tcPr>
          <w:p w14:paraId="56D9C22E"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24,439</w:t>
            </w:r>
          </w:p>
        </w:tc>
        <w:tc>
          <w:tcPr>
            <w:tcW w:w="1445" w:type="dxa"/>
            <w:shd w:val="clear" w:color="auto" w:fill="E7E6E6" w:themeFill="background2"/>
            <w:vAlign w:val="center"/>
            <w:hideMark/>
          </w:tcPr>
          <w:p w14:paraId="7AFB523F"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2,826</w:t>
            </w:r>
          </w:p>
        </w:tc>
        <w:tc>
          <w:tcPr>
            <w:tcW w:w="1344" w:type="dxa"/>
            <w:shd w:val="clear" w:color="auto" w:fill="E7E6E6" w:themeFill="background2"/>
            <w:vAlign w:val="center"/>
          </w:tcPr>
          <w:p w14:paraId="168F3E8A" w14:textId="77777777" w:rsidR="00092C83" w:rsidRPr="00B91038" w:rsidRDefault="00092C83" w:rsidP="007725A9">
            <w:pPr>
              <w:spacing w:line="276" w:lineRule="auto"/>
              <w:jc w:val="center"/>
              <w:rPr>
                <w:b/>
                <w:bCs/>
                <w:color w:val="1F1F1F"/>
                <w:sz w:val="18"/>
                <w:szCs w:val="18"/>
                <w:bdr w:val="none" w:sz="0" w:space="0" w:color="auto" w:frame="1"/>
              </w:rPr>
            </w:pPr>
            <w:r w:rsidRPr="00B91038">
              <w:rPr>
                <w:b/>
                <w:bCs/>
                <w:color w:val="1F1F1F"/>
                <w:sz w:val="18"/>
                <w:szCs w:val="18"/>
                <w:bdr w:val="none" w:sz="0" w:space="0" w:color="auto" w:frame="1"/>
              </w:rPr>
              <w:t>11.6</w:t>
            </w:r>
          </w:p>
        </w:tc>
        <w:tc>
          <w:tcPr>
            <w:tcW w:w="1344" w:type="dxa"/>
            <w:shd w:val="clear" w:color="auto" w:fill="E7E6E6" w:themeFill="background2"/>
            <w:vAlign w:val="center"/>
            <w:hideMark/>
          </w:tcPr>
          <w:p w14:paraId="105EED28"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2.5</w:t>
            </w:r>
          </w:p>
        </w:tc>
      </w:tr>
      <w:tr w:rsidR="00092C83" w:rsidRPr="00B91038" w14:paraId="32CF34AB" w14:textId="77777777" w:rsidTr="007725A9">
        <w:tc>
          <w:tcPr>
            <w:tcW w:w="3332" w:type="dxa"/>
            <w:hideMark/>
          </w:tcPr>
          <w:p w14:paraId="7B152E44"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Naturals</w:t>
            </w:r>
          </w:p>
        </w:tc>
        <w:tc>
          <w:tcPr>
            <w:tcW w:w="1529" w:type="dxa"/>
            <w:vAlign w:val="center"/>
            <w:hideMark/>
          </w:tcPr>
          <w:p w14:paraId="769CD0A6"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45,711</w:t>
            </w:r>
          </w:p>
        </w:tc>
        <w:tc>
          <w:tcPr>
            <w:tcW w:w="1259" w:type="dxa"/>
            <w:vAlign w:val="center"/>
            <w:hideMark/>
          </w:tcPr>
          <w:p w14:paraId="78FD6A5C"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24,439</w:t>
            </w:r>
          </w:p>
        </w:tc>
        <w:tc>
          <w:tcPr>
            <w:tcW w:w="1445" w:type="dxa"/>
            <w:vAlign w:val="center"/>
            <w:hideMark/>
          </w:tcPr>
          <w:p w14:paraId="2CE64794"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2,826</w:t>
            </w:r>
          </w:p>
        </w:tc>
        <w:tc>
          <w:tcPr>
            <w:tcW w:w="1344" w:type="dxa"/>
            <w:vAlign w:val="center"/>
          </w:tcPr>
          <w:p w14:paraId="1954D1DC"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11.6</w:t>
            </w:r>
          </w:p>
        </w:tc>
        <w:tc>
          <w:tcPr>
            <w:tcW w:w="1344" w:type="dxa"/>
            <w:vAlign w:val="center"/>
            <w:hideMark/>
          </w:tcPr>
          <w:p w14:paraId="66039746"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2.5</w:t>
            </w:r>
          </w:p>
        </w:tc>
      </w:tr>
      <w:tr w:rsidR="00092C83" w:rsidRPr="00B91038" w14:paraId="06E8359C" w14:textId="77777777" w:rsidTr="007725A9">
        <w:tc>
          <w:tcPr>
            <w:tcW w:w="3332" w:type="dxa"/>
            <w:shd w:val="clear" w:color="auto" w:fill="E7E6E6" w:themeFill="background2"/>
            <w:hideMark/>
          </w:tcPr>
          <w:p w14:paraId="52244E99" w14:textId="77777777" w:rsidR="00092C83" w:rsidRPr="00B91038" w:rsidRDefault="00092C83" w:rsidP="007725A9">
            <w:pPr>
              <w:spacing w:line="276" w:lineRule="auto"/>
              <w:rPr>
                <w:color w:val="1F1F1F"/>
                <w:sz w:val="18"/>
                <w:szCs w:val="18"/>
              </w:rPr>
            </w:pPr>
            <w:r w:rsidRPr="00B91038">
              <w:rPr>
                <w:b/>
                <w:bCs/>
                <w:color w:val="1F1F1F"/>
                <w:sz w:val="18"/>
                <w:szCs w:val="18"/>
                <w:bdr w:val="none" w:sz="0" w:space="0" w:color="auto" w:frame="1"/>
              </w:rPr>
              <w:t xml:space="preserve">Other </w:t>
            </w:r>
          </w:p>
        </w:tc>
        <w:tc>
          <w:tcPr>
            <w:tcW w:w="1529" w:type="dxa"/>
            <w:shd w:val="clear" w:color="auto" w:fill="E7E6E6" w:themeFill="background2"/>
            <w:vAlign w:val="center"/>
            <w:hideMark/>
          </w:tcPr>
          <w:p w14:paraId="55E8328D"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57,380</w:t>
            </w:r>
          </w:p>
        </w:tc>
        <w:tc>
          <w:tcPr>
            <w:tcW w:w="1259" w:type="dxa"/>
            <w:shd w:val="clear" w:color="auto" w:fill="E7E6E6" w:themeFill="background2"/>
            <w:vAlign w:val="center"/>
            <w:hideMark/>
          </w:tcPr>
          <w:p w14:paraId="47E82570"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31,707</w:t>
            </w:r>
          </w:p>
        </w:tc>
        <w:tc>
          <w:tcPr>
            <w:tcW w:w="1445" w:type="dxa"/>
            <w:shd w:val="clear" w:color="auto" w:fill="E7E6E6" w:themeFill="background2"/>
            <w:vAlign w:val="center"/>
            <w:hideMark/>
          </w:tcPr>
          <w:p w14:paraId="2FF107D7"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5,216</w:t>
            </w:r>
          </w:p>
        </w:tc>
        <w:tc>
          <w:tcPr>
            <w:tcW w:w="1344" w:type="dxa"/>
            <w:shd w:val="clear" w:color="auto" w:fill="E7E6E6" w:themeFill="background2"/>
            <w:vAlign w:val="center"/>
          </w:tcPr>
          <w:p w14:paraId="4CC687E4" w14:textId="77777777" w:rsidR="00092C83" w:rsidRPr="00B91038" w:rsidRDefault="00092C83" w:rsidP="007725A9">
            <w:pPr>
              <w:spacing w:line="276" w:lineRule="auto"/>
              <w:jc w:val="center"/>
              <w:rPr>
                <w:b/>
                <w:bCs/>
                <w:color w:val="1F1F1F"/>
                <w:sz w:val="18"/>
                <w:szCs w:val="18"/>
                <w:bdr w:val="none" w:sz="0" w:space="0" w:color="auto" w:frame="1"/>
              </w:rPr>
            </w:pPr>
            <w:r w:rsidRPr="00B91038">
              <w:rPr>
                <w:b/>
                <w:bCs/>
                <w:color w:val="1F1F1F"/>
                <w:sz w:val="18"/>
                <w:szCs w:val="18"/>
                <w:bdr w:val="none" w:sz="0" w:space="0" w:color="auto" w:frame="1"/>
              </w:rPr>
              <w:t>16.5</w:t>
            </w:r>
          </w:p>
        </w:tc>
        <w:tc>
          <w:tcPr>
            <w:tcW w:w="1344" w:type="dxa"/>
            <w:shd w:val="clear" w:color="auto" w:fill="E7E6E6" w:themeFill="background2"/>
            <w:vAlign w:val="center"/>
            <w:hideMark/>
          </w:tcPr>
          <w:p w14:paraId="775805EC"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4.5</w:t>
            </w:r>
          </w:p>
        </w:tc>
      </w:tr>
      <w:tr w:rsidR="00092C83" w:rsidRPr="00B91038" w14:paraId="11EB3541" w14:textId="77777777" w:rsidTr="007725A9">
        <w:tc>
          <w:tcPr>
            <w:tcW w:w="3332" w:type="dxa"/>
            <w:hideMark/>
          </w:tcPr>
          <w:p w14:paraId="155D535A" w14:textId="77777777" w:rsidR="00092C83" w:rsidRPr="00B91038" w:rsidRDefault="00092C83" w:rsidP="007725A9">
            <w:pPr>
              <w:spacing w:line="276" w:lineRule="auto"/>
              <w:rPr>
                <w:color w:val="1F1F1F"/>
                <w:sz w:val="18"/>
                <w:szCs w:val="18"/>
              </w:rPr>
            </w:pPr>
            <w:r w:rsidRPr="00B91038">
              <w:rPr>
                <w:color w:val="1F1F1F"/>
                <w:sz w:val="18"/>
                <w:szCs w:val="18"/>
                <w:bdr w:val="none" w:sz="0" w:space="0" w:color="auto" w:frame="1"/>
              </w:rPr>
              <w:t>   Other Miscellaneous</w:t>
            </w:r>
          </w:p>
        </w:tc>
        <w:tc>
          <w:tcPr>
            <w:tcW w:w="1529" w:type="dxa"/>
            <w:vAlign w:val="center"/>
            <w:hideMark/>
          </w:tcPr>
          <w:p w14:paraId="38536795"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57,380</w:t>
            </w:r>
          </w:p>
        </w:tc>
        <w:tc>
          <w:tcPr>
            <w:tcW w:w="1259" w:type="dxa"/>
            <w:vAlign w:val="center"/>
            <w:hideMark/>
          </w:tcPr>
          <w:p w14:paraId="72B98855"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31,707</w:t>
            </w:r>
          </w:p>
        </w:tc>
        <w:tc>
          <w:tcPr>
            <w:tcW w:w="1445" w:type="dxa"/>
            <w:vAlign w:val="center"/>
            <w:hideMark/>
          </w:tcPr>
          <w:p w14:paraId="52B0107A"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5,216</w:t>
            </w:r>
          </w:p>
        </w:tc>
        <w:tc>
          <w:tcPr>
            <w:tcW w:w="1344" w:type="dxa"/>
            <w:vAlign w:val="center"/>
          </w:tcPr>
          <w:p w14:paraId="4774EBDD" w14:textId="77777777" w:rsidR="00092C83" w:rsidRPr="00B91038" w:rsidRDefault="00092C83" w:rsidP="007725A9">
            <w:pPr>
              <w:spacing w:line="276" w:lineRule="auto"/>
              <w:jc w:val="center"/>
              <w:rPr>
                <w:color w:val="1F1F1F"/>
                <w:sz w:val="18"/>
                <w:szCs w:val="18"/>
                <w:bdr w:val="none" w:sz="0" w:space="0" w:color="auto" w:frame="1"/>
              </w:rPr>
            </w:pPr>
            <w:r w:rsidRPr="00B91038">
              <w:rPr>
                <w:color w:val="1F1F1F"/>
                <w:sz w:val="18"/>
                <w:szCs w:val="18"/>
                <w:bdr w:val="none" w:sz="0" w:space="0" w:color="auto" w:frame="1"/>
              </w:rPr>
              <w:t>16.5</w:t>
            </w:r>
          </w:p>
        </w:tc>
        <w:tc>
          <w:tcPr>
            <w:tcW w:w="1344" w:type="dxa"/>
            <w:vAlign w:val="center"/>
            <w:hideMark/>
          </w:tcPr>
          <w:p w14:paraId="6B896B6D" w14:textId="77777777" w:rsidR="00092C83" w:rsidRPr="00B91038" w:rsidRDefault="00092C83" w:rsidP="007725A9">
            <w:pPr>
              <w:spacing w:line="276" w:lineRule="auto"/>
              <w:jc w:val="center"/>
              <w:rPr>
                <w:color w:val="1F1F1F"/>
                <w:sz w:val="18"/>
                <w:szCs w:val="18"/>
              </w:rPr>
            </w:pPr>
            <w:r w:rsidRPr="00B91038">
              <w:rPr>
                <w:color w:val="1F1F1F"/>
                <w:sz w:val="18"/>
                <w:szCs w:val="18"/>
                <w:bdr w:val="none" w:sz="0" w:space="0" w:color="auto" w:frame="1"/>
              </w:rPr>
              <w:t>4.5</w:t>
            </w:r>
          </w:p>
        </w:tc>
      </w:tr>
      <w:tr w:rsidR="00092C83" w:rsidRPr="00B91038" w14:paraId="607992EA" w14:textId="77777777" w:rsidTr="007725A9">
        <w:tc>
          <w:tcPr>
            <w:tcW w:w="3332" w:type="dxa"/>
            <w:hideMark/>
          </w:tcPr>
          <w:p w14:paraId="0766AD72" w14:textId="77777777" w:rsidR="00092C83" w:rsidRPr="00B91038" w:rsidRDefault="00092C83" w:rsidP="007725A9">
            <w:pPr>
              <w:spacing w:line="276" w:lineRule="auto"/>
              <w:rPr>
                <w:color w:val="1F1F1F"/>
                <w:sz w:val="18"/>
                <w:szCs w:val="18"/>
              </w:rPr>
            </w:pPr>
            <w:r w:rsidRPr="00B91038">
              <w:rPr>
                <w:b/>
                <w:bCs/>
                <w:color w:val="1F1F1F"/>
                <w:sz w:val="18"/>
                <w:szCs w:val="18"/>
                <w:bdr w:val="none" w:sz="0" w:space="0" w:color="auto" w:frame="1"/>
              </w:rPr>
              <w:t>Cumulative Total</w:t>
            </w:r>
          </w:p>
        </w:tc>
        <w:tc>
          <w:tcPr>
            <w:tcW w:w="1529" w:type="dxa"/>
            <w:vAlign w:val="center"/>
            <w:hideMark/>
          </w:tcPr>
          <w:p w14:paraId="0918B60D"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2,036,022</w:t>
            </w:r>
          </w:p>
        </w:tc>
        <w:tc>
          <w:tcPr>
            <w:tcW w:w="1259" w:type="dxa"/>
            <w:vAlign w:val="center"/>
            <w:hideMark/>
          </w:tcPr>
          <w:p w14:paraId="140CB6B7"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972,826</w:t>
            </w:r>
          </w:p>
        </w:tc>
        <w:tc>
          <w:tcPr>
            <w:tcW w:w="1445" w:type="dxa"/>
            <w:vAlign w:val="center"/>
            <w:hideMark/>
          </w:tcPr>
          <w:p w14:paraId="46CA417A"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114,848</w:t>
            </w:r>
          </w:p>
        </w:tc>
        <w:tc>
          <w:tcPr>
            <w:tcW w:w="1344" w:type="dxa"/>
            <w:vAlign w:val="center"/>
          </w:tcPr>
          <w:p w14:paraId="583ECB99" w14:textId="77777777" w:rsidR="00092C83" w:rsidRPr="00B91038" w:rsidRDefault="00092C83" w:rsidP="007725A9">
            <w:pPr>
              <w:spacing w:line="276" w:lineRule="auto"/>
              <w:jc w:val="center"/>
              <w:rPr>
                <w:b/>
                <w:bCs/>
                <w:color w:val="1F1F1F"/>
                <w:sz w:val="18"/>
                <w:szCs w:val="18"/>
                <w:bdr w:val="none" w:sz="0" w:space="0" w:color="auto" w:frame="1"/>
              </w:rPr>
            </w:pPr>
            <w:r w:rsidRPr="00B91038">
              <w:rPr>
                <w:b/>
                <w:bCs/>
                <w:color w:val="1F1F1F"/>
                <w:sz w:val="18"/>
                <w:szCs w:val="18"/>
                <w:bdr w:val="none" w:sz="0" w:space="0" w:color="auto" w:frame="1"/>
              </w:rPr>
              <w:t>11.8</w:t>
            </w:r>
          </w:p>
        </w:tc>
        <w:tc>
          <w:tcPr>
            <w:tcW w:w="1344" w:type="dxa"/>
            <w:vAlign w:val="center"/>
            <w:hideMark/>
          </w:tcPr>
          <w:p w14:paraId="7C158418" w14:textId="77777777" w:rsidR="00092C83" w:rsidRPr="00B91038" w:rsidRDefault="00092C83" w:rsidP="007725A9">
            <w:pPr>
              <w:spacing w:line="276" w:lineRule="auto"/>
              <w:jc w:val="center"/>
              <w:rPr>
                <w:color w:val="1F1F1F"/>
                <w:sz w:val="18"/>
                <w:szCs w:val="18"/>
              </w:rPr>
            </w:pPr>
            <w:r w:rsidRPr="00B91038">
              <w:rPr>
                <w:b/>
                <w:bCs/>
                <w:color w:val="1F1F1F"/>
                <w:sz w:val="18"/>
                <w:szCs w:val="18"/>
                <w:bdr w:val="none" w:sz="0" w:space="0" w:color="auto" w:frame="1"/>
              </w:rPr>
              <w:t>100.0</w:t>
            </w:r>
          </w:p>
        </w:tc>
      </w:tr>
    </w:tbl>
    <w:p w14:paraId="744D3A6A" w14:textId="77777777" w:rsidR="00092C83" w:rsidRDefault="00092C83"/>
    <w:p w14:paraId="731A27D8" w14:textId="6FCBDE2A" w:rsidR="00685570" w:rsidRDefault="00685570" w:rsidP="00405555"/>
    <w:p w14:paraId="3E4E864C" w14:textId="70D7D42D" w:rsidR="006932D3" w:rsidRDefault="007D65EB" w:rsidP="00D20064">
      <w:pPr>
        <w:jc w:val="center"/>
        <w:rPr>
          <w:lang w:val="en-GB"/>
        </w:rPr>
      </w:pPr>
      <w:r w:rsidRPr="007D65EB">
        <w:rPr>
          <w:noProof/>
          <w:lang w:val="en-GB"/>
        </w:rPr>
        <w:drawing>
          <wp:inline distT="0" distB="0" distL="0" distR="0" wp14:anchorId="22F3ACAC" wp14:editId="7099389F">
            <wp:extent cx="5277080" cy="4487773"/>
            <wp:effectExtent l="0" t="0" r="0" b="0"/>
            <wp:docPr id="177359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59119" name=""/>
                    <pic:cNvPicPr/>
                  </pic:nvPicPr>
                  <pic:blipFill>
                    <a:blip r:embed="rId8"/>
                    <a:stretch>
                      <a:fillRect/>
                    </a:stretch>
                  </pic:blipFill>
                  <pic:spPr>
                    <a:xfrm>
                      <a:off x="0" y="0"/>
                      <a:ext cx="5289927" cy="4498699"/>
                    </a:xfrm>
                    <a:prstGeom prst="rect">
                      <a:avLst/>
                    </a:prstGeom>
                  </pic:spPr>
                </pic:pic>
              </a:graphicData>
            </a:graphic>
          </wp:inline>
        </w:drawing>
      </w:r>
    </w:p>
    <w:p w14:paraId="6A9AEBEE" w14:textId="65B1FAAB" w:rsidR="006932D3" w:rsidRDefault="006932D3" w:rsidP="006932D3">
      <w:pPr>
        <w:jc w:val="both"/>
        <w:rPr>
          <w:lang w:val="en-GB"/>
        </w:rPr>
      </w:pPr>
      <w:bookmarkStart w:id="2" w:name="_Toc235161882"/>
      <w:r w:rsidRPr="00924238">
        <w:rPr>
          <w:rStyle w:val="Heading3Char"/>
          <w:b/>
          <w:bCs/>
          <w:color w:val="auto"/>
          <w:sz w:val="24"/>
          <w:szCs w:val="24"/>
          <w:lang w:val="en-GB"/>
        </w:rPr>
        <w:t xml:space="preserve">Supplementary Fig 1: Spatial heterogeneity and ecological transition of </w:t>
      </w:r>
      <w:r w:rsidRPr="006C18D0">
        <w:rPr>
          <w:rStyle w:val="Heading3Char"/>
          <w:b/>
          <w:bCs/>
          <w:i/>
          <w:iCs/>
          <w:color w:val="auto"/>
          <w:sz w:val="24"/>
          <w:szCs w:val="24"/>
          <w:lang w:val="en-GB"/>
        </w:rPr>
        <w:t>Aedes</w:t>
      </w:r>
      <w:r w:rsidRPr="00924238">
        <w:rPr>
          <w:rStyle w:val="Heading3Char"/>
          <w:b/>
          <w:bCs/>
          <w:color w:val="auto"/>
          <w:sz w:val="24"/>
          <w:szCs w:val="24"/>
          <w:lang w:val="en-GB"/>
        </w:rPr>
        <w:t xml:space="preserve"> larval habitat</w:t>
      </w:r>
      <w:r w:rsidR="007D65EB" w:rsidRPr="00924238">
        <w:rPr>
          <w:rStyle w:val="Heading3Char"/>
          <w:b/>
          <w:bCs/>
          <w:color w:val="auto"/>
          <w:sz w:val="24"/>
          <w:szCs w:val="24"/>
          <w:lang w:val="en-GB"/>
        </w:rPr>
        <w:t xml:space="preserve"> categories</w:t>
      </w:r>
      <w:r w:rsidRPr="00924238">
        <w:rPr>
          <w:rStyle w:val="Heading3Char"/>
          <w:b/>
          <w:bCs/>
          <w:color w:val="auto"/>
          <w:sz w:val="24"/>
          <w:szCs w:val="24"/>
          <w:lang w:val="en-GB"/>
        </w:rPr>
        <w:t xml:space="preserve"> along an urbanization gradient.</w:t>
      </w:r>
      <w:bookmarkEnd w:id="2"/>
      <w:r w:rsidRPr="00924238">
        <w:rPr>
          <w:lang w:val="en-GB"/>
        </w:rPr>
        <w:t xml:space="preserve"> </w:t>
      </w:r>
      <w:r w:rsidR="00E26728" w:rsidRPr="00E26728">
        <w:rPr>
          <w:lang w:val="en-GB"/>
        </w:rPr>
        <w:t>Relative contribution (%) of five distinct larval habitat categories</w:t>
      </w:r>
      <w:r w:rsidR="00E26728">
        <w:rPr>
          <w:lang w:val="en-GB"/>
        </w:rPr>
        <w:t>–</w:t>
      </w:r>
      <w:r w:rsidR="00E26728" w:rsidRPr="00E26728">
        <w:rPr>
          <w:lang w:val="en-GB"/>
        </w:rPr>
        <w:t>discarded non-biodegradable waste, ornamental and domestic containers, water-storage containers, infrastructure and drainage systems, and natural habitats</w:t>
      </w:r>
      <w:r w:rsidR="00E26728">
        <w:rPr>
          <w:lang w:val="en-GB"/>
        </w:rPr>
        <w:t>–</w:t>
      </w:r>
      <w:r w:rsidR="00E26728" w:rsidRPr="00E26728">
        <w:t xml:space="preserve"> </w:t>
      </w:r>
      <w:r w:rsidR="00E26728" w:rsidRPr="00E26728">
        <w:rPr>
          <w:lang w:val="en-GB"/>
        </w:rPr>
        <w:t xml:space="preserve">across an urbanisation gradient comprising rural regions (baseline), peri-urban (transition), and urban areas (Western Province; high control). Diamond markers represent district-level means for each habitat category, with overlaid trendlines illustrating overall patterns across the gradient. Circular markers show individual district-level contributions within each landscape class. Marker size is proportional to the total number of </w:t>
      </w:r>
      <w:r w:rsidR="00E26728" w:rsidRPr="006C18D0">
        <w:rPr>
          <w:i/>
          <w:iCs/>
          <w:lang w:val="en-GB"/>
        </w:rPr>
        <w:t>Aedes</w:t>
      </w:r>
      <w:r w:rsidR="00E26728" w:rsidRPr="00E26728">
        <w:rPr>
          <w:lang w:val="en-GB"/>
        </w:rPr>
        <w:t>-positive containers recorded per district, reflecting relative surveillance intensity and vector burden. Data are derived from the national entomological surveillance system and comply with standardised field inspection protocols.</w:t>
      </w:r>
    </w:p>
    <w:p w14:paraId="436BC70C" w14:textId="77777777" w:rsidR="006932D3" w:rsidRDefault="006932D3" w:rsidP="006932D3">
      <w:pPr>
        <w:jc w:val="both"/>
        <w:rPr>
          <w:lang w:val="en-GB"/>
        </w:rPr>
      </w:pPr>
    </w:p>
    <w:p w14:paraId="409253EC" w14:textId="48AA67F0" w:rsidR="002D04A2" w:rsidRDefault="002D04A2" w:rsidP="00F13F85">
      <w:pPr>
        <w:jc w:val="both"/>
        <w:rPr>
          <w:lang w:val="en-GB"/>
        </w:rPr>
      </w:pPr>
      <w:r w:rsidRPr="003A3CC2">
        <w:rPr>
          <w:noProof/>
          <w:lang w:val="en-GB"/>
        </w:rPr>
        <w:lastRenderedPageBreak/>
        <w:drawing>
          <wp:inline distT="0" distB="0" distL="0" distR="0" wp14:anchorId="4C624EE8" wp14:editId="727A099F">
            <wp:extent cx="5906125" cy="4725670"/>
            <wp:effectExtent l="0" t="0" r="0" b="0"/>
            <wp:docPr id="2059387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57698" name=""/>
                    <pic:cNvPicPr/>
                  </pic:nvPicPr>
                  <pic:blipFill rotWithShape="1">
                    <a:blip r:embed="rId9"/>
                    <a:srcRect l="630" r="1"/>
                    <a:stretch>
                      <a:fillRect/>
                    </a:stretch>
                  </pic:blipFill>
                  <pic:spPr bwMode="auto">
                    <a:xfrm>
                      <a:off x="0" y="0"/>
                      <a:ext cx="5906125" cy="4725670"/>
                    </a:xfrm>
                    <a:prstGeom prst="rect">
                      <a:avLst/>
                    </a:prstGeom>
                    <a:ln>
                      <a:noFill/>
                    </a:ln>
                    <a:extLst>
                      <a:ext uri="{53640926-AAD7-44D8-BBD7-CCE9431645EC}">
                        <a14:shadowObscured xmlns:a14="http://schemas.microsoft.com/office/drawing/2010/main"/>
                      </a:ext>
                    </a:extLst>
                  </pic:spPr>
                </pic:pic>
              </a:graphicData>
            </a:graphic>
          </wp:inline>
        </w:drawing>
      </w:r>
    </w:p>
    <w:p w14:paraId="66F269E4" w14:textId="08EA4F70" w:rsidR="002D04A2" w:rsidRDefault="002D04A2" w:rsidP="002D04A2">
      <w:pPr>
        <w:jc w:val="both"/>
        <w:rPr>
          <w:lang w:val="en-GB"/>
        </w:rPr>
      </w:pPr>
      <w:bookmarkStart w:id="3" w:name="_Toc235161883"/>
      <w:r w:rsidRPr="00924238">
        <w:rPr>
          <w:rStyle w:val="Heading3Char"/>
          <w:b/>
          <w:bCs/>
          <w:color w:val="auto"/>
          <w:sz w:val="24"/>
          <w:szCs w:val="24"/>
          <w:lang w:val="en-GB"/>
        </w:rPr>
        <w:t xml:space="preserve">Supplementary Fig </w:t>
      </w:r>
      <w:r w:rsidR="00D20064" w:rsidRPr="00924238">
        <w:rPr>
          <w:rStyle w:val="Heading3Char"/>
          <w:b/>
          <w:bCs/>
          <w:color w:val="auto"/>
          <w:sz w:val="24"/>
          <w:szCs w:val="24"/>
          <w:lang w:val="en-GB"/>
        </w:rPr>
        <w:t>2</w:t>
      </w:r>
      <w:r w:rsidRPr="00924238">
        <w:rPr>
          <w:rStyle w:val="Heading3Char"/>
          <w:b/>
          <w:bCs/>
          <w:color w:val="auto"/>
          <w:sz w:val="24"/>
          <w:szCs w:val="24"/>
          <w:lang w:val="en-GB"/>
        </w:rPr>
        <w:t>. Seasonal variation in Container Index</w:t>
      </w:r>
      <w:bookmarkEnd w:id="3"/>
      <w:r w:rsidRPr="00364637">
        <w:rPr>
          <w:b/>
          <w:bCs/>
          <w:lang w:val="en-GB"/>
        </w:rPr>
        <w:t>.</w:t>
      </w:r>
      <w:r>
        <w:rPr>
          <w:lang w:val="en-GB"/>
        </w:rPr>
        <w:t xml:space="preserve"> </w:t>
      </w:r>
      <w:r w:rsidRPr="00685570">
        <w:rPr>
          <w:lang w:val="en-GB"/>
        </w:rPr>
        <w:t xml:space="preserve">Monthly mean material specific </w:t>
      </w:r>
      <w:r>
        <w:rPr>
          <w:lang w:val="en-GB"/>
        </w:rPr>
        <w:t>C</w:t>
      </w:r>
      <w:r w:rsidRPr="00685570">
        <w:rPr>
          <w:lang w:val="en-GB"/>
        </w:rPr>
        <w:t xml:space="preserve">ontainer </w:t>
      </w:r>
      <w:r>
        <w:rPr>
          <w:lang w:val="en-GB"/>
        </w:rPr>
        <w:t>Index</w:t>
      </w:r>
      <w:r w:rsidRPr="00685570">
        <w:rPr>
          <w:lang w:val="en-GB"/>
        </w:rPr>
        <w:t xml:space="preserve"> </w:t>
      </w:r>
      <w:r>
        <w:rPr>
          <w:lang w:val="en-GB"/>
        </w:rPr>
        <w:t>(CI)</w:t>
      </w:r>
      <w:r w:rsidRPr="00685570">
        <w:rPr>
          <w:lang w:val="en-GB"/>
        </w:rPr>
        <w:t xml:space="preserve"> by </w:t>
      </w:r>
      <w:r>
        <w:rPr>
          <w:lang w:val="en-GB"/>
        </w:rPr>
        <w:t>habitat categories</w:t>
      </w:r>
      <w:r w:rsidRPr="00685570">
        <w:rPr>
          <w:lang w:val="en-GB"/>
        </w:rPr>
        <w:t xml:space="preserve">, averaged across districts </w:t>
      </w:r>
      <w:r>
        <w:rPr>
          <w:lang w:val="en-GB"/>
        </w:rPr>
        <w:t>from January 2024 to December 2025</w:t>
      </w:r>
      <w:r w:rsidRPr="00685570">
        <w:rPr>
          <w:lang w:val="en-GB"/>
        </w:rPr>
        <w:t xml:space="preserve">. </w:t>
      </w:r>
      <w:r w:rsidRPr="00720F3D">
        <w:rPr>
          <w:lang w:val="en-GB"/>
        </w:rPr>
        <w:t>Discarded non-biodegradable waste</w:t>
      </w:r>
      <w:r w:rsidRPr="00685570">
        <w:rPr>
          <w:lang w:val="en-GB"/>
        </w:rPr>
        <w:t xml:space="preserve"> shows consistently higher </w:t>
      </w:r>
      <w:r>
        <w:rPr>
          <w:lang w:val="en-GB"/>
        </w:rPr>
        <w:t>average CI</w:t>
      </w:r>
      <w:r w:rsidRPr="00685570">
        <w:rPr>
          <w:lang w:val="en-GB"/>
        </w:rPr>
        <w:t xml:space="preserve"> throughout the year, with a marked increase during the late-year monsoon period. Other categories display lower and more stable patterns, indicating a comparatively smaller contribution to seasonal variation in Aedes breeding.</w:t>
      </w:r>
    </w:p>
    <w:p w14:paraId="7CD532A8" w14:textId="77777777" w:rsidR="002D04A2" w:rsidRPr="00685570" w:rsidRDefault="002D04A2" w:rsidP="002D04A2">
      <w:pPr>
        <w:rPr>
          <w:lang w:val="en-GB"/>
        </w:rPr>
      </w:pPr>
    </w:p>
    <w:p w14:paraId="30036290" w14:textId="77777777" w:rsidR="00364637" w:rsidRDefault="00364637" w:rsidP="00F13F85">
      <w:pPr>
        <w:jc w:val="both"/>
        <w:rPr>
          <w:lang w:val="en-GB"/>
        </w:rPr>
      </w:pPr>
    </w:p>
    <w:p w14:paraId="3767C677" w14:textId="4820A712" w:rsidR="00364637" w:rsidRPr="00C922B3" w:rsidRDefault="00197F70" w:rsidP="00364637">
      <w:pPr>
        <w:jc w:val="center"/>
        <w:rPr>
          <w:lang w:val="en-GB"/>
        </w:rPr>
      </w:pPr>
      <w:r w:rsidRPr="00197F70">
        <w:rPr>
          <w:noProof/>
          <w:lang w:val="en-GB"/>
        </w:rPr>
        <w:lastRenderedPageBreak/>
        <w:drawing>
          <wp:inline distT="0" distB="0" distL="0" distR="0" wp14:anchorId="27B63EF3" wp14:editId="46FEDB5B">
            <wp:extent cx="5943600" cy="3575685"/>
            <wp:effectExtent l="0" t="0" r="0" b="5715"/>
            <wp:docPr id="1424391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91701" name=""/>
                    <pic:cNvPicPr/>
                  </pic:nvPicPr>
                  <pic:blipFill>
                    <a:blip r:embed="rId10"/>
                    <a:stretch>
                      <a:fillRect/>
                    </a:stretch>
                  </pic:blipFill>
                  <pic:spPr>
                    <a:xfrm>
                      <a:off x="0" y="0"/>
                      <a:ext cx="5943600" cy="3575685"/>
                    </a:xfrm>
                    <a:prstGeom prst="rect">
                      <a:avLst/>
                    </a:prstGeom>
                  </pic:spPr>
                </pic:pic>
              </a:graphicData>
            </a:graphic>
          </wp:inline>
        </w:drawing>
      </w:r>
    </w:p>
    <w:p w14:paraId="23358EFC" w14:textId="76B279AB" w:rsidR="00364637" w:rsidRDefault="00364637" w:rsidP="00364637">
      <w:pPr>
        <w:jc w:val="both"/>
        <w:rPr>
          <w:lang w:val="en-GB"/>
        </w:rPr>
      </w:pPr>
      <w:bookmarkStart w:id="4" w:name="_Toc235161884"/>
      <w:r w:rsidRPr="00924238">
        <w:rPr>
          <w:rStyle w:val="Heading3Char"/>
          <w:b/>
          <w:bCs/>
          <w:color w:val="auto"/>
          <w:sz w:val="24"/>
          <w:szCs w:val="24"/>
          <w:lang w:val="en-GB"/>
        </w:rPr>
        <w:t xml:space="preserve">Supplementary Fig </w:t>
      </w:r>
      <w:r w:rsidR="000A3E39" w:rsidRPr="00924238">
        <w:rPr>
          <w:rStyle w:val="Heading3Char"/>
          <w:b/>
          <w:bCs/>
          <w:color w:val="auto"/>
          <w:sz w:val="24"/>
          <w:szCs w:val="24"/>
          <w:lang w:val="en-GB"/>
        </w:rPr>
        <w:t>3</w:t>
      </w:r>
      <w:r w:rsidRPr="00924238">
        <w:rPr>
          <w:rStyle w:val="Heading3Char"/>
          <w:b/>
          <w:bCs/>
          <w:color w:val="auto"/>
          <w:sz w:val="24"/>
          <w:szCs w:val="24"/>
          <w:lang w:val="en-GB"/>
        </w:rPr>
        <w:t xml:space="preserve">. Temporal </w:t>
      </w:r>
      <w:r w:rsidR="003518F8">
        <w:rPr>
          <w:rStyle w:val="Heading3Char"/>
          <w:b/>
          <w:bCs/>
          <w:color w:val="auto"/>
          <w:sz w:val="24"/>
          <w:szCs w:val="24"/>
          <w:lang w:val="en-GB"/>
        </w:rPr>
        <w:t>distribution</w:t>
      </w:r>
      <w:r w:rsidRPr="00924238">
        <w:rPr>
          <w:rStyle w:val="Heading3Char"/>
          <w:b/>
          <w:bCs/>
          <w:color w:val="auto"/>
          <w:sz w:val="24"/>
          <w:szCs w:val="24"/>
          <w:lang w:val="en-GB"/>
        </w:rPr>
        <w:t xml:space="preserve"> in non-</w:t>
      </w:r>
      <w:r w:rsidR="00197F70" w:rsidRPr="00924238">
        <w:rPr>
          <w:rStyle w:val="Heading3Char"/>
          <w:b/>
          <w:bCs/>
          <w:color w:val="auto"/>
          <w:sz w:val="24"/>
          <w:szCs w:val="24"/>
          <w:lang w:val="en-GB"/>
        </w:rPr>
        <w:t>bio</w:t>
      </w:r>
      <w:r w:rsidRPr="00924238">
        <w:rPr>
          <w:rStyle w:val="Heading3Char"/>
          <w:b/>
          <w:bCs/>
          <w:color w:val="auto"/>
          <w:sz w:val="24"/>
          <w:szCs w:val="24"/>
          <w:lang w:val="en-GB"/>
        </w:rPr>
        <w:t xml:space="preserve">degradable waste load </w:t>
      </w:r>
      <w:r w:rsidR="003518F8">
        <w:rPr>
          <w:rStyle w:val="Heading3Char"/>
          <w:b/>
          <w:bCs/>
          <w:color w:val="auto"/>
          <w:sz w:val="24"/>
          <w:szCs w:val="24"/>
          <w:lang w:val="en-GB"/>
        </w:rPr>
        <w:t>in relation to the festival seasons</w:t>
      </w:r>
      <w:r w:rsidRPr="00924238">
        <w:rPr>
          <w:rStyle w:val="Heading3Char"/>
          <w:b/>
          <w:bCs/>
          <w:color w:val="auto"/>
          <w:sz w:val="24"/>
          <w:szCs w:val="24"/>
          <w:lang w:val="en-GB"/>
        </w:rPr>
        <w:t>.</w:t>
      </w:r>
      <w:bookmarkEnd w:id="4"/>
      <w:r w:rsidRPr="00924238">
        <w:rPr>
          <w:lang w:val="en-GB"/>
        </w:rPr>
        <w:t xml:space="preserve"> </w:t>
      </w:r>
      <w:r w:rsidRPr="00C922B3">
        <w:rPr>
          <w:lang w:val="en-GB"/>
        </w:rPr>
        <w:t>Monthly normalized non-</w:t>
      </w:r>
      <w:r w:rsidR="00197F70">
        <w:rPr>
          <w:lang w:val="en-GB"/>
        </w:rPr>
        <w:t>bio</w:t>
      </w:r>
      <w:r w:rsidRPr="00C922B3">
        <w:rPr>
          <w:lang w:val="en-GB"/>
        </w:rPr>
        <w:t xml:space="preserve">degradable waste load (%), representing the proportion of discarded waste containers relative to total inspected sites. Dotted vertical lines denote peak holiday and festive periods (mid-April and late-December), while shaded regions indicate subsequent windows of waste accumulation. The red trend line and shaded ribbon represent the national mean and 95% confidence interval. </w:t>
      </w:r>
    </w:p>
    <w:p w14:paraId="592D6D15" w14:textId="77777777" w:rsidR="00415852" w:rsidRDefault="00415852" w:rsidP="00364637">
      <w:pPr>
        <w:jc w:val="both"/>
        <w:rPr>
          <w:lang w:val="en-GB"/>
        </w:rPr>
      </w:pPr>
    </w:p>
    <w:p w14:paraId="5BB27A36" w14:textId="77777777" w:rsidR="00685570" w:rsidRPr="00685570" w:rsidRDefault="00685570" w:rsidP="00685570">
      <w:pPr>
        <w:rPr>
          <w:lang w:val="en-GB"/>
        </w:rPr>
      </w:pPr>
    </w:p>
    <w:p w14:paraId="369B3C46" w14:textId="157E4DD4" w:rsidR="002D04A2" w:rsidRDefault="004C1222" w:rsidP="00061F50">
      <w:pPr>
        <w:spacing w:line="276" w:lineRule="auto"/>
        <w:jc w:val="both"/>
        <w:rPr>
          <w:lang w:val="en-GB"/>
        </w:rPr>
      </w:pPr>
      <w:r w:rsidRPr="004C1222">
        <w:rPr>
          <w:lang w:val="en-GB"/>
        </w:rPr>
        <w:t>Our analysis reveals a distinct climate-waste interaction where consumer-driven waste surges are seasonally activated by monsoonal rainfall to amplify vector breeding. Immediately following festive peaks in mid-April and late-December, the normalized environmental load of discarded non-biodegradable waste rises sharply and accumulates into subsequent months (Supplementary Fig. 3). This accumulation creates ecological conditions conducive to Aedes mosquito breeding when intersected with regional monsoon dynamics; the mid-April waste surge is filled by the Southwest monsoon (May–September), while the late-December surge aligns with the Northeast monsoon (December–February). Because plastic containers resist environmental degradation and collect rainwater efficiently, this intersection triggers widespread larval productivity. This mechanism is confirmed by the dramatic divergence of the red trend line in Supplementary Fig. 2, where the Container Index of non-biodegradable waste (majority of which composed of plastics) maintains the highest breeding efficiency year-round, peaking at over 21% in December. Conversely, alternative domestic, ornamental, and natural habitats remain lower and temporally stable, proving that the interaction between plastic waste accumulation and monsoonal rainfall is the primary driver of seasonal vector amplification.</w:t>
      </w:r>
    </w:p>
    <w:p w14:paraId="69662E36" w14:textId="77777777" w:rsidR="004C1222" w:rsidRPr="00C922B3" w:rsidRDefault="004C1222" w:rsidP="00061F50">
      <w:pPr>
        <w:spacing w:line="276" w:lineRule="auto"/>
        <w:jc w:val="both"/>
        <w:rPr>
          <w:lang w:val="en-GB"/>
        </w:rPr>
      </w:pPr>
    </w:p>
    <w:p w14:paraId="2F596C07" w14:textId="46FE7119" w:rsidR="00366E80" w:rsidRPr="004E6BA5" w:rsidRDefault="00366E80" w:rsidP="00924238">
      <w:pPr>
        <w:pStyle w:val="Heading2"/>
        <w:rPr>
          <w:rFonts w:ascii="Times New Roman" w:hAnsi="Times New Roman" w:cs="Times New Roman"/>
          <w:b/>
          <w:bCs/>
          <w:color w:val="auto"/>
          <w:sz w:val="24"/>
          <w:szCs w:val="24"/>
        </w:rPr>
      </w:pPr>
      <w:bookmarkStart w:id="5" w:name="_Toc235161885"/>
      <w:r w:rsidRPr="004E6BA5">
        <w:rPr>
          <w:rFonts w:ascii="Times New Roman" w:hAnsi="Times New Roman" w:cs="Times New Roman"/>
          <w:b/>
          <w:bCs/>
          <w:color w:val="auto"/>
          <w:sz w:val="24"/>
          <w:szCs w:val="24"/>
        </w:rPr>
        <w:lastRenderedPageBreak/>
        <w:t>Pilot field validation for material-specific waste partitioning</w:t>
      </w:r>
      <w:bookmarkEnd w:id="5"/>
      <w:r w:rsidRPr="004E6BA5">
        <w:rPr>
          <w:rFonts w:ascii="Times New Roman" w:hAnsi="Times New Roman" w:cs="Times New Roman"/>
          <w:b/>
          <w:bCs/>
          <w:color w:val="auto"/>
          <w:sz w:val="24"/>
          <w:szCs w:val="24"/>
        </w:rPr>
        <w:t xml:space="preserve"> </w:t>
      </w:r>
    </w:p>
    <w:p w14:paraId="04297F1F" w14:textId="77777777" w:rsidR="00924238" w:rsidRDefault="00924238" w:rsidP="00970898">
      <w:pPr>
        <w:jc w:val="both"/>
        <w:rPr>
          <w:b/>
          <w:bCs/>
        </w:rPr>
      </w:pPr>
    </w:p>
    <w:p w14:paraId="0AC39D8A" w14:textId="2E3068CD" w:rsidR="00970898" w:rsidRPr="00924238" w:rsidRDefault="00366E80" w:rsidP="003518F8">
      <w:pPr>
        <w:spacing w:line="276" w:lineRule="auto"/>
        <w:jc w:val="both"/>
      </w:pPr>
      <w:r w:rsidRPr="00924238">
        <w:t xml:space="preserve">This table summarizes the results of a representative pilot study conducted from March to May 2026 across eight districts covering nearly half of the national population. These data provide the essential empirical basis for the hierarchical transition from the baseline </w:t>
      </w:r>
      <w:proofErr w:type="spellStart"/>
      <w:r w:rsidRPr="00924238">
        <w:rPr>
          <w:rStyle w:val="math-inline"/>
        </w:rPr>
        <w:t>BI</w:t>
      </w:r>
      <w:r w:rsidRPr="00924238">
        <w:rPr>
          <w:rStyle w:val="math-inline"/>
          <w:i/>
          <w:iCs/>
          <w:vertAlign w:val="subscript"/>
        </w:rPr>
        <w:t>waste</w:t>
      </w:r>
      <w:proofErr w:type="spellEnd"/>
      <w:r w:rsidRPr="00924238">
        <w:t xml:space="preserve"> to the high-resolution </w:t>
      </w:r>
      <w:proofErr w:type="spellStart"/>
      <w:r w:rsidRPr="00924238">
        <w:rPr>
          <w:rStyle w:val="math-inline"/>
        </w:rPr>
        <w:t>BI</w:t>
      </w:r>
      <w:r w:rsidRPr="00924238">
        <w:rPr>
          <w:rStyle w:val="math-inline"/>
          <w:i/>
          <w:iCs/>
          <w:vertAlign w:val="subscript"/>
        </w:rPr>
        <w:t>plastics</w:t>
      </w:r>
      <w:proofErr w:type="spellEnd"/>
      <w:r w:rsidRPr="00924238">
        <w:t xml:space="preserve">. The Survey Effort (Days) denotes the total number of days dedicated to field inspection within each district. Total Containers Inspected represents the environmental load of discarded non-biodegradable items identified, partitioned into synthetic plastic and non-synthetic (Other) components. Water-Holding Containers (B) indicates the count of "wet" containers serving as potential breeding sites, while the </w:t>
      </w:r>
      <w:r w:rsidR="00924238" w:rsidRPr="00924238">
        <w:t xml:space="preserve">Plastic </w:t>
      </w:r>
      <w:r w:rsidRPr="00924238">
        <w:t xml:space="preserve">Share (%) reflects the percentage of the total load or water-holding containers attributed specifically to plastic materials. Aedes-Positive Containers (A) refers to the number of containers found to be positive for </w:t>
      </w:r>
      <w:r w:rsidRPr="00924238">
        <w:rPr>
          <w:i/>
          <w:iCs/>
        </w:rPr>
        <w:t>Aedes</w:t>
      </w:r>
      <w:r w:rsidRPr="00924238">
        <w:t xml:space="preserve"> larvae or pupae during the pilot survey. The Container Index (CI) (A/B) (%) measures the breeding efficiency (larval productivity) of each material category, representing the percentage of water-holding containers that were positive for larvae. The "Plastic Share" of total containers inspected in each district serves as the primary weighting factor for </w:t>
      </w:r>
      <w:r w:rsidR="003114EF" w:rsidRPr="00924238">
        <w:t>the risk attribution.</w:t>
      </w:r>
    </w:p>
    <w:p w14:paraId="4EF763B8" w14:textId="77777777" w:rsidR="00C200D8" w:rsidRDefault="00C200D8" w:rsidP="004E6BA5">
      <w:pPr>
        <w:jc w:val="both"/>
      </w:pPr>
    </w:p>
    <w:p w14:paraId="792F4DE2" w14:textId="02089CED" w:rsidR="00C200D8" w:rsidRPr="004E6BA5" w:rsidRDefault="00C200D8" w:rsidP="00970898">
      <w:pPr>
        <w:jc w:val="both"/>
      </w:pPr>
      <w:bookmarkStart w:id="6" w:name="_Toc235161886"/>
      <w:r w:rsidRPr="00924238">
        <w:rPr>
          <w:rStyle w:val="Heading3Char"/>
          <w:b/>
          <w:bCs/>
          <w:color w:val="auto"/>
          <w:sz w:val="24"/>
          <w:szCs w:val="24"/>
        </w:rPr>
        <w:t>Table S</w:t>
      </w:r>
      <w:r w:rsidR="003579FD" w:rsidRPr="00924238">
        <w:rPr>
          <w:rStyle w:val="Heading3Char"/>
          <w:b/>
          <w:bCs/>
          <w:color w:val="auto"/>
          <w:sz w:val="24"/>
          <w:szCs w:val="24"/>
        </w:rPr>
        <w:t>2</w:t>
      </w:r>
      <w:r w:rsidRPr="00924238">
        <w:rPr>
          <w:rStyle w:val="Heading3Char"/>
          <w:b/>
          <w:bCs/>
          <w:color w:val="auto"/>
          <w:sz w:val="24"/>
          <w:szCs w:val="24"/>
        </w:rPr>
        <w:t xml:space="preserve">: </w:t>
      </w:r>
      <w:r w:rsidR="003742E5" w:rsidRPr="00924238">
        <w:rPr>
          <w:rStyle w:val="Heading3Char"/>
          <w:b/>
          <w:bCs/>
          <w:color w:val="auto"/>
          <w:sz w:val="24"/>
          <w:szCs w:val="24"/>
        </w:rPr>
        <w:t xml:space="preserve">Empirical </w:t>
      </w:r>
      <w:r w:rsidR="00A16BF5">
        <w:rPr>
          <w:rStyle w:val="Heading3Char"/>
          <w:b/>
          <w:bCs/>
          <w:color w:val="auto"/>
          <w:sz w:val="24"/>
          <w:szCs w:val="24"/>
        </w:rPr>
        <w:t>material</w:t>
      </w:r>
      <w:r w:rsidR="003742E5" w:rsidRPr="00924238">
        <w:rPr>
          <w:rStyle w:val="Heading3Char"/>
          <w:b/>
          <w:bCs/>
          <w:color w:val="auto"/>
          <w:sz w:val="24"/>
          <w:szCs w:val="24"/>
        </w:rPr>
        <w:t xml:space="preserve"> partitioning and </w:t>
      </w:r>
      <w:r w:rsidR="003742E5" w:rsidRPr="00A16BF5">
        <w:rPr>
          <w:rStyle w:val="Heading3Char"/>
          <w:b/>
          <w:bCs/>
          <w:i/>
          <w:iCs/>
          <w:color w:val="auto"/>
          <w:sz w:val="24"/>
          <w:szCs w:val="24"/>
        </w:rPr>
        <w:t>Aedes</w:t>
      </w:r>
      <w:r w:rsidR="003742E5" w:rsidRPr="00924238">
        <w:rPr>
          <w:rStyle w:val="Heading3Char"/>
          <w:b/>
          <w:bCs/>
          <w:color w:val="auto"/>
          <w:sz w:val="24"/>
          <w:szCs w:val="24"/>
        </w:rPr>
        <w:t xml:space="preserve"> larval infestation dynamics across pilot sentinel districts.</w:t>
      </w:r>
      <w:bookmarkEnd w:id="6"/>
      <w:r w:rsidR="003742E5" w:rsidRPr="00924238">
        <w:t xml:space="preserve"> </w:t>
      </w:r>
      <w:r w:rsidR="003742E5" w:rsidRPr="004E6BA5">
        <w:t xml:space="preserve">Field validation metrics classifying discarded non-biodegradable containers into plastic and non-plastic ("Other") material matrices across eight districts over a cumulative 425 survey days. </w:t>
      </w:r>
    </w:p>
    <w:p w14:paraId="78A3335F" w14:textId="77777777" w:rsidR="00366E80" w:rsidRDefault="00366E80" w:rsidP="00970898">
      <w:pPr>
        <w:jc w:val="both"/>
      </w:pPr>
    </w:p>
    <w:tbl>
      <w:tblPr>
        <w:tblStyle w:val="TableGrid"/>
        <w:tblW w:w="11430" w:type="dxa"/>
        <w:jc w:val="center"/>
        <w:tblLayout w:type="fixed"/>
        <w:tblLook w:val="04A0" w:firstRow="1" w:lastRow="0" w:firstColumn="1" w:lastColumn="0" w:noHBand="0" w:noVBand="1"/>
      </w:tblPr>
      <w:tblGrid>
        <w:gridCol w:w="1080"/>
        <w:gridCol w:w="900"/>
        <w:gridCol w:w="815"/>
        <w:gridCol w:w="720"/>
        <w:gridCol w:w="1097"/>
        <w:gridCol w:w="793"/>
        <w:gridCol w:w="720"/>
        <w:gridCol w:w="1080"/>
        <w:gridCol w:w="810"/>
        <w:gridCol w:w="805"/>
        <w:gridCol w:w="905"/>
        <w:gridCol w:w="715"/>
        <w:gridCol w:w="990"/>
      </w:tblGrid>
      <w:tr w:rsidR="007A1C8B" w:rsidRPr="003615ED" w14:paraId="231AFBEF" w14:textId="466165DF" w:rsidTr="003742E5">
        <w:trPr>
          <w:jc w:val="center"/>
        </w:trPr>
        <w:tc>
          <w:tcPr>
            <w:tcW w:w="1080" w:type="dxa"/>
            <w:vAlign w:val="center"/>
            <w:hideMark/>
          </w:tcPr>
          <w:p w14:paraId="47B2350E" w14:textId="77777777" w:rsidR="007A1C8B" w:rsidRPr="007A1C8B" w:rsidRDefault="007A1C8B" w:rsidP="007A1C8B">
            <w:pPr>
              <w:jc w:val="center"/>
              <w:rPr>
                <w:color w:val="1F1F1F"/>
                <w:sz w:val="18"/>
                <w:szCs w:val="18"/>
              </w:rPr>
            </w:pPr>
            <w:r w:rsidRPr="007A1C8B">
              <w:rPr>
                <w:b/>
                <w:bCs/>
                <w:color w:val="1F1F1F"/>
                <w:sz w:val="18"/>
                <w:szCs w:val="18"/>
                <w:bdr w:val="none" w:sz="0" w:space="0" w:color="auto" w:frame="1"/>
              </w:rPr>
              <w:t>Pilot Districts</w:t>
            </w:r>
          </w:p>
        </w:tc>
        <w:tc>
          <w:tcPr>
            <w:tcW w:w="900" w:type="dxa"/>
            <w:vAlign w:val="center"/>
            <w:hideMark/>
          </w:tcPr>
          <w:p w14:paraId="1AAA39EC" w14:textId="77777777" w:rsidR="007A1C8B" w:rsidRPr="007A1C8B" w:rsidRDefault="007A1C8B" w:rsidP="007A1C8B">
            <w:pPr>
              <w:jc w:val="center"/>
              <w:rPr>
                <w:color w:val="1F1F1F"/>
                <w:sz w:val="18"/>
                <w:szCs w:val="18"/>
              </w:rPr>
            </w:pPr>
            <w:r w:rsidRPr="007A1C8B">
              <w:rPr>
                <w:b/>
                <w:bCs/>
                <w:color w:val="1F1F1F"/>
                <w:sz w:val="18"/>
                <w:szCs w:val="18"/>
                <w:bdr w:val="none" w:sz="0" w:space="0" w:color="auto" w:frame="1"/>
              </w:rPr>
              <w:t>Survey Effort (Days)</w:t>
            </w:r>
          </w:p>
        </w:tc>
        <w:tc>
          <w:tcPr>
            <w:tcW w:w="2632" w:type="dxa"/>
            <w:gridSpan w:val="3"/>
            <w:vAlign w:val="center"/>
            <w:hideMark/>
          </w:tcPr>
          <w:p w14:paraId="0F7CD26D" w14:textId="77777777" w:rsidR="007A1C8B" w:rsidRPr="007A1C8B" w:rsidRDefault="007A1C8B" w:rsidP="007A1C8B">
            <w:pPr>
              <w:jc w:val="center"/>
              <w:rPr>
                <w:sz w:val="18"/>
                <w:szCs w:val="18"/>
              </w:rPr>
            </w:pPr>
            <w:r w:rsidRPr="007A1C8B">
              <w:rPr>
                <w:b/>
                <w:bCs/>
                <w:color w:val="1F1F1F"/>
                <w:sz w:val="18"/>
                <w:szCs w:val="18"/>
                <w:bdr w:val="none" w:sz="0" w:space="0" w:color="auto" w:frame="1"/>
              </w:rPr>
              <w:t>Total Containers Inspected</w:t>
            </w:r>
          </w:p>
        </w:tc>
        <w:tc>
          <w:tcPr>
            <w:tcW w:w="2593" w:type="dxa"/>
            <w:gridSpan w:val="3"/>
            <w:vAlign w:val="center"/>
            <w:hideMark/>
          </w:tcPr>
          <w:p w14:paraId="42A16236" w14:textId="77777777" w:rsidR="007A1C8B" w:rsidRPr="007A1C8B" w:rsidRDefault="007A1C8B" w:rsidP="007A1C8B">
            <w:pPr>
              <w:jc w:val="center"/>
              <w:rPr>
                <w:sz w:val="18"/>
                <w:szCs w:val="18"/>
              </w:rPr>
            </w:pPr>
            <w:r w:rsidRPr="007A1C8B">
              <w:rPr>
                <w:b/>
                <w:bCs/>
                <w:color w:val="1F1F1F"/>
                <w:sz w:val="18"/>
                <w:szCs w:val="18"/>
                <w:bdr w:val="none" w:sz="0" w:space="0" w:color="auto" w:frame="1"/>
              </w:rPr>
              <w:t>Water-Holding Containers (B)</w:t>
            </w:r>
          </w:p>
        </w:tc>
        <w:tc>
          <w:tcPr>
            <w:tcW w:w="1615" w:type="dxa"/>
            <w:gridSpan w:val="2"/>
            <w:vAlign w:val="center"/>
            <w:hideMark/>
          </w:tcPr>
          <w:p w14:paraId="44417773" w14:textId="77777777" w:rsidR="007A1C8B" w:rsidRPr="007A1C8B" w:rsidRDefault="007A1C8B" w:rsidP="007A1C8B">
            <w:pPr>
              <w:jc w:val="center"/>
              <w:rPr>
                <w:color w:val="1F1F1F"/>
                <w:sz w:val="18"/>
                <w:szCs w:val="18"/>
              </w:rPr>
            </w:pPr>
            <w:r w:rsidRPr="007A1C8B">
              <w:rPr>
                <w:b/>
                <w:bCs/>
                <w:color w:val="1F1F1F"/>
                <w:sz w:val="18"/>
                <w:szCs w:val="18"/>
                <w:bdr w:val="none" w:sz="0" w:space="0" w:color="auto" w:frame="1"/>
              </w:rPr>
              <w:t>Aedes-Positive Containers (A)</w:t>
            </w:r>
          </w:p>
        </w:tc>
        <w:tc>
          <w:tcPr>
            <w:tcW w:w="1620" w:type="dxa"/>
            <w:gridSpan w:val="2"/>
            <w:vAlign w:val="center"/>
            <w:hideMark/>
          </w:tcPr>
          <w:p w14:paraId="1E905BB5" w14:textId="77777777" w:rsidR="007A1C8B" w:rsidRPr="007A1C8B" w:rsidRDefault="007A1C8B" w:rsidP="007A1C8B">
            <w:pPr>
              <w:jc w:val="center"/>
              <w:rPr>
                <w:color w:val="1F1F1F"/>
                <w:sz w:val="18"/>
                <w:szCs w:val="18"/>
              </w:rPr>
            </w:pPr>
            <w:r w:rsidRPr="007A1C8B">
              <w:rPr>
                <w:b/>
                <w:bCs/>
                <w:color w:val="1F1F1F"/>
                <w:sz w:val="18"/>
                <w:szCs w:val="18"/>
                <w:bdr w:val="none" w:sz="0" w:space="0" w:color="auto" w:frame="1"/>
              </w:rPr>
              <w:t>Container Index (CI) (A/B) (%)</w:t>
            </w:r>
          </w:p>
        </w:tc>
        <w:tc>
          <w:tcPr>
            <w:tcW w:w="990" w:type="dxa"/>
            <w:vMerge w:val="restart"/>
            <w:vAlign w:val="center"/>
          </w:tcPr>
          <w:p w14:paraId="036E70B7" w14:textId="77777777" w:rsidR="007A1C8B" w:rsidRPr="007A1C8B" w:rsidRDefault="007A1C8B" w:rsidP="007A1C8B">
            <w:pPr>
              <w:jc w:val="center"/>
              <w:rPr>
                <w:b/>
                <w:bCs/>
                <w:color w:val="1F1F1F"/>
                <w:sz w:val="18"/>
                <w:szCs w:val="18"/>
                <w:bdr w:val="none" w:sz="0" w:space="0" w:color="auto" w:frame="1"/>
              </w:rPr>
            </w:pPr>
            <w:r w:rsidRPr="007A1C8B">
              <w:rPr>
                <w:b/>
                <w:bCs/>
                <w:color w:val="1F1F1F"/>
                <w:sz w:val="18"/>
                <w:szCs w:val="18"/>
                <w:bdr w:val="none" w:sz="0" w:space="0" w:color="auto" w:frame="1"/>
              </w:rPr>
              <w:t>Plastic Share</w:t>
            </w:r>
          </w:p>
          <w:p w14:paraId="218E04FD" w14:textId="3EE6CC6F" w:rsidR="007A1C8B" w:rsidRPr="007A1C8B" w:rsidRDefault="007A1C8B" w:rsidP="007A1C8B">
            <w:pPr>
              <w:jc w:val="center"/>
              <w:rPr>
                <w:b/>
                <w:bCs/>
                <w:color w:val="1F1F1F"/>
                <w:sz w:val="18"/>
                <w:szCs w:val="18"/>
                <w:bdr w:val="none" w:sz="0" w:space="0" w:color="auto" w:frame="1"/>
              </w:rPr>
            </w:pPr>
            <w:r w:rsidRPr="007A1C8B">
              <w:rPr>
                <w:sz w:val="18"/>
                <w:szCs w:val="18"/>
                <w:lang w:val="en-GB"/>
              </w:rPr>
              <w:t>(</w:t>
            </w:r>
            <m:oMath>
              <m:sSub>
                <m:sSubPr>
                  <m:ctrlPr>
                    <w:rPr>
                      <w:rFonts w:ascii="Cambria Math" w:hAnsi="Cambria Math"/>
                      <w:sz w:val="18"/>
                      <w:szCs w:val="18"/>
                    </w:rPr>
                  </m:ctrlPr>
                </m:sSubPr>
                <m:e>
                  <m:r>
                    <w:rPr>
                      <w:rFonts w:ascii="Cambria Math" w:hAnsi="Cambria Math"/>
                      <w:sz w:val="18"/>
                      <w:szCs w:val="18"/>
                    </w:rPr>
                    <m:t>ω</m:t>
                  </m:r>
                </m:e>
                <m:sub>
                  <m:r>
                    <w:rPr>
                      <w:rFonts w:ascii="Cambria Math" w:hAnsi="Cambria Math"/>
                      <w:sz w:val="18"/>
                      <w:szCs w:val="18"/>
                    </w:rPr>
                    <m:t>plastic</m:t>
                  </m:r>
                </m:sub>
              </m:sSub>
            </m:oMath>
            <w:r w:rsidRPr="007A1C8B">
              <w:rPr>
                <w:sz w:val="18"/>
                <w:szCs w:val="18"/>
                <w:lang w:val="en-GB"/>
              </w:rPr>
              <w:t>)</w:t>
            </w:r>
          </w:p>
        </w:tc>
      </w:tr>
      <w:tr w:rsidR="007A1C8B" w:rsidRPr="003615ED" w14:paraId="148E995F" w14:textId="606223BE" w:rsidTr="003742E5">
        <w:trPr>
          <w:jc w:val="center"/>
        </w:trPr>
        <w:tc>
          <w:tcPr>
            <w:tcW w:w="1080" w:type="dxa"/>
            <w:hideMark/>
          </w:tcPr>
          <w:p w14:paraId="5D3FB6BF" w14:textId="77777777" w:rsidR="007A1C8B" w:rsidRPr="003615ED" w:rsidRDefault="007A1C8B" w:rsidP="007725A9">
            <w:pPr>
              <w:rPr>
                <w:sz w:val="18"/>
                <w:szCs w:val="18"/>
              </w:rPr>
            </w:pPr>
          </w:p>
        </w:tc>
        <w:tc>
          <w:tcPr>
            <w:tcW w:w="900" w:type="dxa"/>
            <w:hideMark/>
          </w:tcPr>
          <w:p w14:paraId="70529CB1" w14:textId="77777777" w:rsidR="007A1C8B" w:rsidRPr="003615ED" w:rsidRDefault="007A1C8B" w:rsidP="007725A9">
            <w:pPr>
              <w:rPr>
                <w:sz w:val="18"/>
                <w:szCs w:val="18"/>
              </w:rPr>
            </w:pPr>
          </w:p>
        </w:tc>
        <w:tc>
          <w:tcPr>
            <w:tcW w:w="815" w:type="dxa"/>
            <w:vAlign w:val="center"/>
            <w:hideMark/>
          </w:tcPr>
          <w:p w14:paraId="2C52344E" w14:textId="77777777" w:rsidR="007A1C8B" w:rsidRPr="003615ED" w:rsidRDefault="007A1C8B" w:rsidP="007725A9">
            <w:pPr>
              <w:jc w:val="center"/>
              <w:rPr>
                <w:color w:val="1F1F1F"/>
                <w:sz w:val="18"/>
                <w:szCs w:val="18"/>
              </w:rPr>
            </w:pPr>
            <w:r w:rsidRPr="003615ED">
              <w:rPr>
                <w:b/>
                <w:bCs/>
                <w:color w:val="1F1F1F"/>
                <w:sz w:val="18"/>
                <w:szCs w:val="18"/>
                <w:bdr w:val="none" w:sz="0" w:space="0" w:color="auto" w:frame="1"/>
              </w:rPr>
              <w:t>Plastic</w:t>
            </w:r>
          </w:p>
        </w:tc>
        <w:tc>
          <w:tcPr>
            <w:tcW w:w="720" w:type="dxa"/>
            <w:vAlign w:val="center"/>
            <w:hideMark/>
          </w:tcPr>
          <w:p w14:paraId="68AD4D81" w14:textId="77777777" w:rsidR="007A1C8B" w:rsidRPr="003615ED" w:rsidRDefault="007A1C8B" w:rsidP="007725A9">
            <w:pPr>
              <w:jc w:val="center"/>
              <w:rPr>
                <w:color w:val="1F1F1F"/>
                <w:sz w:val="18"/>
                <w:szCs w:val="18"/>
              </w:rPr>
            </w:pPr>
            <w:r w:rsidRPr="003615ED">
              <w:rPr>
                <w:b/>
                <w:bCs/>
                <w:color w:val="1F1F1F"/>
                <w:sz w:val="18"/>
                <w:szCs w:val="18"/>
                <w:bdr w:val="none" w:sz="0" w:space="0" w:color="auto" w:frame="1"/>
              </w:rPr>
              <w:t>Other</w:t>
            </w:r>
          </w:p>
        </w:tc>
        <w:tc>
          <w:tcPr>
            <w:tcW w:w="1097" w:type="dxa"/>
            <w:vAlign w:val="center"/>
            <w:hideMark/>
          </w:tcPr>
          <w:p w14:paraId="5B833E67" w14:textId="77777777" w:rsidR="007A1C8B" w:rsidRPr="003615ED" w:rsidRDefault="007A1C8B" w:rsidP="007725A9">
            <w:pPr>
              <w:jc w:val="center"/>
              <w:rPr>
                <w:color w:val="1F1F1F"/>
                <w:sz w:val="18"/>
                <w:szCs w:val="18"/>
              </w:rPr>
            </w:pPr>
            <w:r w:rsidRPr="003615ED">
              <w:rPr>
                <w:b/>
                <w:bCs/>
                <w:color w:val="1F1F1F"/>
                <w:sz w:val="18"/>
                <w:szCs w:val="18"/>
                <w:bdr w:val="none" w:sz="0" w:space="0" w:color="auto" w:frame="1"/>
              </w:rPr>
              <w:t>Share (%)</w:t>
            </w:r>
          </w:p>
        </w:tc>
        <w:tc>
          <w:tcPr>
            <w:tcW w:w="793" w:type="dxa"/>
            <w:vAlign w:val="center"/>
            <w:hideMark/>
          </w:tcPr>
          <w:p w14:paraId="54FDEEE0" w14:textId="77777777" w:rsidR="007A1C8B" w:rsidRPr="003615ED" w:rsidRDefault="007A1C8B" w:rsidP="007725A9">
            <w:pPr>
              <w:jc w:val="center"/>
              <w:rPr>
                <w:color w:val="1F1F1F"/>
                <w:sz w:val="18"/>
                <w:szCs w:val="18"/>
              </w:rPr>
            </w:pPr>
            <w:r w:rsidRPr="003615ED">
              <w:rPr>
                <w:b/>
                <w:bCs/>
                <w:color w:val="1F1F1F"/>
                <w:sz w:val="18"/>
                <w:szCs w:val="18"/>
                <w:bdr w:val="none" w:sz="0" w:space="0" w:color="auto" w:frame="1"/>
              </w:rPr>
              <w:t>Plastic</w:t>
            </w:r>
          </w:p>
        </w:tc>
        <w:tc>
          <w:tcPr>
            <w:tcW w:w="720" w:type="dxa"/>
            <w:vAlign w:val="center"/>
            <w:hideMark/>
          </w:tcPr>
          <w:p w14:paraId="2CC1F213" w14:textId="77777777" w:rsidR="007A1C8B" w:rsidRPr="003615ED" w:rsidRDefault="007A1C8B" w:rsidP="007725A9">
            <w:pPr>
              <w:jc w:val="center"/>
              <w:rPr>
                <w:color w:val="1F1F1F"/>
                <w:sz w:val="18"/>
                <w:szCs w:val="18"/>
              </w:rPr>
            </w:pPr>
            <w:r w:rsidRPr="003615ED">
              <w:rPr>
                <w:b/>
                <w:bCs/>
                <w:color w:val="1F1F1F"/>
                <w:sz w:val="18"/>
                <w:szCs w:val="18"/>
                <w:bdr w:val="none" w:sz="0" w:space="0" w:color="auto" w:frame="1"/>
              </w:rPr>
              <w:t>Other</w:t>
            </w:r>
          </w:p>
        </w:tc>
        <w:tc>
          <w:tcPr>
            <w:tcW w:w="1080" w:type="dxa"/>
            <w:vAlign w:val="center"/>
            <w:hideMark/>
          </w:tcPr>
          <w:p w14:paraId="27708F8E" w14:textId="77777777" w:rsidR="007A1C8B" w:rsidRPr="003615ED" w:rsidRDefault="007A1C8B" w:rsidP="007725A9">
            <w:pPr>
              <w:jc w:val="center"/>
              <w:rPr>
                <w:color w:val="1F1F1F"/>
                <w:sz w:val="18"/>
                <w:szCs w:val="18"/>
              </w:rPr>
            </w:pPr>
            <w:r w:rsidRPr="003615ED">
              <w:rPr>
                <w:b/>
                <w:bCs/>
                <w:color w:val="1F1F1F"/>
                <w:sz w:val="18"/>
                <w:szCs w:val="18"/>
                <w:bdr w:val="none" w:sz="0" w:space="0" w:color="auto" w:frame="1"/>
              </w:rPr>
              <w:t>Share (%)</w:t>
            </w:r>
          </w:p>
        </w:tc>
        <w:tc>
          <w:tcPr>
            <w:tcW w:w="810" w:type="dxa"/>
            <w:vAlign w:val="center"/>
            <w:hideMark/>
          </w:tcPr>
          <w:p w14:paraId="24400D75" w14:textId="77777777" w:rsidR="007A1C8B" w:rsidRPr="003615ED" w:rsidRDefault="007A1C8B" w:rsidP="007725A9">
            <w:pPr>
              <w:jc w:val="center"/>
              <w:rPr>
                <w:color w:val="1F1F1F"/>
                <w:sz w:val="18"/>
                <w:szCs w:val="18"/>
              </w:rPr>
            </w:pPr>
            <w:r w:rsidRPr="003615ED">
              <w:rPr>
                <w:b/>
                <w:bCs/>
                <w:color w:val="1F1F1F"/>
                <w:sz w:val="18"/>
                <w:szCs w:val="18"/>
                <w:bdr w:val="none" w:sz="0" w:space="0" w:color="auto" w:frame="1"/>
              </w:rPr>
              <w:t>Plastic</w:t>
            </w:r>
          </w:p>
        </w:tc>
        <w:tc>
          <w:tcPr>
            <w:tcW w:w="805" w:type="dxa"/>
            <w:vAlign w:val="center"/>
            <w:hideMark/>
          </w:tcPr>
          <w:p w14:paraId="4851174C" w14:textId="77777777" w:rsidR="007A1C8B" w:rsidRPr="003615ED" w:rsidRDefault="007A1C8B" w:rsidP="007725A9">
            <w:pPr>
              <w:jc w:val="center"/>
              <w:rPr>
                <w:color w:val="1F1F1F"/>
                <w:sz w:val="18"/>
                <w:szCs w:val="18"/>
              </w:rPr>
            </w:pPr>
            <w:r w:rsidRPr="003615ED">
              <w:rPr>
                <w:b/>
                <w:bCs/>
                <w:color w:val="1F1F1F"/>
                <w:sz w:val="18"/>
                <w:szCs w:val="18"/>
                <w:bdr w:val="none" w:sz="0" w:space="0" w:color="auto" w:frame="1"/>
              </w:rPr>
              <w:t>Other</w:t>
            </w:r>
          </w:p>
        </w:tc>
        <w:tc>
          <w:tcPr>
            <w:tcW w:w="905" w:type="dxa"/>
            <w:vAlign w:val="center"/>
            <w:hideMark/>
          </w:tcPr>
          <w:p w14:paraId="69F7979F" w14:textId="77777777" w:rsidR="007A1C8B" w:rsidRPr="003615ED" w:rsidRDefault="007A1C8B" w:rsidP="007725A9">
            <w:pPr>
              <w:jc w:val="center"/>
              <w:rPr>
                <w:color w:val="1F1F1F"/>
                <w:sz w:val="18"/>
                <w:szCs w:val="18"/>
              </w:rPr>
            </w:pPr>
            <w:r w:rsidRPr="003615ED">
              <w:rPr>
                <w:b/>
                <w:bCs/>
                <w:color w:val="1F1F1F"/>
                <w:sz w:val="18"/>
                <w:szCs w:val="18"/>
                <w:bdr w:val="none" w:sz="0" w:space="0" w:color="auto" w:frame="1"/>
              </w:rPr>
              <w:t>Plastic</w:t>
            </w:r>
          </w:p>
        </w:tc>
        <w:tc>
          <w:tcPr>
            <w:tcW w:w="715" w:type="dxa"/>
            <w:vAlign w:val="center"/>
            <w:hideMark/>
          </w:tcPr>
          <w:p w14:paraId="5A80A6DF" w14:textId="77777777" w:rsidR="007A1C8B" w:rsidRPr="003615ED" w:rsidRDefault="007A1C8B" w:rsidP="007725A9">
            <w:pPr>
              <w:jc w:val="center"/>
              <w:rPr>
                <w:color w:val="1F1F1F"/>
                <w:sz w:val="18"/>
                <w:szCs w:val="18"/>
              </w:rPr>
            </w:pPr>
            <w:r w:rsidRPr="003615ED">
              <w:rPr>
                <w:b/>
                <w:bCs/>
                <w:color w:val="1F1F1F"/>
                <w:sz w:val="18"/>
                <w:szCs w:val="18"/>
                <w:bdr w:val="none" w:sz="0" w:space="0" w:color="auto" w:frame="1"/>
              </w:rPr>
              <w:t>Other</w:t>
            </w:r>
          </w:p>
        </w:tc>
        <w:tc>
          <w:tcPr>
            <w:tcW w:w="990" w:type="dxa"/>
            <w:vMerge/>
          </w:tcPr>
          <w:p w14:paraId="300214F4" w14:textId="77777777" w:rsidR="007A1C8B" w:rsidRPr="003615ED" w:rsidRDefault="007A1C8B" w:rsidP="007725A9">
            <w:pPr>
              <w:jc w:val="center"/>
              <w:rPr>
                <w:b/>
                <w:bCs/>
                <w:color w:val="1F1F1F"/>
                <w:sz w:val="18"/>
                <w:szCs w:val="18"/>
                <w:bdr w:val="none" w:sz="0" w:space="0" w:color="auto" w:frame="1"/>
              </w:rPr>
            </w:pPr>
          </w:p>
        </w:tc>
      </w:tr>
      <w:tr w:rsidR="007A1C8B" w:rsidRPr="003615ED" w14:paraId="403C314A" w14:textId="5AEAA1D1" w:rsidTr="003742E5">
        <w:trPr>
          <w:jc w:val="center"/>
        </w:trPr>
        <w:tc>
          <w:tcPr>
            <w:tcW w:w="1080" w:type="dxa"/>
            <w:hideMark/>
          </w:tcPr>
          <w:p w14:paraId="3D9E9B9E" w14:textId="77777777" w:rsidR="007A1C8B" w:rsidRPr="003615ED" w:rsidRDefault="007A1C8B" w:rsidP="007A1C8B">
            <w:pPr>
              <w:rPr>
                <w:color w:val="1F1F1F"/>
                <w:sz w:val="18"/>
                <w:szCs w:val="18"/>
              </w:rPr>
            </w:pPr>
            <w:r w:rsidRPr="003615ED">
              <w:rPr>
                <w:color w:val="1F1F1F"/>
                <w:sz w:val="18"/>
                <w:szCs w:val="18"/>
                <w:bdr w:val="none" w:sz="0" w:space="0" w:color="auto" w:frame="1"/>
              </w:rPr>
              <w:t>Galle</w:t>
            </w:r>
          </w:p>
        </w:tc>
        <w:tc>
          <w:tcPr>
            <w:tcW w:w="900" w:type="dxa"/>
            <w:hideMark/>
          </w:tcPr>
          <w:p w14:paraId="08C4C887" w14:textId="52729A1A" w:rsidR="007A1C8B" w:rsidRPr="007A1C8B" w:rsidRDefault="007A1C8B" w:rsidP="007A1C8B">
            <w:pPr>
              <w:jc w:val="center"/>
              <w:rPr>
                <w:color w:val="1F1F1F"/>
                <w:sz w:val="16"/>
                <w:szCs w:val="16"/>
              </w:rPr>
            </w:pPr>
            <w:r w:rsidRPr="007A1C8B">
              <w:rPr>
                <w:sz w:val="16"/>
                <w:szCs w:val="16"/>
              </w:rPr>
              <w:t>47</w:t>
            </w:r>
          </w:p>
        </w:tc>
        <w:tc>
          <w:tcPr>
            <w:tcW w:w="815" w:type="dxa"/>
            <w:hideMark/>
          </w:tcPr>
          <w:p w14:paraId="004DAB81" w14:textId="59715B37" w:rsidR="007A1C8B" w:rsidRPr="007A1C8B" w:rsidRDefault="007A1C8B" w:rsidP="007A1C8B">
            <w:pPr>
              <w:jc w:val="center"/>
              <w:rPr>
                <w:color w:val="1F1F1F"/>
                <w:sz w:val="16"/>
                <w:szCs w:val="16"/>
              </w:rPr>
            </w:pPr>
            <w:r w:rsidRPr="007A1C8B">
              <w:rPr>
                <w:sz w:val="16"/>
                <w:szCs w:val="16"/>
              </w:rPr>
              <w:t>1402</w:t>
            </w:r>
          </w:p>
        </w:tc>
        <w:tc>
          <w:tcPr>
            <w:tcW w:w="720" w:type="dxa"/>
            <w:hideMark/>
          </w:tcPr>
          <w:p w14:paraId="3EB919C7" w14:textId="6CC53F3E" w:rsidR="007A1C8B" w:rsidRPr="007A1C8B" w:rsidRDefault="007A1C8B" w:rsidP="007A1C8B">
            <w:pPr>
              <w:jc w:val="center"/>
              <w:rPr>
                <w:color w:val="1F1F1F"/>
                <w:sz w:val="16"/>
                <w:szCs w:val="16"/>
              </w:rPr>
            </w:pPr>
            <w:r w:rsidRPr="007A1C8B">
              <w:rPr>
                <w:sz w:val="16"/>
                <w:szCs w:val="16"/>
              </w:rPr>
              <w:t>1243</w:t>
            </w:r>
          </w:p>
        </w:tc>
        <w:tc>
          <w:tcPr>
            <w:tcW w:w="1097" w:type="dxa"/>
            <w:hideMark/>
          </w:tcPr>
          <w:p w14:paraId="5E1EBDAF" w14:textId="66182DCC" w:rsidR="007A1C8B" w:rsidRPr="007A1C8B" w:rsidRDefault="007A1C8B" w:rsidP="007A1C8B">
            <w:pPr>
              <w:jc w:val="center"/>
              <w:rPr>
                <w:color w:val="1F1F1F"/>
                <w:sz w:val="16"/>
                <w:szCs w:val="16"/>
              </w:rPr>
            </w:pPr>
            <w:r w:rsidRPr="007A1C8B">
              <w:rPr>
                <w:sz w:val="16"/>
                <w:szCs w:val="16"/>
              </w:rPr>
              <w:t>53.0</w:t>
            </w:r>
          </w:p>
        </w:tc>
        <w:tc>
          <w:tcPr>
            <w:tcW w:w="793" w:type="dxa"/>
            <w:hideMark/>
          </w:tcPr>
          <w:p w14:paraId="5C5FDB5B" w14:textId="1705060F" w:rsidR="007A1C8B" w:rsidRPr="007A1C8B" w:rsidRDefault="007A1C8B" w:rsidP="007A1C8B">
            <w:pPr>
              <w:jc w:val="center"/>
              <w:rPr>
                <w:color w:val="1F1F1F"/>
                <w:sz w:val="16"/>
                <w:szCs w:val="16"/>
              </w:rPr>
            </w:pPr>
            <w:r w:rsidRPr="007A1C8B">
              <w:rPr>
                <w:sz w:val="16"/>
                <w:szCs w:val="16"/>
              </w:rPr>
              <w:t>534</w:t>
            </w:r>
          </w:p>
        </w:tc>
        <w:tc>
          <w:tcPr>
            <w:tcW w:w="720" w:type="dxa"/>
            <w:hideMark/>
          </w:tcPr>
          <w:p w14:paraId="646F2AC4" w14:textId="36C631A3" w:rsidR="007A1C8B" w:rsidRPr="007A1C8B" w:rsidRDefault="007A1C8B" w:rsidP="007A1C8B">
            <w:pPr>
              <w:jc w:val="center"/>
              <w:rPr>
                <w:color w:val="1F1F1F"/>
                <w:sz w:val="16"/>
                <w:szCs w:val="16"/>
              </w:rPr>
            </w:pPr>
            <w:r w:rsidRPr="007A1C8B">
              <w:rPr>
                <w:sz w:val="16"/>
                <w:szCs w:val="16"/>
              </w:rPr>
              <w:t>462</w:t>
            </w:r>
          </w:p>
        </w:tc>
        <w:tc>
          <w:tcPr>
            <w:tcW w:w="1080" w:type="dxa"/>
            <w:hideMark/>
          </w:tcPr>
          <w:p w14:paraId="17C892F2" w14:textId="6C6AF8ED" w:rsidR="007A1C8B" w:rsidRPr="007A1C8B" w:rsidRDefault="007A1C8B" w:rsidP="007A1C8B">
            <w:pPr>
              <w:jc w:val="center"/>
              <w:rPr>
                <w:color w:val="1F1F1F"/>
                <w:sz w:val="16"/>
                <w:szCs w:val="16"/>
              </w:rPr>
            </w:pPr>
            <w:r w:rsidRPr="007A1C8B">
              <w:rPr>
                <w:sz w:val="16"/>
                <w:szCs w:val="16"/>
              </w:rPr>
              <w:t>53.6</w:t>
            </w:r>
          </w:p>
        </w:tc>
        <w:tc>
          <w:tcPr>
            <w:tcW w:w="810" w:type="dxa"/>
            <w:hideMark/>
          </w:tcPr>
          <w:p w14:paraId="04BA1D6B" w14:textId="259DA030" w:rsidR="007A1C8B" w:rsidRPr="007A1C8B" w:rsidRDefault="007A1C8B" w:rsidP="007A1C8B">
            <w:pPr>
              <w:jc w:val="center"/>
              <w:rPr>
                <w:color w:val="1F1F1F"/>
                <w:sz w:val="16"/>
                <w:szCs w:val="16"/>
              </w:rPr>
            </w:pPr>
            <w:r w:rsidRPr="007A1C8B">
              <w:rPr>
                <w:sz w:val="16"/>
                <w:szCs w:val="16"/>
              </w:rPr>
              <w:t>68</w:t>
            </w:r>
          </w:p>
        </w:tc>
        <w:tc>
          <w:tcPr>
            <w:tcW w:w="805" w:type="dxa"/>
            <w:hideMark/>
          </w:tcPr>
          <w:p w14:paraId="73073AA1" w14:textId="2B17145A" w:rsidR="007A1C8B" w:rsidRPr="007A1C8B" w:rsidRDefault="007A1C8B" w:rsidP="007A1C8B">
            <w:pPr>
              <w:jc w:val="center"/>
              <w:rPr>
                <w:color w:val="1F1F1F"/>
                <w:sz w:val="16"/>
                <w:szCs w:val="16"/>
              </w:rPr>
            </w:pPr>
            <w:r w:rsidRPr="007A1C8B">
              <w:rPr>
                <w:sz w:val="16"/>
                <w:szCs w:val="16"/>
              </w:rPr>
              <w:t>44</w:t>
            </w:r>
          </w:p>
        </w:tc>
        <w:tc>
          <w:tcPr>
            <w:tcW w:w="905" w:type="dxa"/>
            <w:hideMark/>
          </w:tcPr>
          <w:p w14:paraId="77612B7F" w14:textId="2F747C0A" w:rsidR="007A1C8B" w:rsidRPr="007A1C8B" w:rsidRDefault="007A1C8B" w:rsidP="007A1C8B">
            <w:pPr>
              <w:jc w:val="center"/>
              <w:rPr>
                <w:color w:val="1F1F1F"/>
                <w:sz w:val="16"/>
                <w:szCs w:val="16"/>
              </w:rPr>
            </w:pPr>
            <w:r w:rsidRPr="007A1C8B">
              <w:rPr>
                <w:sz w:val="16"/>
                <w:szCs w:val="16"/>
              </w:rPr>
              <w:t>12.7</w:t>
            </w:r>
          </w:p>
        </w:tc>
        <w:tc>
          <w:tcPr>
            <w:tcW w:w="715" w:type="dxa"/>
            <w:hideMark/>
          </w:tcPr>
          <w:p w14:paraId="65CE8E76" w14:textId="22C76014" w:rsidR="007A1C8B" w:rsidRPr="007A1C8B" w:rsidRDefault="007A1C8B" w:rsidP="007A1C8B">
            <w:pPr>
              <w:jc w:val="center"/>
              <w:rPr>
                <w:color w:val="1F1F1F"/>
                <w:sz w:val="16"/>
                <w:szCs w:val="16"/>
              </w:rPr>
            </w:pPr>
            <w:r w:rsidRPr="007A1C8B">
              <w:rPr>
                <w:sz w:val="16"/>
                <w:szCs w:val="16"/>
              </w:rPr>
              <w:t>9.5</w:t>
            </w:r>
          </w:p>
        </w:tc>
        <w:tc>
          <w:tcPr>
            <w:tcW w:w="990" w:type="dxa"/>
          </w:tcPr>
          <w:p w14:paraId="764EAC35" w14:textId="5A4107F6" w:rsidR="007A1C8B" w:rsidRPr="007A1C8B" w:rsidRDefault="007A1C8B" w:rsidP="007A1C8B">
            <w:pPr>
              <w:jc w:val="center"/>
              <w:rPr>
                <w:b/>
                <w:bCs/>
                <w:sz w:val="16"/>
                <w:szCs w:val="16"/>
              </w:rPr>
            </w:pPr>
            <w:r w:rsidRPr="007A1C8B">
              <w:rPr>
                <w:b/>
                <w:bCs/>
                <w:sz w:val="16"/>
                <w:szCs w:val="16"/>
              </w:rPr>
              <w:t>60.7</w:t>
            </w:r>
          </w:p>
        </w:tc>
      </w:tr>
      <w:tr w:rsidR="007A1C8B" w:rsidRPr="003615ED" w14:paraId="19DC81C8" w14:textId="433172ED" w:rsidTr="003742E5">
        <w:trPr>
          <w:jc w:val="center"/>
        </w:trPr>
        <w:tc>
          <w:tcPr>
            <w:tcW w:w="1080" w:type="dxa"/>
            <w:hideMark/>
          </w:tcPr>
          <w:p w14:paraId="603BB75A" w14:textId="77777777" w:rsidR="007A1C8B" w:rsidRPr="003615ED" w:rsidRDefault="007A1C8B" w:rsidP="007A1C8B">
            <w:pPr>
              <w:rPr>
                <w:color w:val="1F1F1F"/>
                <w:sz w:val="18"/>
                <w:szCs w:val="18"/>
              </w:rPr>
            </w:pPr>
            <w:r w:rsidRPr="003615ED">
              <w:rPr>
                <w:color w:val="1F1F1F"/>
                <w:sz w:val="18"/>
                <w:szCs w:val="18"/>
                <w:bdr w:val="none" w:sz="0" w:space="0" w:color="auto" w:frame="1"/>
              </w:rPr>
              <w:t>Gampaha</w:t>
            </w:r>
          </w:p>
        </w:tc>
        <w:tc>
          <w:tcPr>
            <w:tcW w:w="900" w:type="dxa"/>
            <w:hideMark/>
          </w:tcPr>
          <w:p w14:paraId="6DF5DEDE" w14:textId="118EAF7D" w:rsidR="007A1C8B" w:rsidRPr="007A1C8B" w:rsidRDefault="007A1C8B" w:rsidP="007A1C8B">
            <w:pPr>
              <w:jc w:val="center"/>
              <w:rPr>
                <w:color w:val="1F1F1F"/>
                <w:sz w:val="16"/>
                <w:szCs w:val="16"/>
              </w:rPr>
            </w:pPr>
            <w:r w:rsidRPr="007A1C8B">
              <w:rPr>
                <w:sz w:val="16"/>
                <w:szCs w:val="16"/>
              </w:rPr>
              <w:t>120</w:t>
            </w:r>
          </w:p>
        </w:tc>
        <w:tc>
          <w:tcPr>
            <w:tcW w:w="815" w:type="dxa"/>
            <w:hideMark/>
          </w:tcPr>
          <w:p w14:paraId="0C73EF6D" w14:textId="48A1EA1D" w:rsidR="007A1C8B" w:rsidRPr="007A1C8B" w:rsidRDefault="007A1C8B" w:rsidP="007A1C8B">
            <w:pPr>
              <w:jc w:val="center"/>
              <w:rPr>
                <w:color w:val="1F1F1F"/>
                <w:sz w:val="16"/>
                <w:szCs w:val="16"/>
              </w:rPr>
            </w:pPr>
            <w:r w:rsidRPr="007A1C8B">
              <w:rPr>
                <w:sz w:val="16"/>
                <w:szCs w:val="16"/>
              </w:rPr>
              <w:t>2062</w:t>
            </w:r>
          </w:p>
        </w:tc>
        <w:tc>
          <w:tcPr>
            <w:tcW w:w="720" w:type="dxa"/>
            <w:hideMark/>
          </w:tcPr>
          <w:p w14:paraId="56B4D6FA" w14:textId="069F2FCF" w:rsidR="007A1C8B" w:rsidRPr="007A1C8B" w:rsidRDefault="007A1C8B" w:rsidP="007A1C8B">
            <w:pPr>
              <w:jc w:val="center"/>
              <w:rPr>
                <w:color w:val="1F1F1F"/>
                <w:sz w:val="16"/>
                <w:szCs w:val="16"/>
              </w:rPr>
            </w:pPr>
            <w:r w:rsidRPr="007A1C8B">
              <w:rPr>
                <w:sz w:val="16"/>
                <w:szCs w:val="16"/>
              </w:rPr>
              <w:t>685</w:t>
            </w:r>
          </w:p>
        </w:tc>
        <w:tc>
          <w:tcPr>
            <w:tcW w:w="1097" w:type="dxa"/>
            <w:hideMark/>
          </w:tcPr>
          <w:p w14:paraId="72A81F5E" w14:textId="23F9C070" w:rsidR="007A1C8B" w:rsidRPr="007A1C8B" w:rsidRDefault="007A1C8B" w:rsidP="007A1C8B">
            <w:pPr>
              <w:jc w:val="center"/>
              <w:rPr>
                <w:color w:val="1F1F1F"/>
                <w:sz w:val="16"/>
                <w:szCs w:val="16"/>
              </w:rPr>
            </w:pPr>
            <w:r w:rsidRPr="007A1C8B">
              <w:rPr>
                <w:sz w:val="16"/>
                <w:szCs w:val="16"/>
              </w:rPr>
              <w:t>75.1</w:t>
            </w:r>
          </w:p>
        </w:tc>
        <w:tc>
          <w:tcPr>
            <w:tcW w:w="793" w:type="dxa"/>
            <w:hideMark/>
          </w:tcPr>
          <w:p w14:paraId="36C83E3A" w14:textId="5EDC9D92" w:rsidR="007A1C8B" w:rsidRPr="007A1C8B" w:rsidRDefault="007A1C8B" w:rsidP="007A1C8B">
            <w:pPr>
              <w:jc w:val="center"/>
              <w:rPr>
                <w:color w:val="1F1F1F"/>
                <w:sz w:val="16"/>
                <w:szCs w:val="16"/>
              </w:rPr>
            </w:pPr>
            <w:r w:rsidRPr="007A1C8B">
              <w:rPr>
                <w:sz w:val="16"/>
                <w:szCs w:val="16"/>
              </w:rPr>
              <w:t>822</w:t>
            </w:r>
          </w:p>
        </w:tc>
        <w:tc>
          <w:tcPr>
            <w:tcW w:w="720" w:type="dxa"/>
            <w:hideMark/>
          </w:tcPr>
          <w:p w14:paraId="3B081242" w14:textId="5095E572" w:rsidR="007A1C8B" w:rsidRPr="007A1C8B" w:rsidRDefault="007A1C8B" w:rsidP="007A1C8B">
            <w:pPr>
              <w:jc w:val="center"/>
              <w:rPr>
                <w:color w:val="1F1F1F"/>
                <w:sz w:val="16"/>
                <w:szCs w:val="16"/>
              </w:rPr>
            </w:pPr>
            <w:r w:rsidRPr="007A1C8B">
              <w:rPr>
                <w:sz w:val="16"/>
                <w:szCs w:val="16"/>
              </w:rPr>
              <w:t>252</w:t>
            </w:r>
          </w:p>
        </w:tc>
        <w:tc>
          <w:tcPr>
            <w:tcW w:w="1080" w:type="dxa"/>
            <w:hideMark/>
          </w:tcPr>
          <w:p w14:paraId="3FB149FD" w14:textId="21902679" w:rsidR="007A1C8B" w:rsidRPr="007A1C8B" w:rsidRDefault="007A1C8B" w:rsidP="007A1C8B">
            <w:pPr>
              <w:jc w:val="center"/>
              <w:rPr>
                <w:color w:val="1F1F1F"/>
                <w:sz w:val="16"/>
                <w:szCs w:val="16"/>
              </w:rPr>
            </w:pPr>
            <w:r w:rsidRPr="007A1C8B">
              <w:rPr>
                <w:sz w:val="16"/>
                <w:szCs w:val="16"/>
              </w:rPr>
              <w:t>76.5</w:t>
            </w:r>
          </w:p>
        </w:tc>
        <w:tc>
          <w:tcPr>
            <w:tcW w:w="810" w:type="dxa"/>
            <w:hideMark/>
          </w:tcPr>
          <w:p w14:paraId="0F704ADA" w14:textId="55BDADF0" w:rsidR="007A1C8B" w:rsidRPr="007A1C8B" w:rsidRDefault="007A1C8B" w:rsidP="007A1C8B">
            <w:pPr>
              <w:jc w:val="center"/>
              <w:rPr>
                <w:color w:val="1F1F1F"/>
                <w:sz w:val="16"/>
                <w:szCs w:val="16"/>
              </w:rPr>
            </w:pPr>
            <w:r w:rsidRPr="007A1C8B">
              <w:rPr>
                <w:sz w:val="16"/>
                <w:szCs w:val="16"/>
              </w:rPr>
              <w:t>115</w:t>
            </w:r>
          </w:p>
        </w:tc>
        <w:tc>
          <w:tcPr>
            <w:tcW w:w="805" w:type="dxa"/>
            <w:hideMark/>
          </w:tcPr>
          <w:p w14:paraId="61F43BCD" w14:textId="68C6C5BF" w:rsidR="007A1C8B" w:rsidRPr="007A1C8B" w:rsidRDefault="007A1C8B" w:rsidP="007A1C8B">
            <w:pPr>
              <w:jc w:val="center"/>
              <w:rPr>
                <w:color w:val="1F1F1F"/>
                <w:sz w:val="16"/>
                <w:szCs w:val="16"/>
              </w:rPr>
            </w:pPr>
            <w:r w:rsidRPr="007A1C8B">
              <w:rPr>
                <w:sz w:val="16"/>
                <w:szCs w:val="16"/>
              </w:rPr>
              <w:t>20</w:t>
            </w:r>
          </w:p>
        </w:tc>
        <w:tc>
          <w:tcPr>
            <w:tcW w:w="905" w:type="dxa"/>
            <w:hideMark/>
          </w:tcPr>
          <w:p w14:paraId="71A7008F" w14:textId="2C9D305E" w:rsidR="007A1C8B" w:rsidRPr="007A1C8B" w:rsidRDefault="007A1C8B" w:rsidP="007A1C8B">
            <w:pPr>
              <w:jc w:val="center"/>
              <w:rPr>
                <w:color w:val="1F1F1F"/>
                <w:sz w:val="16"/>
                <w:szCs w:val="16"/>
              </w:rPr>
            </w:pPr>
            <w:r w:rsidRPr="007A1C8B">
              <w:rPr>
                <w:sz w:val="16"/>
                <w:szCs w:val="16"/>
              </w:rPr>
              <w:t>13.9</w:t>
            </w:r>
          </w:p>
        </w:tc>
        <w:tc>
          <w:tcPr>
            <w:tcW w:w="715" w:type="dxa"/>
            <w:hideMark/>
          </w:tcPr>
          <w:p w14:paraId="2ECD6D07" w14:textId="255542EB" w:rsidR="007A1C8B" w:rsidRPr="007A1C8B" w:rsidRDefault="007A1C8B" w:rsidP="007A1C8B">
            <w:pPr>
              <w:jc w:val="center"/>
              <w:rPr>
                <w:color w:val="1F1F1F"/>
                <w:sz w:val="16"/>
                <w:szCs w:val="16"/>
              </w:rPr>
            </w:pPr>
            <w:r w:rsidRPr="007A1C8B">
              <w:rPr>
                <w:sz w:val="16"/>
                <w:szCs w:val="16"/>
              </w:rPr>
              <w:t>7.9</w:t>
            </w:r>
          </w:p>
        </w:tc>
        <w:tc>
          <w:tcPr>
            <w:tcW w:w="990" w:type="dxa"/>
          </w:tcPr>
          <w:p w14:paraId="5B12C9BC" w14:textId="0BDB601B" w:rsidR="007A1C8B" w:rsidRPr="007A1C8B" w:rsidRDefault="007A1C8B" w:rsidP="007A1C8B">
            <w:pPr>
              <w:jc w:val="center"/>
              <w:rPr>
                <w:b/>
                <w:bCs/>
                <w:sz w:val="16"/>
                <w:szCs w:val="16"/>
              </w:rPr>
            </w:pPr>
            <w:r w:rsidRPr="007A1C8B">
              <w:rPr>
                <w:b/>
                <w:bCs/>
                <w:sz w:val="16"/>
                <w:szCs w:val="16"/>
              </w:rPr>
              <w:t>85.2</w:t>
            </w:r>
          </w:p>
        </w:tc>
      </w:tr>
      <w:tr w:rsidR="007A1C8B" w:rsidRPr="003615ED" w14:paraId="62FDB163" w14:textId="7AD210C1" w:rsidTr="003742E5">
        <w:trPr>
          <w:jc w:val="center"/>
        </w:trPr>
        <w:tc>
          <w:tcPr>
            <w:tcW w:w="1080" w:type="dxa"/>
            <w:hideMark/>
          </w:tcPr>
          <w:p w14:paraId="3B6BA023" w14:textId="77777777" w:rsidR="007A1C8B" w:rsidRPr="003615ED" w:rsidRDefault="007A1C8B" w:rsidP="007A1C8B">
            <w:pPr>
              <w:rPr>
                <w:color w:val="1F1F1F"/>
                <w:sz w:val="18"/>
                <w:szCs w:val="18"/>
              </w:rPr>
            </w:pPr>
            <w:r w:rsidRPr="003615ED">
              <w:rPr>
                <w:color w:val="1F1F1F"/>
                <w:sz w:val="18"/>
                <w:szCs w:val="18"/>
                <w:bdr w:val="none" w:sz="0" w:space="0" w:color="auto" w:frame="1"/>
              </w:rPr>
              <w:t>Jaffna</w:t>
            </w:r>
          </w:p>
        </w:tc>
        <w:tc>
          <w:tcPr>
            <w:tcW w:w="900" w:type="dxa"/>
            <w:hideMark/>
          </w:tcPr>
          <w:p w14:paraId="2AEB2752" w14:textId="29EF124C" w:rsidR="007A1C8B" w:rsidRPr="007A1C8B" w:rsidRDefault="007A1C8B" w:rsidP="007A1C8B">
            <w:pPr>
              <w:jc w:val="center"/>
              <w:rPr>
                <w:color w:val="1F1F1F"/>
                <w:sz w:val="16"/>
                <w:szCs w:val="16"/>
              </w:rPr>
            </w:pPr>
            <w:r w:rsidRPr="007A1C8B">
              <w:rPr>
                <w:sz w:val="16"/>
                <w:szCs w:val="16"/>
              </w:rPr>
              <w:t>24</w:t>
            </w:r>
          </w:p>
        </w:tc>
        <w:tc>
          <w:tcPr>
            <w:tcW w:w="815" w:type="dxa"/>
            <w:hideMark/>
          </w:tcPr>
          <w:p w14:paraId="1A504F01" w14:textId="3F5850EB" w:rsidR="007A1C8B" w:rsidRPr="007A1C8B" w:rsidRDefault="007A1C8B" w:rsidP="007A1C8B">
            <w:pPr>
              <w:jc w:val="center"/>
              <w:rPr>
                <w:color w:val="1F1F1F"/>
                <w:sz w:val="16"/>
                <w:szCs w:val="16"/>
              </w:rPr>
            </w:pPr>
            <w:r w:rsidRPr="007A1C8B">
              <w:rPr>
                <w:sz w:val="16"/>
                <w:szCs w:val="16"/>
              </w:rPr>
              <w:t>1235</w:t>
            </w:r>
          </w:p>
        </w:tc>
        <w:tc>
          <w:tcPr>
            <w:tcW w:w="720" w:type="dxa"/>
            <w:hideMark/>
          </w:tcPr>
          <w:p w14:paraId="15F3A784" w14:textId="3A25251B" w:rsidR="007A1C8B" w:rsidRPr="007A1C8B" w:rsidRDefault="007A1C8B" w:rsidP="007A1C8B">
            <w:pPr>
              <w:jc w:val="center"/>
              <w:rPr>
                <w:color w:val="1F1F1F"/>
                <w:sz w:val="16"/>
                <w:szCs w:val="16"/>
              </w:rPr>
            </w:pPr>
            <w:r w:rsidRPr="007A1C8B">
              <w:rPr>
                <w:sz w:val="16"/>
                <w:szCs w:val="16"/>
              </w:rPr>
              <w:t>802</w:t>
            </w:r>
          </w:p>
        </w:tc>
        <w:tc>
          <w:tcPr>
            <w:tcW w:w="1097" w:type="dxa"/>
            <w:hideMark/>
          </w:tcPr>
          <w:p w14:paraId="3F6E37BD" w14:textId="3E0D5F91" w:rsidR="007A1C8B" w:rsidRPr="007A1C8B" w:rsidRDefault="007A1C8B" w:rsidP="007A1C8B">
            <w:pPr>
              <w:jc w:val="center"/>
              <w:rPr>
                <w:color w:val="1F1F1F"/>
                <w:sz w:val="16"/>
                <w:szCs w:val="16"/>
              </w:rPr>
            </w:pPr>
            <w:r w:rsidRPr="007A1C8B">
              <w:rPr>
                <w:sz w:val="16"/>
                <w:szCs w:val="16"/>
              </w:rPr>
              <w:t>60.6</w:t>
            </w:r>
          </w:p>
        </w:tc>
        <w:tc>
          <w:tcPr>
            <w:tcW w:w="793" w:type="dxa"/>
            <w:hideMark/>
          </w:tcPr>
          <w:p w14:paraId="025D1DC3" w14:textId="3220C48D" w:rsidR="007A1C8B" w:rsidRPr="007A1C8B" w:rsidRDefault="007A1C8B" w:rsidP="007A1C8B">
            <w:pPr>
              <w:jc w:val="center"/>
              <w:rPr>
                <w:color w:val="1F1F1F"/>
                <w:sz w:val="16"/>
                <w:szCs w:val="16"/>
              </w:rPr>
            </w:pPr>
            <w:r w:rsidRPr="007A1C8B">
              <w:rPr>
                <w:sz w:val="16"/>
                <w:szCs w:val="16"/>
              </w:rPr>
              <w:t>143</w:t>
            </w:r>
          </w:p>
        </w:tc>
        <w:tc>
          <w:tcPr>
            <w:tcW w:w="720" w:type="dxa"/>
            <w:hideMark/>
          </w:tcPr>
          <w:p w14:paraId="494B7BFC" w14:textId="2E2131D6" w:rsidR="007A1C8B" w:rsidRPr="007A1C8B" w:rsidRDefault="007A1C8B" w:rsidP="007A1C8B">
            <w:pPr>
              <w:jc w:val="center"/>
              <w:rPr>
                <w:color w:val="1F1F1F"/>
                <w:sz w:val="16"/>
                <w:szCs w:val="16"/>
              </w:rPr>
            </w:pPr>
            <w:r w:rsidRPr="007A1C8B">
              <w:rPr>
                <w:sz w:val="16"/>
                <w:szCs w:val="16"/>
              </w:rPr>
              <w:t>67</w:t>
            </w:r>
          </w:p>
        </w:tc>
        <w:tc>
          <w:tcPr>
            <w:tcW w:w="1080" w:type="dxa"/>
            <w:hideMark/>
          </w:tcPr>
          <w:p w14:paraId="6FE04A96" w14:textId="4A81A5B3" w:rsidR="007A1C8B" w:rsidRPr="007A1C8B" w:rsidRDefault="007A1C8B" w:rsidP="007A1C8B">
            <w:pPr>
              <w:jc w:val="center"/>
              <w:rPr>
                <w:color w:val="1F1F1F"/>
                <w:sz w:val="16"/>
                <w:szCs w:val="16"/>
              </w:rPr>
            </w:pPr>
            <w:r w:rsidRPr="007A1C8B">
              <w:rPr>
                <w:sz w:val="16"/>
                <w:szCs w:val="16"/>
              </w:rPr>
              <w:t>68.1</w:t>
            </w:r>
          </w:p>
        </w:tc>
        <w:tc>
          <w:tcPr>
            <w:tcW w:w="810" w:type="dxa"/>
            <w:hideMark/>
          </w:tcPr>
          <w:p w14:paraId="0A9A5DBF" w14:textId="52F4F0C2" w:rsidR="007A1C8B" w:rsidRPr="007A1C8B" w:rsidRDefault="007A1C8B" w:rsidP="007A1C8B">
            <w:pPr>
              <w:jc w:val="center"/>
              <w:rPr>
                <w:color w:val="1F1F1F"/>
                <w:sz w:val="16"/>
                <w:szCs w:val="16"/>
              </w:rPr>
            </w:pPr>
            <w:r w:rsidRPr="007A1C8B">
              <w:rPr>
                <w:sz w:val="16"/>
                <w:szCs w:val="16"/>
              </w:rPr>
              <w:t>36</w:t>
            </w:r>
          </w:p>
        </w:tc>
        <w:tc>
          <w:tcPr>
            <w:tcW w:w="805" w:type="dxa"/>
            <w:hideMark/>
          </w:tcPr>
          <w:p w14:paraId="5F0B2899" w14:textId="19C535F2" w:rsidR="007A1C8B" w:rsidRPr="007A1C8B" w:rsidRDefault="007A1C8B" w:rsidP="007A1C8B">
            <w:pPr>
              <w:jc w:val="center"/>
              <w:rPr>
                <w:color w:val="1F1F1F"/>
                <w:sz w:val="16"/>
                <w:szCs w:val="16"/>
              </w:rPr>
            </w:pPr>
            <w:r w:rsidRPr="007A1C8B">
              <w:rPr>
                <w:sz w:val="16"/>
                <w:szCs w:val="16"/>
              </w:rPr>
              <w:t>10</w:t>
            </w:r>
          </w:p>
        </w:tc>
        <w:tc>
          <w:tcPr>
            <w:tcW w:w="905" w:type="dxa"/>
            <w:hideMark/>
          </w:tcPr>
          <w:p w14:paraId="4A2168F9" w14:textId="3DB334DE" w:rsidR="007A1C8B" w:rsidRPr="007A1C8B" w:rsidRDefault="007A1C8B" w:rsidP="007A1C8B">
            <w:pPr>
              <w:jc w:val="center"/>
              <w:rPr>
                <w:color w:val="1F1F1F"/>
                <w:sz w:val="16"/>
                <w:szCs w:val="16"/>
              </w:rPr>
            </w:pPr>
            <w:r w:rsidRPr="007A1C8B">
              <w:rPr>
                <w:sz w:val="16"/>
                <w:szCs w:val="16"/>
              </w:rPr>
              <w:t>25.2</w:t>
            </w:r>
          </w:p>
        </w:tc>
        <w:tc>
          <w:tcPr>
            <w:tcW w:w="715" w:type="dxa"/>
            <w:hideMark/>
          </w:tcPr>
          <w:p w14:paraId="7EC4E7CD" w14:textId="1F000C15" w:rsidR="007A1C8B" w:rsidRPr="007A1C8B" w:rsidRDefault="007A1C8B" w:rsidP="007A1C8B">
            <w:pPr>
              <w:jc w:val="center"/>
              <w:rPr>
                <w:color w:val="1F1F1F"/>
                <w:sz w:val="16"/>
                <w:szCs w:val="16"/>
              </w:rPr>
            </w:pPr>
            <w:r w:rsidRPr="007A1C8B">
              <w:rPr>
                <w:sz w:val="16"/>
                <w:szCs w:val="16"/>
              </w:rPr>
              <w:t>14.9</w:t>
            </w:r>
          </w:p>
        </w:tc>
        <w:tc>
          <w:tcPr>
            <w:tcW w:w="990" w:type="dxa"/>
          </w:tcPr>
          <w:p w14:paraId="67D9A5AF" w14:textId="7A02A952" w:rsidR="007A1C8B" w:rsidRPr="007A1C8B" w:rsidRDefault="007A1C8B" w:rsidP="007A1C8B">
            <w:pPr>
              <w:jc w:val="center"/>
              <w:rPr>
                <w:b/>
                <w:bCs/>
                <w:sz w:val="16"/>
                <w:szCs w:val="16"/>
              </w:rPr>
            </w:pPr>
            <w:r w:rsidRPr="007A1C8B">
              <w:rPr>
                <w:b/>
                <w:bCs/>
                <w:sz w:val="16"/>
                <w:szCs w:val="16"/>
              </w:rPr>
              <w:t>78.3</w:t>
            </w:r>
          </w:p>
        </w:tc>
      </w:tr>
      <w:tr w:rsidR="007A1C8B" w:rsidRPr="003615ED" w14:paraId="51E51479" w14:textId="23B6283B" w:rsidTr="003742E5">
        <w:trPr>
          <w:jc w:val="center"/>
        </w:trPr>
        <w:tc>
          <w:tcPr>
            <w:tcW w:w="1080" w:type="dxa"/>
            <w:hideMark/>
          </w:tcPr>
          <w:p w14:paraId="398AFDDB" w14:textId="77777777" w:rsidR="007A1C8B" w:rsidRPr="003615ED" w:rsidRDefault="007A1C8B" w:rsidP="007A1C8B">
            <w:pPr>
              <w:rPr>
                <w:color w:val="1F1F1F"/>
                <w:sz w:val="18"/>
                <w:szCs w:val="18"/>
              </w:rPr>
            </w:pPr>
            <w:r w:rsidRPr="003615ED">
              <w:rPr>
                <w:color w:val="1F1F1F"/>
                <w:sz w:val="18"/>
                <w:szCs w:val="18"/>
                <w:bdr w:val="none" w:sz="0" w:space="0" w:color="auto" w:frame="1"/>
              </w:rPr>
              <w:t>Kalutara</w:t>
            </w:r>
          </w:p>
        </w:tc>
        <w:tc>
          <w:tcPr>
            <w:tcW w:w="900" w:type="dxa"/>
            <w:hideMark/>
          </w:tcPr>
          <w:p w14:paraId="24397AB3" w14:textId="539DB6D0" w:rsidR="007A1C8B" w:rsidRPr="007A1C8B" w:rsidRDefault="007A1C8B" w:rsidP="007A1C8B">
            <w:pPr>
              <w:jc w:val="center"/>
              <w:rPr>
                <w:color w:val="1F1F1F"/>
                <w:sz w:val="16"/>
                <w:szCs w:val="16"/>
              </w:rPr>
            </w:pPr>
            <w:r w:rsidRPr="007A1C8B">
              <w:rPr>
                <w:sz w:val="16"/>
                <w:szCs w:val="16"/>
              </w:rPr>
              <w:t>59</w:t>
            </w:r>
          </w:p>
        </w:tc>
        <w:tc>
          <w:tcPr>
            <w:tcW w:w="815" w:type="dxa"/>
            <w:hideMark/>
          </w:tcPr>
          <w:p w14:paraId="4C24EB16" w14:textId="22180097" w:rsidR="007A1C8B" w:rsidRPr="007A1C8B" w:rsidRDefault="007A1C8B" w:rsidP="007A1C8B">
            <w:pPr>
              <w:jc w:val="center"/>
              <w:rPr>
                <w:color w:val="1F1F1F"/>
                <w:sz w:val="16"/>
                <w:szCs w:val="16"/>
              </w:rPr>
            </w:pPr>
            <w:r w:rsidRPr="007A1C8B">
              <w:rPr>
                <w:sz w:val="16"/>
                <w:szCs w:val="16"/>
              </w:rPr>
              <w:t>514</w:t>
            </w:r>
          </w:p>
        </w:tc>
        <w:tc>
          <w:tcPr>
            <w:tcW w:w="720" w:type="dxa"/>
            <w:hideMark/>
          </w:tcPr>
          <w:p w14:paraId="3F5B7E76" w14:textId="0DDB5C34" w:rsidR="007A1C8B" w:rsidRPr="007A1C8B" w:rsidRDefault="007A1C8B" w:rsidP="007A1C8B">
            <w:pPr>
              <w:jc w:val="center"/>
              <w:rPr>
                <w:color w:val="1F1F1F"/>
                <w:sz w:val="16"/>
                <w:szCs w:val="16"/>
              </w:rPr>
            </w:pPr>
            <w:r w:rsidRPr="007A1C8B">
              <w:rPr>
                <w:sz w:val="16"/>
                <w:szCs w:val="16"/>
              </w:rPr>
              <w:t>447</w:t>
            </w:r>
          </w:p>
        </w:tc>
        <w:tc>
          <w:tcPr>
            <w:tcW w:w="1097" w:type="dxa"/>
            <w:hideMark/>
          </w:tcPr>
          <w:p w14:paraId="340F5C0B" w14:textId="336CE4F9" w:rsidR="007A1C8B" w:rsidRPr="007A1C8B" w:rsidRDefault="007A1C8B" w:rsidP="007A1C8B">
            <w:pPr>
              <w:jc w:val="center"/>
              <w:rPr>
                <w:color w:val="1F1F1F"/>
                <w:sz w:val="16"/>
                <w:szCs w:val="16"/>
              </w:rPr>
            </w:pPr>
            <w:r w:rsidRPr="007A1C8B">
              <w:rPr>
                <w:sz w:val="16"/>
                <w:szCs w:val="16"/>
              </w:rPr>
              <w:t>53.5</w:t>
            </w:r>
          </w:p>
        </w:tc>
        <w:tc>
          <w:tcPr>
            <w:tcW w:w="793" w:type="dxa"/>
            <w:hideMark/>
          </w:tcPr>
          <w:p w14:paraId="4C4AF068" w14:textId="6ABE9E63" w:rsidR="007A1C8B" w:rsidRPr="007A1C8B" w:rsidRDefault="007A1C8B" w:rsidP="007A1C8B">
            <w:pPr>
              <w:jc w:val="center"/>
              <w:rPr>
                <w:color w:val="1F1F1F"/>
                <w:sz w:val="16"/>
                <w:szCs w:val="16"/>
              </w:rPr>
            </w:pPr>
            <w:r w:rsidRPr="007A1C8B">
              <w:rPr>
                <w:sz w:val="16"/>
                <w:szCs w:val="16"/>
              </w:rPr>
              <w:t>231</w:t>
            </w:r>
          </w:p>
        </w:tc>
        <w:tc>
          <w:tcPr>
            <w:tcW w:w="720" w:type="dxa"/>
            <w:hideMark/>
          </w:tcPr>
          <w:p w14:paraId="71F59A86" w14:textId="2DCF3E6B" w:rsidR="007A1C8B" w:rsidRPr="007A1C8B" w:rsidRDefault="007A1C8B" w:rsidP="007A1C8B">
            <w:pPr>
              <w:jc w:val="center"/>
              <w:rPr>
                <w:color w:val="1F1F1F"/>
                <w:sz w:val="16"/>
                <w:szCs w:val="16"/>
              </w:rPr>
            </w:pPr>
            <w:r w:rsidRPr="007A1C8B">
              <w:rPr>
                <w:sz w:val="16"/>
                <w:szCs w:val="16"/>
              </w:rPr>
              <w:t>191</w:t>
            </w:r>
          </w:p>
        </w:tc>
        <w:tc>
          <w:tcPr>
            <w:tcW w:w="1080" w:type="dxa"/>
            <w:hideMark/>
          </w:tcPr>
          <w:p w14:paraId="7635F13A" w14:textId="029A4B6B" w:rsidR="007A1C8B" w:rsidRPr="007A1C8B" w:rsidRDefault="007A1C8B" w:rsidP="007A1C8B">
            <w:pPr>
              <w:jc w:val="center"/>
              <w:rPr>
                <w:color w:val="1F1F1F"/>
                <w:sz w:val="16"/>
                <w:szCs w:val="16"/>
              </w:rPr>
            </w:pPr>
            <w:r w:rsidRPr="007A1C8B">
              <w:rPr>
                <w:sz w:val="16"/>
                <w:szCs w:val="16"/>
              </w:rPr>
              <w:t>54.7</w:t>
            </w:r>
          </w:p>
        </w:tc>
        <w:tc>
          <w:tcPr>
            <w:tcW w:w="810" w:type="dxa"/>
            <w:hideMark/>
          </w:tcPr>
          <w:p w14:paraId="0E742327" w14:textId="5FDC3687" w:rsidR="007A1C8B" w:rsidRPr="007A1C8B" w:rsidRDefault="007A1C8B" w:rsidP="007A1C8B">
            <w:pPr>
              <w:jc w:val="center"/>
              <w:rPr>
                <w:color w:val="1F1F1F"/>
                <w:sz w:val="16"/>
                <w:szCs w:val="16"/>
              </w:rPr>
            </w:pPr>
            <w:r w:rsidRPr="007A1C8B">
              <w:rPr>
                <w:sz w:val="16"/>
                <w:szCs w:val="16"/>
              </w:rPr>
              <w:t>66</w:t>
            </w:r>
          </w:p>
        </w:tc>
        <w:tc>
          <w:tcPr>
            <w:tcW w:w="805" w:type="dxa"/>
            <w:hideMark/>
          </w:tcPr>
          <w:p w14:paraId="187543FF" w14:textId="1E24BC07" w:rsidR="007A1C8B" w:rsidRPr="007A1C8B" w:rsidRDefault="007A1C8B" w:rsidP="007A1C8B">
            <w:pPr>
              <w:jc w:val="center"/>
              <w:rPr>
                <w:color w:val="1F1F1F"/>
                <w:sz w:val="16"/>
                <w:szCs w:val="16"/>
              </w:rPr>
            </w:pPr>
            <w:r w:rsidRPr="007A1C8B">
              <w:rPr>
                <w:sz w:val="16"/>
                <w:szCs w:val="16"/>
              </w:rPr>
              <w:t>41</w:t>
            </w:r>
          </w:p>
        </w:tc>
        <w:tc>
          <w:tcPr>
            <w:tcW w:w="905" w:type="dxa"/>
            <w:hideMark/>
          </w:tcPr>
          <w:p w14:paraId="65BE4349" w14:textId="024E0A00" w:rsidR="007A1C8B" w:rsidRPr="007A1C8B" w:rsidRDefault="007A1C8B" w:rsidP="007A1C8B">
            <w:pPr>
              <w:jc w:val="center"/>
              <w:rPr>
                <w:color w:val="1F1F1F"/>
                <w:sz w:val="16"/>
                <w:szCs w:val="16"/>
              </w:rPr>
            </w:pPr>
            <w:r w:rsidRPr="007A1C8B">
              <w:rPr>
                <w:sz w:val="16"/>
                <w:szCs w:val="16"/>
              </w:rPr>
              <w:t>28.6</w:t>
            </w:r>
          </w:p>
        </w:tc>
        <w:tc>
          <w:tcPr>
            <w:tcW w:w="715" w:type="dxa"/>
            <w:hideMark/>
          </w:tcPr>
          <w:p w14:paraId="4F282375" w14:textId="06E250FC" w:rsidR="007A1C8B" w:rsidRPr="007A1C8B" w:rsidRDefault="007A1C8B" w:rsidP="007A1C8B">
            <w:pPr>
              <w:jc w:val="center"/>
              <w:rPr>
                <w:color w:val="1F1F1F"/>
                <w:sz w:val="16"/>
                <w:szCs w:val="16"/>
              </w:rPr>
            </w:pPr>
            <w:r w:rsidRPr="007A1C8B">
              <w:rPr>
                <w:sz w:val="16"/>
                <w:szCs w:val="16"/>
              </w:rPr>
              <w:t>21.4</w:t>
            </w:r>
          </w:p>
        </w:tc>
        <w:tc>
          <w:tcPr>
            <w:tcW w:w="990" w:type="dxa"/>
          </w:tcPr>
          <w:p w14:paraId="1E322A5D" w14:textId="5326B3DC" w:rsidR="007A1C8B" w:rsidRPr="007A1C8B" w:rsidRDefault="007A1C8B" w:rsidP="007A1C8B">
            <w:pPr>
              <w:jc w:val="center"/>
              <w:rPr>
                <w:b/>
                <w:bCs/>
                <w:sz w:val="16"/>
                <w:szCs w:val="16"/>
              </w:rPr>
            </w:pPr>
            <w:r w:rsidRPr="007A1C8B">
              <w:rPr>
                <w:b/>
                <w:bCs/>
                <w:sz w:val="16"/>
                <w:szCs w:val="16"/>
              </w:rPr>
              <w:t>61.7</w:t>
            </w:r>
          </w:p>
        </w:tc>
      </w:tr>
      <w:tr w:rsidR="007A1C8B" w:rsidRPr="003615ED" w14:paraId="47E19CD5" w14:textId="058FFDD7" w:rsidTr="003742E5">
        <w:trPr>
          <w:jc w:val="center"/>
        </w:trPr>
        <w:tc>
          <w:tcPr>
            <w:tcW w:w="1080" w:type="dxa"/>
            <w:hideMark/>
          </w:tcPr>
          <w:p w14:paraId="5C4F3F0C" w14:textId="77777777" w:rsidR="007A1C8B" w:rsidRPr="003615ED" w:rsidRDefault="007A1C8B" w:rsidP="007A1C8B">
            <w:pPr>
              <w:rPr>
                <w:color w:val="1F1F1F"/>
                <w:sz w:val="18"/>
                <w:szCs w:val="18"/>
              </w:rPr>
            </w:pPr>
            <w:r w:rsidRPr="003615ED">
              <w:rPr>
                <w:color w:val="1F1F1F"/>
                <w:sz w:val="18"/>
                <w:szCs w:val="18"/>
                <w:bdr w:val="none" w:sz="0" w:space="0" w:color="auto" w:frame="1"/>
              </w:rPr>
              <w:t>Kandy</w:t>
            </w:r>
          </w:p>
        </w:tc>
        <w:tc>
          <w:tcPr>
            <w:tcW w:w="900" w:type="dxa"/>
            <w:hideMark/>
          </w:tcPr>
          <w:p w14:paraId="67328813" w14:textId="647B3528" w:rsidR="007A1C8B" w:rsidRPr="007A1C8B" w:rsidRDefault="007A1C8B" w:rsidP="007A1C8B">
            <w:pPr>
              <w:jc w:val="center"/>
              <w:rPr>
                <w:color w:val="1F1F1F"/>
                <w:sz w:val="16"/>
                <w:szCs w:val="16"/>
              </w:rPr>
            </w:pPr>
            <w:r w:rsidRPr="007A1C8B">
              <w:rPr>
                <w:sz w:val="16"/>
                <w:szCs w:val="16"/>
              </w:rPr>
              <w:t>36</w:t>
            </w:r>
          </w:p>
        </w:tc>
        <w:tc>
          <w:tcPr>
            <w:tcW w:w="815" w:type="dxa"/>
            <w:hideMark/>
          </w:tcPr>
          <w:p w14:paraId="189B1D24" w14:textId="7398F321" w:rsidR="007A1C8B" w:rsidRPr="007A1C8B" w:rsidRDefault="007A1C8B" w:rsidP="007A1C8B">
            <w:pPr>
              <w:jc w:val="center"/>
              <w:rPr>
                <w:color w:val="1F1F1F"/>
                <w:sz w:val="16"/>
                <w:szCs w:val="16"/>
              </w:rPr>
            </w:pPr>
            <w:r w:rsidRPr="007A1C8B">
              <w:rPr>
                <w:sz w:val="16"/>
                <w:szCs w:val="16"/>
              </w:rPr>
              <w:t>575</w:t>
            </w:r>
          </w:p>
        </w:tc>
        <w:tc>
          <w:tcPr>
            <w:tcW w:w="720" w:type="dxa"/>
            <w:hideMark/>
          </w:tcPr>
          <w:p w14:paraId="11B9B88F" w14:textId="4DB42E8D" w:rsidR="007A1C8B" w:rsidRPr="007A1C8B" w:rsidRDefault="007A1C8B" w:rsidP="007A1C8B">
            <w:pPr>
              <w:jc w:val="center"/>
              <w:rPr>
                <w:color w:val="1F1F1F"/>
                <w:sz w:val="16"/>
                <w:szCs w:val="16"/>
              </w:rPr>
            </w:pPr>
            <w:r w:rsidRPr="007A1C8B">
              <w:rPr>
                <w:sz w:val="16"/>
                <w:szCs w:val="16"/>
              </w:rPr>
              <w:t>330</w:t>
            </w:r>
          </w:p>
        </w:tc>
        <w:tc>
          <w:tcPr>
            <w:tcW w:w="1097" w:type="dxa"/>
            <w:hideMark/>
          </w:tcPr>
          <w:p w14:paraId="1CEA0E8F" w14:textId="146AB0EA" w:rsidR="007A1C8B" w:rsidRPr="007A1C8B" w:rsidRDefault="007A1C8B" w:rsidP="007A1C8B">
            <w:pPr>
              <w:jc w:val="center"/>
              <w:rPr>
                <w:color w:val="1F1F1F"/>
                <w:sz w:val="16"/>
                <w:szCs w:val="16"/>
              </w:rPr>
            </w:pPr>
            <w:r w:rsidRPr="007A1C8B">
              <w:rPr>
                <w:sz w:val="16"/>
                <w:szCs w:val="16"/>
              </w:rPr>
              <w:t>63.5</w:t>
            </w:r>
          </w:p>
        </w:tc>
        <w:tc>
          <w:tcPr>
            <w:tcW w:w="793" w:type="dxa"/>
            <w:hideMark/>
          </w:tcPr>
          <w:p w14:paraId="5A3D37CC" w14:textId="744BF25A" w:rsidR="007A1C8B" w:rsidRPr="007A1C8B" w:rsidRDefault="007A1C8B" w:rsidP="007A1C8B">
            <w:pPr>
              <w:jc w:val="center"/>
              <w:rPr>
                <w:color w:val="1F1F1F"/>
                <w:sz w:val="16"/>
                <w:szCs w:val="16"/>
              </w:rPr>
            </w:pPr>
            <w:r w:rsidRPr="007A1C8B">
              <w:rPr>
                <w:sz w:val="16"/>
                <w:szCs w:val="16"/>
              </w:rPr>
              <w:t>279</w:t>
            </w:r>
          </w:p>
        </w:tc>
        <w:tc>
          <w:tcPr>
            <w:tcW w:w="720" w:type="dxa"/>
            <w:hideMark/>
          </w:tcPr>
          <w:p w14:paraId="7992819F" w14:textId="209D6687" w:rsidR="007A1C8B" w:rsidRPr="007A1C8B" w:rsidRDefault="007A1C8B" w:rsidP="007A1C8B">
            <w:pPr>
              <w:jc w:val="center"/>
              <w:rPr>
                <w:color w:val="1F1F1F"/>
                <w:sz w:val="16"/>
                <w:szCs w:val="16"/>
              </w:rPr>
            </w:pPr>
            <w:r w:rsidRPr="007A1C8B">
              <w:rPr>
                <w:sz w:val="16"/>
                <w:szCs w:val="16"/>
              </w:rPr>
              <w:t>157</w:t>
            </w:r>
          </w:p>
        </w:tc>
        <w:tc>
          <w:tcPr>
            <w:tcW w:w="1080" w:type="dxa"/>
            <w:hideMark/>
          </w:tcPr>
          <w:p w14:paraId="04839BEA" w14:textId="51730ECD" w:rsidR="007A1C8B" w:rsidRPr="007A1C8B" w:rsidRDefault="007A1C8B" w:rsidP="007A1C8B">
            <w:pPr>
              <w:jc w:val="center"/>
              <w:rPr>
                <w:color w:val="1F1F1F"/>
                <w:sz w:val="16"/>
                <w:szCs w:val="16"/>
              </w:rPr>
            </w:pPr>
            <w:r w:rsidRPr="007A1C8B">
              <w:rPr>
                <w:sz w:val="16"/>
                <w:szCs w:val="16"/>
              </w:rPr>
              <w:t>63.9</w:t>
            </w:r>
          </w:p>
        </w:tc>
        <w:tc>
          <w:tcPr>
            <w:tcW w:w="810" w:type="dxa"/>
            <w:hideMark/>
          </w:tcPr>
          <w:p w14:paraId="480109BE" w14:textId="334982C1" w:rsidR="007A1C8B" w:rsidRPr="007A1C8B" w:rsidRDefault="007A1C8B" w:rsidP="007A1C8B">
            <w:pPr>
              <w:jc w:val="center"/>
              <w:rPr>
                <w:color w:val="1F1F1F"/>
                <w:sz w:val="16"/>
                <w:szCs w:val="16"/>
              </w:rPr>
            </w:pPr>
            <w:r w:rsidRPr="007A1C8B">
              <w:rPr>
                <w:sz w:val="16"/>
                <w:szCs w:val="16"/>
              </w:rPr>
              <w:t>39</w:t>
            </w:r>
          </w:p>
        </w:tc>
        <w:tc>
          <w:tcPr>
            <w:tcW w:w="805" w:type="dxa"/>
            <w:hideMark/>
          </w:tcPr>
          <w:p w14:paraId="6ADF9E87" w14:textId="262A0138" w:rsidR="007A1C8B" w:rsidRPr="007A1C8B" w:rsidRDefault="007A1C8B" w:rsidP="007A1C8B">
            <w:pPr>
              <w:jc w:val="center"/>
              <w:rPr>
                <w:color w:val="1F1F1F"/>
                <w:sz w:val="16"/>
                <w:szCs w:val="16"/>
              </w:rPr>
            </w:pPr>
            <w:r w:rsidRPr="007A1C8B">
              <w:rPr>
                <w:sz w:val="16"/>
                <w:szCs w:val="16"/>
              </w:rPr>
              <w:t>27</w:t>
            </w:r>
          </w:p>
        </w:tc>
        <w:tc>
          <w:tcPr>
            <w:tcW w:w="905" w:type="dxa"/>
            <w:hideMark/>
          </w:tcPr>
          <w:p w14:paraId="1FD19F73" w14:textId="347D8724" w:rsidR="007A1C8B" w:rsidRPr="007A1C8B" w:rsidRDefault="007A1C8B" w:rsidP="007A1C8B">
            <w:pPr>
              <w:jc w:val="center"/>
              <w:rPr>
                <w:color w:val="1F1F1F"/>
                <w:sz w:val="16"/>
                <w:szCs w:val="16"/>
              </w:rPr>
            </w:pPr>
            <w:r w:rsidRPr="007A1C8B">
              <w:rPr>
                <w:sz w:val="16"/>
                <w:szCs w:val="16"/>
              </w:rPr>
              <w:t>13.9</w:t>
            </w:r>
          </w:p>
        </w:tc>
        <w:tc>
          <w:tcPr>
            <w:tcW w:w="715" w:type="dxa"/>
            <w:hideMark/>
          </w:tcPr>
          <w:p w14:paraId="47DEC2BD" w14:textId="4EB63E57" w:rsidR="007A1C8B" w:rsidRPr="007A1C8B" w:rsidRDefault="007A1C8B" w:rsidP="007A1C8B">
            <w:pPr>
              <w:jc w:val="center"/>
              <w:rPr>
                <w:color w:val="1F1F1F"/>
                <w:sz w:val="16"/>
                <w:szCs w:val="16"/>
              </w:rPr>
            </w:pPr>
            <w:r w:rsidRPr="007A1C8B">
              <w:rPr>
                <w:sz w:val="16"/>
                <w:szCs w:val="16"/>
              </w:rPr>
              <w:t>17.1</w:t>
            </w:r>
          </w:p>
        </w:tc>
        <w:tc>
          <w:tcPr>
            <w:tcW w:w="990" w:type="dxa"/>
          </w:tcPr>
          <w:p w14:paraId="0009E299" w14:textId="0ECEEF8B" w:rsidR="007A1C8B" w:rsidRPr="007A1C8B" w:rsidRDefault="007A1C8B" w:rsidP="007A1C8B">
            <w:pPr>
              <w:jc w:val="center"/>
              <w:rPr>
                <w:b/>
                <w:bCs/>
                <w:sz w:val="16"/>
                <w:szCs w:val="16"/>
              </w:rPr>
            </w:pPr>
            <w:r w:rsidRPr="007A1C8B">
              <w:rPr>
                <w:b/>
                <w:bCs/>
                <w:sz w:val="16"/>
                <w:szCs w:val="16"/>
              </w:rPr>
              <w:t>59.1</w:t>
            </w:r>
          </w:p>
        </w:tc>
      </w:tr>
      <w:tr w:rsidR="007A1C8B" w:rsidRPr="003615ED" w14:paraId="7722D74F" w14:textId="1646B19F" w:rsidTr="003742E5">
        <w:trPr>
          <w:jc w:val="center"/>
        </w:trPr>
        <w:tc>
          <w:tcPr>
            <w:tcW w:w="1080" w:type="dxa"/>
            <w:hideMark/>
          </w:tcPr>
          <w:p w14:paraId="354A7EDB" w14:textId="77777777" w:rsidR="007A1C8B" w:rsidRPr="003615ED" w:rsidRDefault="007A1C8B" w:rsidP="007A1C8B">
            <w:pPr>
              <w:rPr>
                <w:color w:val="1F1F1F"/>
                <w:sz w:val="18"/>
                <w:szCs w:val="18"/>
              </w:rPr>
            </w:pPr>
            <w:r w:rsidRPr="003615ED">
              <w:rPr>
                <w:color w:val="1F1F1F"/>
                <w:sz w:val="18"/>
                <w:szCs w:val="18"/>
                <w:bdr w:val="none" w:sz="0" w:space="0" w:color="auto" w:frame="1"/>
              </w:rPr>
              <w:t>Kurunegala</w:t>
            </w:r>
          </w:p>
        </w:tc>
        <w:tc>
          <w:tcPr>
            <w:tcW w:w="900" w:type="dxa"/>
            <w:hideMark/>
          </w:tcPr>
          <w:p w14:paraId="05F16B7B" w14:textId="65B33970" w:rsidR="007A1C8B" w:rsidRPr="007A1C8B" w:rsidRDefault="007A1C8B" w:rsidP="007A1C8B">
            <w:pPr>
              <w:jc w:val="center"/>
              <w:rPr>
                <w:color w:val="1F1F1F"/>
                <w:sz w:val="16"/>
                <w:szCs w:val="16"/>
              </w:rPr>
            </w:pPr>
            <w:r w:rsidRPr="007A1C8B">
              <w:rPr>
                <w:sz w:val="16"/>
                <w:szCs w:val="16"/>
              </w:rPr>
              <w:t>7</w:t>
            </w:r>
          </w:p>
        </w:tc>
        <w:tc>
          <w:tcPr>
            <w:tcW w:w="815" w:type="dxa"/>
            <w:hideMark/>
          </w:tcPr>
          <w:p w14:paraId="19B511F2" w14:textId="5C11C4BE" w:rsidR="007A1C8B" w:rsidRPr="007A1C8B" w:rsidRDefault="007A1C8B" w:rsidP="007A1C8B">
            <w:pPr>
              <w:jc w:val="center"/>
              <w:rPr>
                <w:color w:val="1F1F1F"/>
                <w:sz w:val="16"/>
                <w:szCs w:val="16"/>
              </w:rPr>
            </w:pPr>
            <w:r w:rsidRPr="007A1C8B">
              <w:rPr>
                <w:sz w:val="16"/>
                <w:szCs w:val="16"/>
              </w:rPr>
              <w:t>33</w:t>
            </w:r>
          </w:p>
        </w:tc>
        <w:tc>
          <w:tcPr>
            <w:tcW w:w="720" w:type="dxa"/>
            <w:hideMark/>
          </w:tcPr>
          <w:p w14:paraId="527E3699" w14:textId="30B58EA8" w:rsidR="007A1C8B" w:rsidRPr="007A1C8B" w:rsidRDefault="007A1C8B" w:rsidP="007A1C8B">
            <w:pPr>
              <w:jc w:val="center"/>
              <w:rPr>
                <w:color w:val="1F1F1F"/>
                <w:sz w:val="16"/>
                <w:szCs w:val="16"/>
              </w:rPr>
            </w:pPr>
            <w:r w:rsidRPr="007A1C8B">
              <w:rPr>
                <w:sz w:val="16"/>
                <w:szCs w:val="16"/>
              </w:rPr>
              <w:t>43</w:t>
            </w:r>
          </w:p>
        </w:tc>
        <w:tc>
          <w:tcPr>
            <w:tcW w:w="1097" w:type="dxa"/>
            <w:hideMark/>
          </w:tcPr>
          <w:p w14:paraId="4F016293" w14:textId="402E9082" w:rsidR="007A1C8B" w:rsidRPr="007A1C8B" w:rsidRDefault="007A1C8B" w:rsidP="007A1C8B">
            <w:pPr>
              <w:jc w:val="center"/>
              <w:rPr>
                <w:color w:val="1F1F1F"/>
                <w:sz w:val="16"/>
                <w:szCs w:val="16"/>
              </w:rPr>
            </w:pPr>
            <w:r w:rsidRPr="007A1C8B">
              <w:rPr>
                <w:sz w:val="16"/>
                <w:szCs w:val="16"/>
              </w:rPr>
              <w:t>43.4</w:t>
            </w:r>
          </w:p>
        </w:tc>
        <w:tc>
          <w:tcPr>
            <w:tcW w:w="793" w:type="dxa"/>
            <w:hideMark/>
          </w:tcPr>
          <w:p w14:paraId="032F76D3" w14:textId="460BAC6F" w:rsidR="007A1C8B" w:rsidRPr="007A1C8B" w:rsidRDefault="007A1C8B" w:rsidP="007A1C8B">
            <w:pPr>
              <w:jc w:val="center"/>
              <w:rPr>
                <w:color w:val="1F1F1F"/>
                <w:sz w:val="16"/>
                <w:szCs w:val="16"/>
              </w:rPr>
            </w:pPr>
            <w:r w:rsidRPr="007A1C8B">
              <w:rPr>
                <w:sz w:val="16"/>
                <w:szCs w:val="16"/>
              </w:rPr>
              <w:t>5</w:t>
            </w:r>
          </w:p>
        </w:tc>
        <w:tc>
          <w:tcPr>
            <w:tcW w:w="720" w:type="dxa"/>
            <w:hideMark/>
          </w:tcPr>
          <w:p w14:paraId="4EEE32D3" w14:textId="48E2EF9F" w:rsidR="007A1C8B" w:rsidRPr="007A1C8B" w:rsidRDefault="007A1C8B" w:rsidP="007A1C8B">
            <w:pPr>
              <w:jc w:val="center"/>
              <w:rPr>
                <w:color w:val="1F1F1F"/>
                <w:sz w:val="16"/>
                <w:szCs w:val="16"/>
              </w:rPr>
            </w:pPr>
            <w:r w:rsidRPr="007A1C8B">
              <w:rPr>
                <w:sz w:val="16"/>
                <w:szCs w:val="16"/>
              </w:rPr>
              <w:t>21</w:t>
            </w:r>
          </w:p>
        </w:tc>
        <w:tc>
          <w:tcPr>
            <w:tcW w:w="1080" w:type="dxa"/>
            <w:hideMark/>
          </w:tcPr>
          <w:p w14:paraId="2320AF02" w14:textId="450F83AC" w:rsidR="007A1C8B" w:rsidRPr="007A1C8B" w:rsidRDefault="007A1C8B" w:rsidP="007A1C8B">
            <w:pPr>
              <w:jc w:val="center"/>
              <w:rPr>
                <w:color w:val="1F1F1F"/>
                <w:sz w:val="16"/>
                <w:szCs w:val="16"/>
              </w:rPr>
            </w:pPr>
            <w:r w:rsidRPr="007A1C8B">
              <w:rPr>
                <w:sz w:val="16"/>
                <w:szCs w:val="16"/>
              </w:rPr>
              <w:t>19.2</w:t>
            </w:r>
          </w:p>
        </w:tc>
        <w:tc>
          <w:tcPr>
            <w:tcW w:w="810" w:type="dxa"/>
            <w:hideMark/>
          </w:tcPr>
          <w:p w14:paraId="37E6AEDA" w14:textId="40827206" w:rsidR="007A1C8B" w:rsidRPr="007A1C8B" w:rsidRDefault="007A1C8B" w:rsidP="007A1C8B">
            <w:pPr>
              <w:jc w:val="center"/>
              <w:rPr>
                <w:color w:val="1F1F1F"/>
                <w:sz w:val="16"/>
                <w:szCs w:val="16"/>
              </w:rPr>
            </w:pPr>
            <w:r w:rsidRPr="007A1C8B">
              <w:rPr>
                <w:sz w:val="16"/>
                <w:szCs w:val="16"/>
              </w:rPr>
              <w:t>1</w:t>
            </w:r>
          </w:p>
        </w:tc>
        <w:tc>
          <w:tcPr>
            <w:tcW w:w="805" w:type="dxa"/>
            <w:hideMark/>
          </w:tcPr>
          <w:p w14:paraId="27CEB3D8" w14:textId="675D2D50" w:rsidR="007A1C8B" w:rsidRPr="007A1C8B" w:rsidRDefault="007A1C8B" w:rsidP="007A1C8B">
            <w:pPr>
              <w:jc w:val="center"/>
              <w:rPr>
                <w:color w:val="1F1F1F"/>
                <w:sz w:val="16"/>
                <w:szCs w:val="16"/>
              </w:rPr>
            </w:pPr>
            <w:r w:rsidRPr="007A1C8B">
              <w:rPr>
                <w:sz w:val="16"/>
                <w:szCs w:val="16"/>
              </w:rPr>
              <w:t>3</w:t>
            </w:r>
          </w:p>
        </w:tc>
        <w:tc>
          <w:tcPr>
            <w:tcW w:w="905" w:type="dxa"/>
            <w:hideMark/>
          </w:tcPr>
          <w:p w14:paraId="3FD6265B" w14:textId="7CA04DCB" w:rsidR="007A1C8B" w:rsidRPr="007A1C8B" w:rsidRDefault="007A1C8B" w:rsidP="007A1C8B">
            <w:pPr>
              <w:jc w:val="center"/>
              <w:rPr>
                <w:color w:val="1F1F1F"/>
                <w:sz w:val="16"/>
                <w:szCs w:val="16"/>
              </w:rPr>
            </w:pPr>
            <w:r w:rsidRPr="007A1C8B">
              <w:rPr>
                <w:sz w:val="16"/>
                <w:szCs w:val="16"/>
              </w:rPr>
              <w:t>20.0</w:t>
            </w:r>
          </w:p>
        </w:tc>
        <w:tc>
          <w:tcPr>
            <w:tcW w:w="715" w:type="dxa"/>
            <w:hideMark/>
          </w:tcPr>
          <w:p w14:paraId="158A5671" w14:textId="2CD56EFE" w:rsidR="007A1C8B" w:rsidRPr="007A1C8B" w:rsidRDefault="007A1C8B" w:rsidP="007A1C8B">
            <w:pPr>
              <w:jc w:val="center"/>
              <w:rPr>
                <w:color w:val="1F1F1F"/>
                <w:sz w:val="16"/>
                <w:szCs w:val="16"/>
              </w:rPr>
            </w:pPr>
            <w:r w:rsidRPr="007A1C8B">
              <w:rPr>
                <w:sz w:val="16"/>
                <w:szCs w:val="16"/>
              </w:rPr>
              <w:t>14.3</w:t>
            </w:r>
          </w:p>
        </w:tc>
        <w:tc>
          <w:tcPr>
            <w:tcW w:w="990" w:type="dxa"/>
          </w:tcPr>
          <w:p w14:paraId="3118D06B" w14:textId="33C85B33" w:rsidR="007A1C8B" w:rsidRPr="007A1C8B" w:rsidRDefault="007A1C8B" w:rsidP="007A1C8B">
            <w:pPr>
              <w:jc w:val="center"/>
              <w:rPr>
                <w:b/>
                <w:bCs/>
                <w:sz w:val="16"/>
                <w:szCs w:val="16"/>
              </w:rPr>
            </w:pPr>
            <w:r w:rsidRPr="007A1C8B">
              <w:rPr>
                <w:b/>
                <w:bCs/>
                <w:sz w:val="16"/>
                <w:szCs w:val="16"/>
              </w:rPr>
              <w:t>25.0</w:t>
            </w:r>
          </w:p>
        </w:tc>
      </w:tr>
      <w:tr w:rsidR="007A1C8B" w:rsidRPr="003615ED" w14:paraId="7F78053F" w14:textId="20006E16" w:rsidTr="003742E5">
        <w:trPr>
          <w:jc w:val="center"/>
        </w:trPr>
        <w:tc>
          <w:tcPr>
            <w:tcW w:w="1080" w:type="dxa"/>
            <w:hideMark/>
          </w:tcPr>
          <w:p w14:paraId="0EAADCA0" w14:textId="77777777" w:rsidR="007A1C8B" w:rsidRPr="003615ED" w:rsidRDefault="007A1C8B" w:rsidP="007A1C8B">
            <w:pPr>
              <w:rPr>
                <w:color w:val="1F1F1F"/>
                <w:sz w:val="18"/>
                <w:szCs w:val="18"/>
              </w:rPr>
            </w:pPr>
            <w:r w:rsidRPr="003615ED">
              <w:rPr>
                <w:color w:val="1F1F1F"/>
                <w:sz w:val="18"/>
                <w:szCs w:val="18"/>
                <w:bdr w:val="none" w:sz="0" w:space="0" w:color="auto" w:frame="1"/>
              </w:rPr>
              <w:t>Monaragala</w:t>
            </w:r>
          </w:p>
        </w:tc>
        <w:tc>
          <w:tcPr>
            <w:tcW w:w="900" w:type="dxa"/>
            <w:hideMark/>
          </w:tcPr>
          <w:p w14:paraId="4BDEA165" w14:textId="27AF6BD5" w:rsidR="007A1C8B" w:rsidRPr="007A1C8B" w:rsidRDefault="007A1C8B" w:rsidP="007A1C8B">
            <w:pPr>
              <w:jc w:val="center"/>
              <w:rPr>
                <w:color w:val="1F1F1F"/>
                <w:sz w:val="16"/>
                <w:szCs w:val="16"/>
              </w:rPr>
            </w:pPr>
            <w:r w:rsidRPr="007A1C8B">
              <w:rPr>
                <w:sz w:val="16"/>
                <w:szCs w:val="16"/>
              </w:rPr>
              <w:t>38</w:t>
            </w:r>
          </w:p>
        </w:tc>
        <w:tc>
          <w:tcPr>
            <w:tcW w:w="815" w:type="dxa"/>
            <w:hideMark/>
          </w:tcPr>
          <w:p w14:paraId="36E26D2B" w14:textId="556A9E05" w:rsidR="007A1C8B" w:rsidRPr="007A1C8B" w:rsidRDefault="007A1C8B" w:rsidP="007A1C8B">
            <w:pPr>
              <w:jc w:val="center"/>
              <w:rPr>
                <w:color w:val="1F1F1F"/>
                <w:sz w:val="16"/>
                <w:szCs w:val="16"/>
              </w:rPr>
            </w:pPr>
            <w:r w:rsidRPr="007A1C8B">
              <w:rPr>
                <w:sz w:val="16"/>
                <w:szCs w:val="16"/>
              </w:rPr>
              <w:t>2178</w:t>
            </w:r>
          </w:p>
        </w:tc>
        <w:tc>
          <w:tcPr>
            <w:tcW w:w="720" w:type="dxa"/>
            <w:hideMark/>
          </w:tcPr>
          <w:p w14:paraId="2782DD6B" w14:textId="763D1B00" w:rsidR="007A1C8B" w:rsidRPr="007A1C8B" w:rsidRDefault="007A1C8B" w:rsidP="007A1C8B">
            <w:pPr>
              <w:jc w:val="center"/>
              <w:rPr>
                <w:color w:val="1F1F1F"/>
                <w:sz w:val="16"/>
                <w:szCs w:val="16"/>
              </w:rPr>
            </w:pPr>
            <w:r w:rsidRPr="007A1C8B">
              <w:rPr>
                <w:sz w:val="16"/>
                <w:szCs w:val="16"/>
              </w:rPr>
              <w:t>1632</w:t>
            </w:r>
          </w:p>
        </w:tc>
        <w:tc>
          <w:tcPr>
            <w:tcW w:w="1097" w:type="dxa"/>
            <w:hideMark/>
          </w:tcPr>
          <w:p w14:paraId="627520B2" w14:textId="2141D280" w:rsidR="007A1C8B" w:rsidRPr="007A1C8B" w:rsidRDefault="007A1C8B" w:rsidP="007A1C8B">
            <w:pPr>
              <w:jc w:val="center"/>
              <w:rPr>
                <w:color w:val="1F1F1F"/>
                <w:sz w:val="16"/>
                <w:szCs w:val="16"/>
              </w:rPr>
            </w:pPr>
            <w:r w:rsidRPr="007A1C8B">
              <w:rPr>
                <w:sz w:val="16"/>
                <w:szCs w:val="16"/>
              </w:rPr>
              <w:t>57.2</w:t>
            </w:r>
          </w:p>
        </w:tc>
        <w:tc>
          <w:tcPr>
            <w:tcW w:w="793" w:type="dxa"/>
            <w:hideMark/>
          </w:tcPr>
          <w:p w14:paraId="427429CD" w14:textId="7F3B4050" w:rsidR="007A1C8B" w:rsidRPr="007A1C8B" w:rsidRDefault="007A1C8B" w:rsidP="007A1C8B">
            <w:pPr>
              <w:jc w:val="center"/>
              <w:rPr>
                <w:color w:val="1F1F1F"/>
                <w:sz w:val="16"/>
                <w:szCs w:val="16"/>
              </w:rPr>
            </w:pPr>
            <w:r w:rsidRPr="007A1C8B">
              <w:rPr>
                <w:sz w:val="16"/>
                <w:szCs w:val="16"/>
              </w:rPr>
              <w:t>682</w:t>
            </w:r>
          </w:p>
        </w:tc>
        <w:tc>
          <w:tcPr>
            <w:tcW w:w="720" w:type="dxa"/>
            <w:hideMark/>
          </w:tcPr>
          <w:p w14:paraId="7D746ED7" w14:textId="1F1F2D4F" w:rsidR="007A1C8B" w:rsidRPr="007A1C8B" w:rsidRDefault="007A1C8B" w:rsidP="007A1C8B">
            <w:pPr>
              <w:jc w:val="center"/>
              <w:rPr>
                <w:color w:val="1F1F1F"/>
                <w:sz w:val="16"/>
                <w:szCs w:val="16"/>
              </w:rPr>
            </w:pPr>
            <w:r w:rsidRPr="007A1C8B">
              <w:rPr>
                <w:sz w:val="16"/>
                <w:szCs w:val="16"/>
              </w:rPr>
              <w:t>429</w:t>
            </w:r>
          </w:p>
        </w:tc>
        <w:tc>
          <w:tcPr>
            <w:tcW w:w="1080" w:type="dxa"/>
            <w:hideMark/>
          </w:tcPr>
          <w:p w14:paraId="76CD3858" w14:textId="0A19E6ED" w:rsidR="007A1C8B" w:rsidRPr="007A1C8B" w:rsidRDefault="007A1C8B" w:rsidP="007A1C8B">
            <w:pPr>
              <w:jc w:val="center"/>
              <w:rPr>
                <w:color w:val="1F1F1F"/>
                <w:sz w:val="16"/>
                <w:szCs w:val="16"/>
              </w:rPr>
            </w:pPr>
            <w:r w:rsidRPr="007A1C8B">
              <w:rPr>
                <w:sz w:val="16"/>
                <w:szCs w:val="16"/>
              </w:rPr>
              <w:t>61.4</w:t>
            </w:r>
          </w:p>
        </w:tc>
        <w:tc>
          <w:tcPr>
            <w:tcW w:w="810" w:type="dxa"/>
            <w:hideMark/>
          </w:tcPr>
          <w:p w14:paraId="39F78D1E" w14:textId="130FBEB3" w:rsidR="007A1C8B" w:rsidRPr="007A1C8B" w:rsidRDefault="007A1C8B" w:rsidP="007A1C8B">
            <w:pPr>
              <w:jc w:val="center"/>
              <w:rPr>
                <w:color w:val="1F1F1F"/>
                <w:sz w:val="16"/>
                <w:szCs w:val="16"/>
              </w:rPr>
            </w:pPr>
            <w:r w:rsidRPr="007A1C8B">
              <w:rPr>
                <w:sz w:val="16"/>
                <w:szCs w:val="16"/>
              </w:rPr>
              <w:t>87</w:t>
            </w:r>
          </w:p>
        </w:tc>
        <w:tc>
          <w:tcPr>
            <w:tcW w:w="805" w:type="dxa"/>
            <w:hideMark/>
          </w:tcPr>
          <w:p w14:paraId="68ED8932" w14:textId="5E1383E3" w:rsidR="007A1C8B" w:rsidRPr="007A1C8B" w:rsidRDefault="007A1C8B" w:rsidP="007A1C8B">
            <w:pPr>
              <w:jc w:val="center"/>
              <w:rPr>
                <w:color w:val="1F1F1F"/>
                <w:sz w:val="16"/>
                <w:szCs w:val="16"/>
              </w:rPr>
            </w:pPr>
            <w:r w:rsidRPr="007A1C8B">
              <w:rPr>
                <w:sz w:val="16"/>
                <w:szCs w:val="16"/>
              </w:rPr>
              <w:t>46</w:t>
            </w:r>
          </w:p>
        </w:tc>
        <w:tc>
          <w:tcPr>
            <w:tcW w:w="905" w:type="dxa"/>
            <w:hideMark/>
          </w:tcPr>
          <w:p w14:paraId="7BB52012" w14:textId="2DB77169" w:rsidR="007A1C8B" w:rsidRPr="007A1C8B" w:rsidRDefault="007A1C8B" w:rsidP="007A1C8B">
            <w:pPr>
              <w:jc w:val="center"/>
              <w:rPr>
                <w:color w:val="1F1F1F"/>
                <w:sz w:val="16"/>
                <w:szCs w:val="16"/>
              </w:rPr>
            </w:pPr>
            <w:r w:rsidRPr="007A1C8B">
              <w:rPr>
                <w:sz w:val="16"/>
                <w:szCs w:val="16"/>
              </w:rPr>
              <w:t>12.8</w:t>
            </w:r>
          </w:p>
        </w:tc>
        <w:tc>
          <w:tcPr>
            <w:tcW w:w="715" w:type="dxa"/>
            <w:hideMark/>
          </w:tcPr>
          <w:p w14:paraId="6E9C5BBB" w14:textId="718689BB" w:rsidR="007A1C8B" w:rsidRPr="007A1C8B" w:rsidRDefault="007A1C8B" w:rsidP="007A1C8B">
            <w:pPr>
              <w:jc w:val="center"/>
              <w:rPr>
                <w:color w:val="1F1F1F"/>
                <w:sz w:val="16"/>
                <w:szCs w:val="16"/>
              </w:rPr>
            </w:pPr>
            <w:r w:rsidRPr="007A1C8B">
              <w:rPr>
                <w:sz w:val="16"/>
                <w:szCs w:val="16"/>
              </w:rPr>
              <w:t>10.7</w:t>
            </w:r>
          </w:p>
        </w:tc>
        <w:tc>
          <w:tcPr>
            <w:tcW w:w="990" w:type="dxa"/>
          </w:tcPr>
          <w:p w14:paraId="4B8C01CB" w14:textId="285F73BE" w:rsidR="007A1C8B" w:rsidRPr="007A1C8B" w:rsidRDefault="007A1C8B" w:rsidP="007A1C8B">
            <w:pPr>
              <w:jc w:val="center"/>
              <w:rPr>
                <w:b/>
                <w:bCs/>
                <w:sz w:val="16"/>
                <w:szCs w:val="16"/>
              </w:rPr>
            </w:pPr>
            <w:r w:rsidRPr="007A1C8B">
              <w:rPr>
                <w:b/>
                <w:bCs/>
                <w:sz w:val="16"/>
                <w:szCs w:val="16"/>
              </w:rPr>
              <w:t>65.4</w:t>
            </w:r>
          </w:p>
        </w:tc>
      </w:tr>
      <w:tr w:rsidR="007A1C8B" w:rsidRPr="003615ED" w14:paraId="1EA78A9F" w14:textId="552DA8FE" w:rsidTr="003742E5">
        <w:trPr>
          <w:jc w:val="center"/>
        </w:trPr>
        <w:tc>
          <w:tcPr>
            <w:tcW w:w="1080" w:type="dxa"/>
            <w:hideMark/>
          </w:tcPr>
          <w:p w14:paraId="3A6E4CE1" w14:textId="77777777" w:rsidR="007A1C8B" w:rsidRPr="003615ED" w:rsidRDefault="007A1C8B" w:rsidP="007A1C8B">
            <w:pPr>
              <w:rPr>
                <w:color w:val="1F1F1F"/>
                <w:sz w:val="18"/>
                <w:szCs w:val="18"/>
              </w:rPr>
            </w:pPr>
            <w:r w:rsidRPr="003615ED">
              <w:rPr>
                <w:color w:val="1F1F1F"/>
                <w:sz w:val="18"/>
                <w:szCs w:val="18"/>
                <w:bdr w:val="none" w:sz="0" w:space="0" w:color="auto" w:frame="1"/>
              </w:rPr>
              <w:t>Ratnapura</w:t>
            </w:r>
          </w:p>
        </w:tc>
        <w:tc>
          <w:tcPr>
            <w:tcW w:w="900" w:type="dxa"/>
            <w:hideMark/>
          </w:tcPr>
          <w:p w14:paraId="34882B7B" w14:textId="0FC8A4AC" w:rsidR="007A1C8B" w:rsidRPr="007A1C8B" w:rsidRDefault="007A1C8B" w:rsidP="007A1C8B">
            <w:pPr>
              <w:jc w:val="center"/>
              <w:rPr>
                <w:color w:val="1F1F1F"/>
                <w:sz w:val="16"/>
                <w:szCs w:val="16"/>
              </w:rPr>
            </w:pPr>
            <w:r w:rsidRPr="007A1C8B">
              <w:rPr>
                <w:sz w:val="16"/>
                <w:szCs w:val="16"/>
              </w:rPr>
              <w:t>94</w:t>
            </w:r>
          </w:p>
        </w:tc>
        <w:tc>
          <w:tcPr>
            <w:tcW w:w="815" w:type="dxa"/>
            <w:hideMark/>
          </w:tcPr>
          <w:p w14:paraId="66F8DC0E" w14:textId="753549F2" w:rsidR="007A1C8B" w:rsidRPr="007A1C8B" w:rsidRDefault="007A1C8B" w:rsidP="007A1C8B">
            <w:pPr>
              <w:jc w:val="center"/>
              <w:rPr>
                <w:color w:val="1F1F1F"/>
                <w:sz w:val="16"/>
                <w:szCs w:val="16"/>
              </w:rPr>
            </w:pPr>
            <w:r w:rsidRPr="007A1C8B">
              <w:rPr>
                <w:sz w:val="16"/>
                <w:szCs w:val="16"/>
              </w:rPr>
              <w:t>3906</w:t>
            </w:r>
          </w:p>
        </w:tc>
        <w:tc>
          <w:tcPr>
            <w:tcW w:w="720" w:type="dxa"/>
            <w:hideMark/>
          </w:tcPr>
          <w:p w14:paraId="741F0523" w14:textId="1862B3C4" w:rsidR="007A1C8B" w:rsidRPr="007A1C8B" w:rsidRDefault="007A1C8B" w:rsidP="007A1C8B">
            <w:pPr>
              <w:jc w:val="center"/>
              <w:rPr>
                <w:color w:val="1F1F1F"/>
                <w:sz w:val="16"/>
                <w:szCs w:val="16"/>
              </w:rPr>
            </w:pPr>
            <w:r w:rsidRPr="007A1C8B">
              <w:rPr>
                <w:sz w:val="16"/>
                <w:szCs w:val="16"/>
              </w:rPr>
              <w:t>5761</w:t>
            </w:r>
          </w:p>
        </w:tc>
        <w:tc>
          <w:tcPr>
            <w:tcW w:w="1097" w:type="dxa"/>
            <w:hideMark/>
          </w:tcPr>
          <w:p w14:paraId="6514F9D0" w14:textId="1D971A6E" w:rsidR="007A1C8B" w:rsidRPr="007A1C8B" w:rsidRDefault="007A1C8B" w:rsidP="007A1C8B">
            <w:pPr>
              <w:jc w:val="center"/>
              <w:rPr>
                <w:color w:val="1F1F1F"/>
                <w:sz w:val="16"/>
                <w:szCs w:val="16"/>
              </w:rPr>
            </w:pPr>
            <w:r w:rsidRPr="007A1C8B">
              <w:rPr>
                <w:sz w:val="16"/>
                <w:szCs w:val="16"/>
              </w:rPr>
              <w:t>40.4</w:t>
            </w:r>
          </w:p>
        </w:tc>
        <w:tc>
          <w:tcPr>
            <w:tcW w:w="793" w:type="dxa"/>
            <w:hideMark/>
          </w:tcPr>
          <w:p w14:paraId="70C08231" w14:textId="1EBCC08E" w:rsidR="007A1C8B" w:rsidRPr="007A1C8B" w:rsidRDefault="007A1C8B" w:rsidP="007A1C8B">
            <w:pPr>
              <w:jc w:val="center"/>
              <w:rPr>
                <w:color w:val="1F1F1F"/>
                <w:sz w:val="16"/>
                <w:szCs w:val="16"/>
              </w:rPr>
            </w:pPr>
            <w:r w:rsidRPr="007A1C8B">
              <w:rPr>
                <w:sz w:val="16"/>
                <w:szCs w:val="16"/>
              </w:rPr>
              <w:t>1640</w:t>
            </w:r>
          </w:p>
        </w:tc>
        <w:tc>
          <w:tcPr>
            <w:tcW w:w="720" w:type="dxa"/>
            <w:hideMark/>
          </w:tcPr>
          <w:p w14:paraId="244F85A4" w14:textId="4A33D2BD" w:rsidR="007A1C8B" w:rsidRPr="007A1C8B" w:rsidRDefault="007A1C8B" w:rsidP="007A1C8B">
            <w:pPr>
              <w:jc w:val="center"/>
              <w:rPr>
                <w:color w:val="1F1F1F"/>
                <w:sz w:val="16"/>
                <w:szCs w:val="16"/>
              </w:rPr>
            </w:pPr>
            <w:r w:rsidRPr="007A1C8B">
              <w:rPr>
                <w:sz w:val="16"/>
                <w:szCs w:val="16"/>
              </w:rPr>
              <w:t>1478</w:t>
            </w:r>
          </w:p>
        </w:tc>
        <w:tc>
          <w:tcPr>
            <w:tcW w:w="1080" w:type="dxa"/>
            <w:hideMark/>
          </w:tcPr>
          <w:p w14:paraId="19C6B760" w14:textId="41287D9E" w:rsidR="007A1C8B" w:rsidRPr="007A1C8B" w:rsidRDefault="007A1C8B" w:rsidP="007A1C8B">
            <w:pPr>
              <w:jc w:val="center"/>
              <w:rPr>
                <w:color w:val="1F1F1F"/>
                <w:sz w:val="16"/>
                <w:szCs w:val="16"/>
              </w:rPr>
            </w:pPr>
            <w:r w:rsidRPr="007A1C8B">
              <w:rPr>
                <w:sz w:val="16"/>
                <w:szCs w:val="16"/>
              </w:rPr>
              <w:t>52.6</w:t>
            </w:r>
          </w:p>
        </w:tc>
        <w:tc>
          <w:tcPr>
            <w:tcW w:w="810" w:type="dxa"/>
            <w:hideMark/>
          </w:tcPr>
          <w:p w14:paraId="7775ACB2" w14:textId="515EBACD" w:rsidR="007A1C8B" w:rsidRPr="007A1C8B" w:rsidRDefault="007A1C8B" w:rsidP="007A1C8B">
            <w:pPr>
              <w:jc w:val="center"/>
              <w:rPr>
                <w:color w:val="1F1F1F"/>
                <w:sz w:val="16"/>
                <w:szCs w:val="16"/>
              </w:rPr>
            </w:pPr>
            <w:r w:rsidRPr="007A1C8B">
              <w:rPr>
                <w:sz w:val="16"/>
                <w:szCs w:val="16"/>
              </w:rPr>
              <w:t>262</w:t>
            </w:r>
          </w:p>
        </w:tc>
        <w:tc>
          <w:tcPr>
            <w:tcW w:w="805" w:type="dxa"/>
            <w:hideMark/>
          </w:tcPr>
          <w:p w14:paraId="786F2C29" w14:textId="3A312BA8" w:rsidR="007A1C8B" w:rsidRPr="007A1C8B" w:rsidRDefault="007A1C8B" w:rsidP="007A1C8B">
            <w:pPr>
              <w:jc w:val="center"/>
              <w:rPr>
                <w:color w:val="1F1F1F"/>
                <w:sz w:val="16"/>
                <w:szCs w:val="16"/>
              </w:rPr>
            </w:pPr>
            <w:r w:rsidRPr="007A1C8B">
              <w:rPr>
                <w:sz w:val="16"/>
                <w:szCs w:val="16"/>
              </w:rPr>
              <w:t>160</w:t>
            </w:r>
          </w:p>
        </w:tc>
        <w:tc>
          <w:tcPr>
            <w:tcW w:w="905" w:type="dxa"/>
            <w:hideMark/>
          </w:tcPr>
          <w:p w14:paraId="5BFE18B4" w14:textId="0B649610" w:rsidR="007A1C8B" w:rsidRPr="007A1C8B" w:rsidRDefault="007A1C8B" w:rsidP="007A1C8B">
            <w:pPr>
              <w:jc w:val="center"/>
              <w:rPr>
                <w:color w:val="1F1F1F"/>
                <w:sz w:val="16"/>
                <w:szCs w:val="16"/>
              </w:rPr>
            </w:pPr>
            <w:r w:rsidRPr="007A1C8B">
              <w:rPr>
                <w:sz w:val="16"/>
                <w:szCs w:val="16"/>
              </w:rPr>
              <w:t>15.9</w:t>
            </w:r>
          </w:p>
        </w:tc>
        <w:tc>
          <w:tcPr>
            <w:tcW w:w="715" w:type="dxa"/>
            <w:hideMark/>
          </w:tcPr>
          <w:p w14:paraId="3E069C50" w14:textId="2CDDA8F9" w:rsidR="007A1C8B" w:rsidRPr="007A1C8B" w:rsidRDefault="007A1C8B" w:rsidP="007A1C8B">
            <w:pPr>
              <w:jc w:val="center"/>
              <w:rPr>
                <w:color w:val="1F1F1F"/>
                <w:sz w:val="16"/>
                <w:szCs w:val="16"/>
              </w:rPr>
            </w:pPr>
            <w:r w:rsidRPr="007A1C8B">
              <w:rPr>
                <w:sz w:val="16"/>
                <w:szCs w:val="16"/>
              </w:rPr>
              <w:t>10.8</w:t>
            </w:r>
          </w:p>
        </w:tc>
        <w:tc>
          <w:tcPr>
            <w:tcW w:w="990" w:type="dxa"/>
          </w:tcPr>
          <w:p w14:paraId="53B8EB25" w14:textId="70E80D0C" w:rsidR="007A1C8B" w:rsidRPr="007A1C8B" w:rsidRDefault="007A1C8B" w:rsidP="007A1C8B">
            <w:pPr>
              <w:jc w:val="center"/>
              <w:rPr>
                <w:b/>
                <w:bCs/>
                <w:sz w:val="16"/>
                <w:szCs w:val="16"/>
              </w:rPr>
            </w:pPr>
            <w:r w:rsidRPr="007A1C8B">
              <w:rPr>
                <w:b/>
                <w:bCs/>
                <w:sz w:val="16"/>
                <w:szCs w:val="16"/>
              </w:rPr>
              <w:t>62.1</w:t>
            </w:r>
          </w:p>
        </w:tc>
      </w:tr>
      <w:tr w:rsidR="007A1C8B" w:rsidRPr="003615ED" w14:paraId="176E7583" w14:textId="7821C03B" w:rsidTr="003742E5">
        <w:trPr>
          <w:cantSplit/>
          <w:jc w:val="center"/>
        </w:trPr>
        <w:tc>
          <w:tcPr>
            <w:tcW w:w="1080" w:type="dxa"/>
            <w:hideMark/>
          </w:tcPr>
          <w:p w14:paraId="1C7DBC46" w14:textId="77777777" w:rsidR="007A1C8B" w:rsidRPr="003615ED" w:rsidRDefault="007A1C8B" w:rsidP="007A1C8B">
            <w:pPr>
              <w:jc w:val="center"/>
              <w:rPr>
                <w:color w:val="1F1F1F"/>
                <w:sz w:val="18"/>
                <w:szCs w:val="18"/>
              </w:rPr>
            </w:pPr>
            <w:r w:rsidRPr="003615ED">
              <w:rPr>
                <w:b/>
                <w:bCs/>
                <w:color w:val="1F1F1F"/>
                <w:sz w:val="18"/>
                <w:szCs w:val="18"/>
                <w:bdr w:val="none" w:sz="0" w:space="0" w:color="auto" w:frame="1"/>
              </w:rPr>
              <w:t>TOTAL</w:t>
            </w:r>
          </w:p>
        </w:tc>
        <w:tc>
          <w:tcPr>
            <w:tcW w:w="900" w:type="dxa"/>
            <w:hideMark/>
          </w:tcPr>
          <w:p w14:paraId="1EAC79FC" w14:textId="1F62093E" w:rsidR="007A1C8B" w:rsidRPr="007A1C8B" w:rsidRDefault="007A1C8B" w:rsidP="007A1C8B">
            <w:pPr>
              <w:jc w:val="center"/>
              <w:rPr>
                <w:b/>
                <w:bCs/>
                <w:color w:val="1F1F1F"/>
                <w:sz w:val="16"/>
                <w:szCs w:val="16"/>
              </w:rPr>
            </w:pPr>
            <w:r w:rsidRPr="007A1C8B">
              <w:rPr>
                <w:b/>
                <w:bCs/>
                <w:sz w:val="16"/>
                <w:szCs w:val="16"/>
              </w:rPr>
              <w:t>425</w:t>
            </w:r>
          </w:p>
        </w:tc>
        <w:tc>
          <w:tcPr>
            <w:tcW w:w="815" w:type="dxa"/>
            <w:hideMark/>
          </w:tcPr>
          <w:p w14:paraId="59D086FF" w14:textId="48DDB897" w:rsidR="007A1C8B" w:rsidRPr="007A1C8B" w:rsidRDefault="007A1C8B" w:rsidP="007A1C8B">
            <w:pPr>
              <w:jc w:val="center"/>
              <w:rPr>
                <w:b/>
                <w:bCs/>
                <w:color w:val="1F1F1F"/>
                <w:sz w:val="16"/>
                <w:szCs w:val="16"/>
              </w:rPr>
            </w:pPr>
            <w:r w:rsidRPr="007A1C8B">
              <w:rPr>
                <w:b/>
                <w:bCs/>
                <w:sz w:val="16"/>
                <w:szCs w:val="16"/>
              </w:rPr>
              <w:t>11905</w:t>
            </w:r>
          </w:p>
        </w:tc>
        <w:tc>
          <w:tcPr>
            <w:tcW w:w="720" w:type="dxa"/>
            <w:hideMark/>
          </w:tcPr>
          <w:p w14:paraId="2FD7C54C" w14:textId="7CFF4F65" w:rsidR="007A1C8B" w:rsidRPr="007A1C8B" w:rsidRDefault="007A1C8B" w:rsidP="007A1C8B">
            <w:pPr>
              <w:jc w:val="center"/>
              <w:rPr>
                <w:b/>
                <w:bCs/>
                <w:color w:val="1F1F1F"/>
                <w:sz w:val="16"/>
                <w:szCs w:val="16"/>
              </w:rPr>
            </w:pPr>
            <w:r w:rsidRPr="007A1C8B">
              <w:rPr>
                <w:b/>
                <w:bCs/>
                <w:sz w:val="16"/>
                <w:szCs w:val="16"/>
              </w:rPr>
              <w:t>10943</w:t>
            </w:r>
          </w:p>
        </w:tc>
        <w:tc>
          <w:tcPr>
            <w:tcW w:w="1097" w:type="dxa"/>
            <w:hideMark/>
          </w:tcPr>
          <w:p w14:paraId="03B8B43A" w14:textId="6995CE06" w:rsidR="007A1C8B" w:rsidRPr="007A1C8B" w:rsidRDefault="007A1C8B" w:rsidP="007A1C8B">
            <w:pPr>
              <w:jc w:val="center"/>
              <w:rPr>
                <w:b/>
                <w:bCs/>
                <w:color w:val="1F1F1F"/>
                <w:sz w:val="16"/>
                <w:szCs w:val="16"/>
              </w:rPr>
            </w:pPr>
            <w:r w:rsidRPr="007A1C8B">
              <w:rPr>
                <w:b/>
                <w:bCs/>
                <w:sz w:val="16"/>
                <w:szCs w:val="16"/>
              </w:rPr>
              <w:t>52.1</w:t>
            </w:r>
          </w:p>
        </w:tc>
        <w:tc>
          <w:tcPr>
            <w:tcW w:w="793" w:type="dxa"/>
            <w:hideMark/>
          </w:tcPr>
          <w:p w14:paraId="5FE6D0B6" w14:textId="4967F1E3" w:rsidR="007A1C8B" w:rsidRPr="007A1C8B" w:rsidRDefault="007A1C8B" w:rsidP="007A1C8B">
            <w:pPr>
              <w:jc w:val="center"/>
              <w:rPr>
                <w:b/>
                <w:bCs/>
                <w:color w:val="1F1F1F"/>
                <w:sz w:val="16"/>
                <w:szCs w:val="16"/>
              </w:rPr>
            </w:pPr>
            <w:r w:rsidRPr="007A1C8B">
              <w:rPr>
                <w:b/>
                <w:bCs/>
                <w:sz w:val="16"/>
                <w:szCs w:val="16"/>
              </w:rPr>
              <w:t>4336</w:t>
            </w:r>
          </w:p>
        </w:tc>
        <w:tc>
          <w:tcPr>
            <w:tcW w:w="720" w:type="dxa"/>
            <w:hideMark/>
          </w:tcPr>
          <w:p w14:paraId="34E1C670" w14:textId="33B762FD" w:rsidR="007A1C8B" w:rsidRPr="007A1C8B" w:rsidRDefault="007A1C8B" w:rsidP="007A1C8B">
            <w:pPr>
              <w:jc w:val="center"/>
              <w:rPr>
                <w:b/>
                <w:bCs/>
                <w:color w:val="1F1F1F"/>
                <w:sz w:val="16"/>
                <w:szCs w:val="16"/>
              </w:rPr>
            </w:pPr>
            <w:r w:rsidRPr="007A1C8B">
              <w:rPr>
                <w:b/>
                <w:bCs/>
                <w:sz w:val="16"/>
                <w:szCs w:val="16"/>
              </w:rPr>
              <w:t>3057</w:t>
            </w:r>
          </w:p>
        </w:tc>
        <w:tc>
          <w:tcPr>
            <w:tcW w:w="1080" w:type="dxa"/>
            <w:hideMark/>
          </w:tcPr>
          <w:p w14:paraId="548674E1" w14:textId="0B693D69" w:rsidR="007A1C8B" w:rsidRPr="007A1C8B" w:rsidRDefault="007A1C8B" w:rsidP="007A1C8B">
            <w:pPr>
              <w:jc w:val="center"/>
              <w:rPr>
                <w:b/>
                <w:bCs/>
                <w:color w:val="1F1F1F"/>
                <w:sz w:val="16"/>
                <w:szCs w:val="16"/>
              </w:rPr>
            </w:pPr>
            <w:r w:rsidRPr="007A1C8B">
              <w:rPr>
                <w:b/>
                <w:bCs/>
                <w:sz w:val="16"/>
                <w:szCs w:val="16"/>
              </w:rPr>
              <w:t>58.7</w:t>
            </w:r>
          </w:p>
        </w:tc>
        <w:tc>
          <w:tcPr>
            <w:tcW w:w="810" w:type="dxa"/>
            <w:hideMark/>
          </w:tcPr>
          <w:p w14:paraId="453EAC70" w14:textId="4EA82508" w:rsidR="007A1C8B" w:rsidRPr="007A1C8B" w:rsidRDefault="007A1C8B" w:rsidP="007A1C8B">
            <w:pPr>
              <w:jc w:val="center"/>
              <w:rPr>
                <w:b/>
                <w:bCs/>
                <w:color w:val="1F1F1F"/>
                <w:sz w:val="16"/>
                <w:szCs w:val="16"/>
              </w:rPr>
            </w:pPr>
            <w:r w:rsidRPr="007A1C8B">
              <w:rPr>
                <w:b/>
                <w:bCs/>
                <w:sz w:val="16"/>
                <w:szCs w:val="16"/>
              </w:rPr>
              <w:t>674</w:t>
            </w:r>
          </w:p>
        </w:tc>
        <w:tc>
          <w:tcPr>
            <w:tcW w:w="805" w:type="dxa"/>
            <w:hideMark/>
          </w:tcPr>
          <w:p w14:paraId="106A1038" w14:textId="23A1962D" w:rsidR="007A1C8B" w:rsidRPr="007A1C8B" w:rsidRDefault="007A1C8B" w:rsidP="007A1C8B">
            <w:pPr>
              <w:jc w:val="center"/>
              <w:rPr>
                <w:b/>
                <w:bCs/>
                <w:color w:val="1F1F1F"/>
                <w:sz w:val="16"/>
                <w:szCs w:val="16"/>
              </w:rPr>
            </w:pPr>
            <w:r w:rsidRPr="007A1C8B">
              <w:rPr>
                <w:b/>
                <w:bCs/>
                <w:sz w:val="16"/>
                <w:szCs w:val="16"/>
              </w:rPr>
              <w:t>351</w:t>
            </w:r>
          </w:p>
        </w:tc>
        <w:tc>
          <w:tcPr>
            <w:tcW w:w="905" w:type="dxa"/>
            <w:hideMark/>
          </w:tcPr>
          <w:p w14:paraId="4FFCEB6A" w14:textId="090AEFE7" w:rsidR="007A1C8B" w:rsidRPr="007A1C8B" w:rsidRDefault="007A1C8B" w:rsidP="007A1C8B">
            <w:pPr>
              <w:jc w:val="center"/>
              <w:rPr>
                <w:b/>
                <w:bCs/>
                <w:color w:val="1F1F1F"/>
                <w:sz w:val="16"/>
                <w:szCs w:val="16"/>
              </w:rPr>
            </w:pPr>
            <w:r w:rsidRPr="007A1C8B">
              <w:rPr>
                <w:b/>
                <w:bCs/>
                <w:sz w:val="16"/>
                <w:szCs w:val="16"/>
              </w:rPr>
              <w:t>15.5</w:t>
            </w:r>
          </w:p>
        </w:tc>
        <w:tc>
          <w:tcPr>
            <w:tcW w:w="715" w:type="dxa"/>
            <w:hideMark/>
          </w:tcPr>
          <w:p w14:paraId="34E02EC1" w14:textId="03A22333" w:rsidR="007A1C8B" w:rsidRPr="007A1C8B" w:rsidRDefault="007A1C8B" w:rsidP="007A1C8B">
            <w:pPr>
              <w:jc w:val="center"/>
              <w:rPr>
                <w:b/>
                <w:bCs/>
                <w:color w:val="1F1F1F"/>
                <w:sz w:val="16"/>
                <w:szCs w:val="16"/>
              </w:rPr>
            </w:pPr>
            <w:r w:rsidRPr="007A1C8B">
              <w:rPr>
                <w:b/>
                <w:bCs/>
                <w:sz w:val="16"/>
                <w:szCs w:val="16"/>
              </w:rPr>
              <w:t>11.5</w:t>
            </w:r>
          </w:p>
        </w:tc>
        <w:tc>
          <w:tcPr>
            <w:tcW w:w="990" w:type="dxa"/>
          </w:tcPr>
          <w:p w14:paraId="41D896D0" w14:textId="11497B13" w:rsidR="007A1C8B" w:rsidRPr="007A1C8B" w:rsidRDefault="007A1C8B" w:rsidP="007A1C8B">
            <w:pPr>
              <w:jc w:val="center"/>
              <w:rPr>
                <w:b/>
                <w:bCs/>
                <w:sz w:val="16"/>
                <w:szCs w:val="16"/>
              </w:rPr>
            </w:pPr>
            <w:r w:rsidRPr="007A1C8B">
              <w:rPr>
                <w:b/>
                <w:bCs/>
                <w:sz w:val="16"/>
                <w:szCs w:val="16"/>
              </w:rPr>
              <w:t>65.8</w:t>
            </w:r>
          </w:p>
        </w:tc>
      </w:tr>
    </w:tbl>
    <w:p w14:paraId="2F6253AE" w14:textId="77777777" w:rsidR="00383833" w:rsidRPr="00970898" w:rsidRDefault="00383833" w:rsidP="00C922B3">
      <w:pPr>
        <w:jc w:val="both"/>
      </w:pPr>
    </w:p>
    <w:p w14:paraId="1F78D2AE" w14:textId="5839BD1F" w:rsidR="00A16BF5" w:rsidRPr="004E6BA5" w:rsidRDefault="00A16BF5" w:rsidP="00A16BF5">
      <w:pPr>
        <w:jc w:val="both"/>
      </w:pPr>
      <w:r>
        <w:t xml:space="preserve">The Table 2 </w:t>
      </w:r>
      <w:r w:rsidRPr="004E6BA5">
        <w:t xml:space="preserve">details the structural breakdown of total environmental container load, localized water availability (water-holding status), and </w:t>
      </w:r>
      <w:r>
        <w:t>material</w:t>
      </w:r>
      <w:r w:rsidRPr="004E6BA5">
        <w:t>-specific Container Indexes (CI).</w:t>
      </w:r>
      <w:r>
        <w:t xml:space="preserve"> The plastic share of the discarded non-biodegradable waste </w:t>
      </w:r>
      <w:r w:rsidRPr="004E6BA5">
        <w:t>(</w:t>
      </w:r>
      <m:oMath>
        <m:sSub>
          <m:sSubPr>
            <m:ctrlPr>
              <w:rPr>
                <w:rFonts w:ascii="Cambria Math" w:hAnsi="Cambria Math"/>
              </w:rPr>
            </m:ctrlPr>
          </m:sSubPr>
          <m:e>
            <m:r>
              <w:rPr>
                <w:rFonts w:ascii="Cambria Math" w:hAnsi="Cambria Math"/>
              </w:rPr>
              <m:t>ω</m:t>
            </m:r>
          </m:e>
          <m:sub>
            <m:r>
              <m:rPr>
                <m:nor/>
              </m:rPr>
              <m:t>plastic</m:t>
            </m:r>
          </m:sub>
        </m:sSub>
      </m:oMath>
      <w:r>
        <w:t xml:space="preserve">) </w:t>
      </w:r>
      <w:r w:rsidRPr="004E6BA5">
        <w:t xml:space="preserve">is calculated by dividing plastic positives with the sum of plastic and other positives. The </w:t>
      </w:r>
      <m:oMath>
        <m:sSub>
          <m:sSubPr>
            <m:ctrlPr>
              <w:rPr>
                <w:rFonts w:ascii="Cambria Math" w:hAnsi="Cambria Math"/>
              </w:rPr>
            </m:ctrlPr>
          </m:sSubPr>
          <m:e>
            <m:r>
              <w:rPr>
                <w:rFonts w:ascii="Cambria Math" w:hAnsi="Cambria Math"/>
              </w:rPr>
              <m:t>ω</m:t>
            </m:r>
          </m:e>
          <m:sub>
            <m:r>
              <m:rPr>
                <m:nor/>
              </m:rPr>
              <m:t>plastic</m:t>
            </m:r>
          </m:sub>
        </m:sSub>
      </m:oMath>
      <w:r w:rsidRPr="004E6BA5">
        <w:t xml:space="preserve"> serv</w:t>
      </w:r>
      <w:r>
        <w:t>es</w:t>
      </w:r>
      <w:r w:rsidRPr="004E6BA5">
        <w:t xml:space="preserve"> as the core scale-partitioning weight used to attribute downstream health and economic burdens to mismanaged plastic micro-habitats within the population attributable risk framework.</w:t>
      </w:r>
      <w:r>
        <w:t xml:space="preserve"> </w:t>
      </w:r>
    </w:p>
    <w:p w14:paraId="35FE05B6" w14:textId="77777777" w:rsidR="00807BC4" w:rsidRPr="00A16BF5" w:rsidRDefault="00807BC4" w:rsidP="00D33CDA">
      <w:pPr>
        <w:jc w:val="both"/>
      </w:pPr>
    </w:p>
    <w:p w14:paraId="3CB65607" w14:textId="3A0F147F" w:rsidR="00E872FB" w:rsidRDefault="00E872FB" w:rsidP="00E872FB">
      <w:pPr>
        <w:spacing w:after="160" w:line="278" w:lineRule="auto"/>
        <w:rPr>
          <w:b/>
          <w:bCs/>
          <w:lang w:val="en-GB"/>
        </w:rPr>
      </w:pPr>
      <w:r>
        <w:rPr>
          <w:b/>
          <w:bCs/>
          <w:lang w:val="en-GB"/>
        </w:rPr>
        <w:br w:type="page"/>
      </w:r>
    </w:p>
    <w:p w14:paraId="5381B472" w14:textId="77777777" w:rsidR="007E735E" w:rsidRDefault="007E735E" w:rsidP="00D33CDA">
      <w:pPr>
        <w:jc w:val="both"/>
        <w:rPr>
          <w:b/>
          <w:bCs/>
          <w:lang w:val="en-GB"/>
        </w:rPr>
      </w:pPr>
    </w:p>
    <w:p w14:paraId="152D3830" w14:textId="5943B80C" w:rsidR="00A46B6A" w:rsidRPr="00924238" w:rsidRDefault="00D33CDA" w:rsidP="00924238">
      <w:pPr>
        <w:pStyle w:val="Heading2"/>
        <w:rPr>
          <w:rFonts w:ascii="Times New Roman" w:hAnsi="Times New Roman" w:cs="Times New Roman"/>
          <w:b/>
          <w:bCs/>
          <w:color w:val="auto"/>
          <w:sz w:val="24"/>
          <w:szCs w:val="24"/>
          <w:lang w:val="en-GB"/>
        </w:rPr>
      </w:pPr>
      <w:bookmarkStart w:id="7" w:name="_Toc235161887"/>
      <w:r w:rsidRPr="00924238">
        <w:rPr>
          <w:rFonts w:ascii="Times New Roman" w:hAnsi="Times New Roman" w:cs="Times New Roman"/>
          <w:b/>
          <w:bCs/>
          <w:color w:val="auto"/>
          <w:sz w:val="24"/>
          <w:szCs w:val="24"/>
          <w:lang w:val="en-GB"/>
        </w:rPr>
        <w:t>Assessing association between discarded non-biodegradable waste and dengue</w:t>
      </w:r>
      <w:bookmarkEnd w:id="7"/>
    </w:p>
    <w:p w14:paraId="6294C2B3" w14:textId="77777777" w:rsidR="00383833" w:rsidRDefault="00383833" w:rsidP="00D33CDA">
      <w:pPr>
        <w:jc w:val="both"/>
        <w:rPr>
          <w:lang w:val="en-GB"/>
        </w:rPr>
      </w:pPr>
    </w:p>
    <w:p w14:paraId="554DF700" w14:textId="04D89217" w:rsidR="00383833" w:rsidRDefault="000020DD" w:rsidP="00C23852">
      <w:pPr>
        <w:jc w:val="center"/>
        <w:rPr>
          <w:lang w:val="en-GB"/>
        </w:rPr>
      </w:pPr>
      <w:r w:rsidRPr="000020DD">
        <w:rPr>
          <w:noProof/>
          <w:lang w:val="en-GB"/>
        </w:rPr>
        <w:drawing>
          <wp:inline distT="0" distB="0" distL="0" distR="0" wp14:anchorId="03693861" wp14:editId="498C108A">
            <wp:extent cx="5942233" cy="4136707"/>
            <wp:effectExtent l="0" t="0" r="1905" b="3810"/>
            <wp:docPr id="395196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96869" name=""/>
                    <pic:cNvPicPr/>
                  </pic:nvPicPr>
                  <pic:blipFill>
                    <a:blip r:embed="rId11"/>
                    <a:stretch>
                      <a:fillRect/>
                    </a:stretch>
                  </pic:blipFill>
                  <pic:spPr>
                    <a:xfrm>
                      <a:off x="0" y="0"/>
                      <a:ext cx="6003911" cy="4179644"/>
                    </a:xfrm>
                    <a:prstGeom prst="rect">
                      <a:avLst/>
                    </a:prstGeom>
                  </pic:spPr>
                </pic:pic>
              </a:graphicData>
            </a:graphic>
          </wp:inline>
        </w:drawing>
      </w:r>
    </w:p>
    <w:p w14:paraId="3B4FCD83" w14:textId="77777777" w:rsidR="00383833" w:rsidRDefault="00383833" w:rsidP="00D33CDA">
      <w:pPr>
        <w:jc w:val="both"/>
        <w:rPr>
          <w:lang w:val="en-GB"/>
        </w:rPr>
      </w:pPr>
    </w:p>
    <w:p w14:paraId="04FC769C" w14:textId="77777777" w:rsidR="00E872FB" w:rsidRDefault="00E872FB" w:rsidP="00383833">
      <w:pPr>
        <w:jc w:val="both"/>
        <w:rPr>
          <w:b/>
          <w:bCs/>
          <w:lang w:val="en-GB"/>
        </w:rPr>
      </w:pPr>
    </w:p>
    <w:p w14:paraId="0FB930C0" w14:textId="530079CB" w:rsidR="00383833" w:rsidRPr="00924238" w:rsidRDefault="000020DD" w:rsidP="00924238">
      <w:pPr>
        <w:pStyle w:val="Heading3"/>
        <w:rPr>
          <w:rFonts w:ascii="Times New Roman" w:hAnsi="Times New Roman" w:cs="Times New Roman"/>
          <w:b/>
          <w:bCs/>
          <w:color w:val="auto"/>
          <w:sz w:val="24"/>
          <w:szCs w:val="24"/>
        </w:rPr>
      </w:pPr>
      <w:bookmarkStart w:id="8" w:name="_Toc235161888"/>
      <w:r w:rsidRPr="00924238">
        <w:rPr>
          <w:rFonts w:ascii="Times New Roman" w:hAnsi="Times New Roman" w:cs="Times New Roman"/>
          <w:b/>
          <w:bCs/>
          <w:color w:val="auto"/>
          <w:sz w:val="24"/>
          <w:szCs w:val="24"/>
        </w:rPr>
        <w:t xml:space="preserve">Supplementary Fig. </w:t>
      </w:r>
      <w:r w:rsidR="00EF1260" w:rsidRPr="00924238">
        <w:rPr>
          <w:rFonts w:ascii="Times New Roman" w:hAnsi="Times New Roman" w:cs="Times New Roman"/>
          <w:b/>
          <w:bCs/>
          <w:color w:val="auto"/>
          <w:sz w:val="24"/>
          <w:szCs w:val="24"/>
        </w:rPr>
        <w:t>4</w:t>
      </w:r>
      <w:r w:rsidRPr="00924238">
        <w:rPr>
          <w:rFonts w:ascii="Times New Roman" w:hAnsi="Times New Roman" w:cs="Times New Roman"/>
          <w:b/>
          <w:bCs/>
          <w:color w:val="auto"/>
          <w:sz w:val="24"/>
          <w:szCs w:val="24"/>
        </w:rPr>
        <w:t xml:space="preserve">:  </w:t>
      </w:r>
      <w:r w:rsidR="00383833" w:rsidRPr="00924238">
        <w:rPr>
          <w:rFonts w:ascii="Times New Roman" w:hAnsi="Times New Roman" w:cs="Times New Roman"/>
          <w:b/>
          <w:bCs/>
          <w:color w:val="auto"/>
          <w:sz w:val="24"/>
          <w:szCs w:val="24"/>
        </w:rPr>
        <w:t xml:space="preserve"> Lag–</w:t>
      </w:r>
      <w:r w:rsidR="00C23852" w:rsidRPr="00924238">
        <w:rPr>
          <w:rFonts w:ascii="Times New Roman" w:hAnsi="Times New Roman" w:cs="Times New Roman"/>
          <w:b/>
          <w:bCs/>
          <w:color w:val="auto"/>
          <w:sz w:val="24"/>
          <w:szCs w:val="24"/>
        </w:rPr>
        <w:t>specific</w:t>
      </w:r>
      <w:r w:rsidR="00383833" w:rsidRPr="00924238">
        <w:rPr>
          <w:rFonts w:ascii="Times New Roman" w:hAnsi="Times New Roman" w:cs="Times New Roman"/>
          <w:b/>
          <w:bCs/>
          <w:color w:val="auto"/>
          <w:sz w:val="24"/>
          <w:szCs w:val="24"/>
        </w:rPr>
        <w:t xml:space="preserve"> relationship between </w:t>
      </w:r>
      <w:proofErr w:type="spellStart"/>
      <w:r w:rsidR="00C23852" w:rsidRPr="00924238">
        <w:rPr>
          <w:rFonts w:ascii="Times New Roman" w:hAnsi="Times New Roman" w:cs="Times New Roman"/>
          <w:b/>
          <w:bCs/>
          <w:color w:val="auto"/>
          <w:sz w:val="24"/>
          <w:szCs w:val="24"/>
        </w:rPr>
        <w:t>BIwaste</w:t>
      </w:r>
      <w:proofErr w:type="spellEnd"/>
      <w:r w:rsidR="00C23852" w:rsidRPr="00924238">
        <w:rPr>
          <w:rFonts w:ascii="Times New Roman" w:hAnsi="Times New Roman" w:cs="Times New Roman"/>
          <w:b/>
          <w:bCs/>
          <w:color w:val="auto"/>
          <w:sz w:val="24"/>
          <w:szCs w:val="24"/>
        </w:rPr>
        <w:t xml:space="preserve"> </w:t>
      </w:r>
      <w:r w:rsidR="00383833" w:rsidRPr="00924238">
        <w:rPr>
          <w:rFonts w:ascii="Times New Roman" w:hAnsi="Times New Roman" w:cs="Times New Roman"/>
          <w:b/>
          <w:bCs/>
          <w:color w:val="auto"/>
          <w:sz w:val="24"/>
          <w:szCs w:val="24"/>
        </w:rPr>
        <w:t>and dengue incidence.</w:t>
      </w:r>
      <w:bookmarkEnd w:id="8"/>
      <w:r w:rsidR="00C23852" w:rsidRPr="00924238">
        <w:rPr>
          <w:rFonts w:ascii="Times New Roman" w:hAnsi="Times New Roman" w:cs="Times New Roman"/>
          <w:b/>
          <w:bCs/>
          <w:color w:val="auto"/>
          <w:sz w:val="24"/>
          <w:szCs w:val="24"/>
        </w:rPr>
        <w:t xml:space="preserve"> </w:t>
      </w:r>
    </w:p>
    <w:p w14:paraId="4E8FEBC6" w14:textId="77777777" w:rsidR="00383833" w:rsidRDefault="00383833" w:rsidP="004E6BA5">
      <w:pPr>
        <w:jc w:val="both"/>
        <w:rPr>
          <w:lang w:val="en-GB"/>
        </w:rPr>
      </w:pPr>
      <w:r w:rsidRPr="00383833">
        <w:rPr>
          <w:lang w:val="en-GB"/>
        </w:rPr>
        <w:t>Lag-specific relative risks (RR) of dengue across selected lag periods (0–12 weeks) pooled across all the districts, showing the temporal distribution of exposure effects. The strongest associations are observed at 2–12 weeks following exposure, consistent with vector and pathogen dynamics. Shaded regions represent 95% confidence intervals.</w:t>
      </w:r>
    </w:p>
    <w:p w14:paraId="462CBA1A" w14:textId="77777777" w:rsidR="00E872FB" w:rsidRDefault="00E872FB" w:rsidP="00383833">
      <w:pPr>
        <w:jc w:val="both"/>
        <w:rPr>
          <w:lang w:val="en-GB"/>
        </w:rPr>
      </w:pPr>
    </w:p>
    <w:p w14:paraId="5158EACB" w14:textId="77777777" w:rsidR="00E872FB" w:rsidRDefault="00E872FB" w:rsidP="00383833">
      <w:pPr>
        <w:jc w:val="both"/>
        <w:rPr>
          <w:lang w:val="en-GB"/>
        </w:rPr>
      </w:pPr>
    </w:p>
    <w:p w14:paraId="32C1C4B6" w14:textId="77777777" w:rsidR="00E872FB" w:rsidRDefault="00E872FB" w:rsidP="00E872FB">
      <w:pPr>
        <w:jc w:val="both"/>
        <w:rPr>
          <w:lang w:val="en-GB"/>
        </w:rPr>
      </w:pPr>
    </w:p>
    <w:p w14:paraId="1049FA49" w14:textId="77777777" w:rsidR="00E872FB" w:rsidRDefault="00E872FB" w:rsidP="00E872FB">
      <w:pPr>
        <w:jc w:val="both"/>
        <w:rPr>
          <w:lang w:val="en-GB"/>
        </w:rPr>
      </w:pPr>
    </w:p>
    <w:p w14:paraId="019980ED" w14:textId="77777777" w:rsidR="00E872FB" w:rsidRPr="00383833" w:rsidRDefault="00E872FB" w:rsidP="00383833">
      <w:pPr>
        <w:jc w:val="both"/>
        <w:rPr>
          <w:lang w:val="en-GB"/>
        </w:rPr>
      </w:pPr>
    </w:p>
    <w:p w14:paraId="0B529B3F" w14:textId="77777777" w:rsidR="00383833" w:rsidRDefault="00383833" w:rsidP="00D33CDA">
      <w:pPr>
        <w:jc w:val="both"/>
        <w:rPr>
          <w:lang w:val="en-GB"/>
        </w:rPr>
      </w:pPr>
    </w:p>
    <w:p w14:paraId="7BE1557B" w14:textId="6F818DA3" w:rsidR="00E54BF7" w:rsidRDefault="00B50A3D" w:rsidP="00B50A3D">
      <w:pPr>
        <w:jc w:val="center"/>
        <w:rPr>
          <w:lang w:val="en-GB"/>
        </w:rPr>
      </w:pPr>
      <w:r w:rsidRPr="00B50A3D">
        <w:rPr>
          <w:noProof/>
          <w:lang w:val="en-GB"/>
        </w:rPr>
        <w:lastRenderedPageBreak/>
        <w:drawing>
          <wp:inline distT="0" distB="0" distL="0" distR="0" wp14:anchorId="58239A0E" wp14:editId="12F79801">
            <wp:extent cx="5556395" cy="2651754"/>
            <wp:effectExtent l="0" t="0" r="0" b="3175"/>
            <wp:docPr id="2016173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73289" name=""/>
                    <pic:cNvPicPr/>
                  </pic:nvPicPr>
                  <pic:blipFill>
                    <a:blip r:embed="rId12"/>
                    <a:stretch>
                      <a:fillRect/>
                    </a:stretch>
                  </pic:blipFill>
                  <pic:spPr>
                    <a:xfrm>
                      <a:off x="0" y="0"/>
                      <a:ext cx="5590346" cy="2667957"/>
                    </a:xfrm>
                    <a:prstGeom prst="rect">
                      <a:avLst/>
                    </a:prstGeom>
                  </pic:spPr>
                </pic:pic>
              </a:graphicData>
            </a:graphic>
          </wp:inline>
        </w:drawing>
      </w:r>
    </w:p>
    <w:p w14:paraId="2A2A6E2F" w14:textId="30718DD0" w:rsidR="00E54BF7" w:rsidRDefault="00E54BF7" w:rsidP="00D33CDA">
      <w:pPr>
        <w:jc w:val="both"/>
        <w:rPr>
          <w:lang w:val="en-GB"/>
        </w:rPr>
      </w:pPr>
      <w:bookmarkStart w:id="9" w:name="_Toc235161889"/>
      <w:r w:rsidRPr="00924238">
        <w:rPr>
          <w:rStyle w:val="Heading3Char"/>
          <w:b/>
          <w:bCs/>
          <w:color w:val="auto"/>
          <w:sz w:val="24"/>
          <w:szCs w:val="24"/>
          <w:lang w:val="en-GB"/>
        </w:rPr>
        <w:t xml:space="preserve">Supplementary Fig. </w:t>
      </w:r>
      <w:r w:rsidR="00EF1260" w:rsidRPr="00924238">
        <w:rPr>
          <w:rStyle w:val="Heading3Char"/>
          <w:b/>
          <w:bCs/>
          <w:color w:val="auto"/>
          <w:sz w:val="24"/>
          <w:szCs w:val="24"/>
          <w:lang w:val="en-GB"/>
        </w:rPr>
        <w:t>5</w:t>
      </w:r>
      <w:r w:rsidRPr="00924238">
        <w:rPr>
          <w:rStyle w:val="Heading3Char"/>
          <w:b/>
          <w:bCs/>
          <w:color w:val="auto"/>
          <w:sz w:val="24"/>
          <w:szCs w:val="24"/>
          <w:lang w:val="en-GB"/>
        </w:rPr>
        <w:t xml:space="preserve">: Effect modification of the </w:t>
      </w:r>
      <w:proofErr w:type="spellStart"/>
      <w:r w:rsidRPr="00924238">
        <w:rPr>
          <w:rStyle w:val="Heading3Char"/>
          <w:b/>
          <w:bCs/>
          <w:color w:val="auto"/>
          <w:sz w:val="24"/>
          <w:szCs w:val="24"/>
        </w:rPr>
        <w:t>BIwaste</w:t>
      </w:r>
      <w:proofErr w:type="spellEnd"/>
      <w:r w:rsidRPr="00924238">
        <w:rPr>
          <w:rStyle w:val="Heading3Char"/>
          <w:b/>
          <w:bCs/>
          <w:color w:val="auto"/>
          <w:sz w:val="24"/>
          <w:szCs w:val="24"/>
        </w:rPr>
        <w:t>–</w:t>
      </w:r>
      <w:r w:rsidRPr="00924238">
        <w:rPr>
          <w:rStyle w:val="Heading3Char"/>
          <w:b/>
          <w:bCs/>
          <w:color w:val="auto"/>
          <w:sz w:val="24"/>
          <w:szCs w:val="24"/>
          <w:lang w:val="en-GB"/>
        </w:rPr>
        <w:t>dengue association by climate and landscape.</w:t>
      </w:r>
      <w:bookmarkEnd w:id="9"/>
      <w:r w:rsidRPr="00924238">
        <w:rPr>
          <w:lang w:val="en-GB"/>
        </w:rPr>
        <w:t xml:space="preserve"> </w:t>
      </w:r>
      <w:r w:rsidRPr="004E6BA5">
        <w:rPr>
          <w:lang w:val="en-GB"/>
        </w:rPr>
        <w:t xml:space="preserve">Multivariate meta-regression of distributed lag non-linear model (DLNM) coefficients across 28 districts. (A) Stratified exposure–response curves by national climate zones: Dry (&lt;1250 mm), Intermediate (1250–2500 mm), and Wet (&gt;2500 mm). While a positive association persists across all zones, the magnitude of relative risk (RR) shows limited differentiation based on rainfall alone (LR test p = 0.012; Wald p = 0.80). (B) Stratified curves across the urban–rural gradient, comparing rural baseline regions, peri-urban transition zones, and the highly urbanized Western Province. The urban–rural context significantly modifies the association (LR test p &lt; 0.001), with the highest risk escalation observed in urban settings. The solid black lines in both panels represent the national pooled overall association. All associations are anchored to the 0th percentile of the </w:t>
      </w:r>
      <w:proofErr w:type="spellStart"/>
      <w:r w:rsidRPr="004E6BA5">
        <w:t>BIwaste</w:t>
      </w:r>
      <w:proofErr w:type="spellEnd"/>
      <w:r w:rsidRPr="004E6BA5">
        <w:rPr>
          <w:lang w:val="en-GB"/>
        </w:rPr>
        <w:t xml:space="preserve"> ECDF.</w:t>
      </w:r>
      <w:r w:rsidR="006D72A4">
        <w:rPr>
          <w:lang w:val="en-GB"/>
        </w:rPr>
        <w:t xml:space="preserve">  </w:t>
      </w:r>
    </w:p>
    <w:p w14:paraId="50D8134C" w14:textId="77777777" w:rsidR="008D1098" w:rsidRDefault="008D1098" w:rsidP="00D33CDA">
      <w:pPr>
        <w:jc w:val="both"/>
        <w:rPr>
          <w:lang w:val="en-GB"/>
        </w:rPr>
      </w:pPr>
    </w:p>
    <w:p w14:paraId="3C6D77F8" w14:textId="1B877321" w:rsidR="008D1098" w:rsidRPr="003518F8" w:rsidRDefault="008D1098" w:rsidP="004E6BA5">
      <w:pPr>
        <w:pStyle w:val="Heading3"/>
        <w:rPr>
          <w:rFonts w:ascii="Times New Roman" w:hAnsi="Times New Roman" w:cs="Times New Roman"/>
          <w:b/>
          <w:bCs/>
          <w:color w:val="auto"/>
          <w:sz w:val="24"/>
          <w:szCs w:val="24"/>
          <w:lang w:val="en-GB"/>
        </w:rPr>
      </w:pPr>
      <w:bookmarkStart w:id="10" w:name="_Toc235161890"/>
      <w:r w:rsidRPr="003518F8">
        <w:rPr>
          <w:rFonts w:ascii="Times New Roman" w:hAnsi="Times New Roman" w:cs="Times New Roman"/>
          <w:b/>
          <w:bCs/>
          <w:color w:val="auto"/>
          <w:sz w:val="24"/>
          <w:szCs w:val="24"/>
          <w:lang w:val="en-GB"/>
        </w:rPr>
        <w:t>Table S</w:t>
      </w:r>
      <w:r w:rsidR="00A93E4F" w:rsidRPr="003518F8">
        <w:rPr>
          <w:rFonts w:ascii="Times New Roman" w:hAnsi="Times New Roman" w:cs="Times New Roman"/>
          <w:b/>
          <w:bCs/>
          <w:color w:val="auto"/>
          <w:sz w:val="24"/>
          <w:szCs w:val="24"/>
          <w:lang w:val="en-GB"/>
        </w:rPr>
        <w:t>3</w:t>
      </w:r>
      <w:r w:rsidRPr="003518F8">
        <w:rPr>
          <w:rFonts w:ascii="Times New Roman" w:hAnsi="Times New Roman" w:cs="Times New Roman"/>
          <w:b/>
          <w:bCs/>
          <w:color w:val="auto"/>
          <w:sz w:val="24"/>
          <w:szCs w:val="24"/>
          <w:lang w:val="en-GB"/>
        </w:rPr>
        <w:t>: Univariable multivariate meta-regression of climate zones and urban-rural gradient</w:t>
      </w:r>
      <w:bookmarkEnd w:id="10"/>
    </w:p>
    <w:p w14:paraId="04ACC99B" w14:textId="77777777" w:rsidR="008D1098" w:rsidRDefault="008D1098" w:rsidP="00D33CDA">
      <w:pPr>
        <w:jc w:val="both"/>
        <w:rPr>
          <w:lang w:val="en-GB"/>
        </w:rPr>
      </w:pPr>
    </w:p>
    <w:tbl>
      <w:tblPr>
        <w:tblW w:w="9715" w:type="dxa"/>
        <w:tblCellMar>
          <w:top w:w="15" w:type="dxa"/>
          <w:left w:w="15" w:type="dxa"/>
          <w:bottom w:w="15" w:type="dxa"/>
          <w:right w:w="15" w:type="dxa"/>
        </w:tblCellMar>
        <w:tblLook w:val="04A0" w:firstRow="1" w:lastRow="0" w:firstColumn="1" w:lastColumn="0" w:noHBand="0" w:noVBand="1"/>
      </w:tblPr>
      <w:tblGrid>
        <w:gridCol w:w="1347"/>
        <w:gridCol w:w="656"/>
        <w:gridCol w:w="474"/>
        <w:gridCol w:w="667"/>
        <w:gridCol w:w="616"/>
        <w:gridCol w:w="656"/>
        <w:gridCol w:w="656"/>
        <w:gridCol w:w="863"/>
        <w:gridCol w:w="683"/>
        <w:gridCol w:w="667"/>
        <w:gridCol w:w="897"/>
        <w:gridCol w:w="723"/>
        <w:gridCol w:w="810"/>
      </w:tblGrid>
      <w:tr w:rsidR="008D1098" w14:paraId="14448CC7" w14:textId="77777777" w:rsidTr="008D10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4972C" w14:textId="77777777" w:rsidR="008D1098" w:rsidRDefault="008D1098">
            <w:pPr>
              <w:pStyle w:val="NormalWeb"/>
              <w:spacing w:before="0" w:beforeAutospacing="0" w:after="0" w:afterAutospacing="0"/>
              <w:jc w:val="center"/>
            </w:pPr>
            <w:r>
              <w:rPr>
                <w:b/>
                <w:bCs/>
                <w:color w:val="000000"/>
                <w:sz w:val="16"/>
                <w:szCs w:val="16"/>
              </w:rPr>
              <w:t>Model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831ED" w14:textId="77777777" w:rsidR="008D1098" w:rsidRDefault="008D1098">
            <w:pPr>
              <w:pStyle w:val="NormalWeb"/>
              <w:spacing w:before="0" w:beforeAutospacing="0" w:after="0" w:afterAutospacing="0"/>
              <w:jc w:val="center"/>
            </w:pPr>
            <w:r>
              <w:rPr>
                <w:b/>
                <w:bCs/>
                <w:color w:val="000000"/>
                <w:sz w:val="16"/>
                <w:szCs w:val="16"/>
              </w:rPr>
              <w:t>Q</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01AC1" w14:textId="31858953" w:rsidR="008D1098" w:rsidRDefault="008D1098">
            <w:pPr>
              <w:pStyle w:val="NormalWeb"/>
              <w:spacing w:before="0" w:beforeAutospacing="0" w:after="0" w:afterAutospacing="0"/>
              <w:jc w:val="center"/>
            </w:pPr>
            <w:proofErr w:type="spellStart"/>
            <w:r w:rsidRPr="008D1098">
              <w:rPr>
                <w:b/>
                <w:bCs/>
                <w:i/>
                <w:iCs/>
                <w:color w:val="000000"/>
                <w:sz w:val="16"/>
                <w:szCs w:val="16"/>
              </w:rPr>
              <w:t>df</w:t>
            </w:r>
            <w:r>
              <w:rPr>
                <w:b/>
                <w:bCs/>
                <w:color w:val="000000"/>
                <w:sz w:val="16"/>
                <w:szCs w:val="16"/>
              </w:rPr>
              <w:t>Q</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3F26CB" w14:textId="490A1EA1" w:rsidR="008D1098" w:rsidRDefault="008D1098">
            <w:pPr>
              <w:pStyle w:val="NormalWeb"/>
              <w:spacing w:before="0" w:beforeAutospacing="0" w:after="0" w:afterAutospacing="0"/>
              <w:jc w:val="center"/>
            </w:pPr>
            <w:proofErr w:type="spellStart"/>
            <w:r w:rsidRPr="008D1098">
              <w:rPr>
                <w:color w:val="000000"/>
                <w:sz w:val="16"/>
                <w:szCs w:val="16"/>
              </w:rPr>
              <w:t>p</w:t>
            </w:r>
            <w:r>
              <w:rPr>
                <w:b/>
                <w:bCs/>
                <w:color w:val="000000"/>
                <w:sz w:val="16"/>
                <w:szCs w:val="16"/>
              </w:rPr>
              <w:t>Q</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C01AEE" w14:textId="77777777" w:rsidR="008D1098" w:rsidRDefault="008D1098">
            <w:pPr>
              <w:pStyle w:val="NormalWeb"/>
              <w:spacing w:before="0" w:beforeAutospacing="0" w:after="0" w:afterAutospacing="0"/>
              <w:jc w:val="center"/>
            </w:pPr>
            <w:r>
              <w:rPr>
                <w:b/>
                <w:bCs/>
                <w:color w:val="000000"/>
                <w:sz w:val="16"/>
                <w:szCs w:val="16"/>
              </w:rPr>
              <w:t>I²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D5E692" w14:textId="77777777" w:rsidR="008D1098" w:rsidRDefault="008D1098">
            <w:pPr>
              <w:pStyle w:val="NormalWeb"/>
              <w:spacing w:before="0" w:beforeAutospacing="0" w:after="0" w:afterAutospacing="0"/>
              <w:jc w:val="center"/>
            </w:pPr>
            <w:r>
              <w:rPr>
                <w:b/>
                <w:bCs/>
                <w:color w:val="000000"/>
                <w:sz w:val="16"/>
                <w:szCs w:val="16"/>
              </w:rPr>
              <w:t>AIC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B14CF" w14:textId="77777777" w:rsidR="008D1098" w:rsidRDefault="008D1098">
            <w:pPr>
              <w:pStyle w:val="NormalWeb"/>
              <w:spacing w:before="0" w:beforeAutospacing="0" w:after="0" w:afterAutospacing="0"/>
              <w:jc w:val="center"/>
            </w:pPr>
            <w:r>
              <w:rPr>
                <w:b/>
                <w:bCs/>
                <w:color w:val="000000"/>
                <w:sz w:val="16"/>
                <w:szCs w:val="16"/>
              </w:rPr>
              <w:t>BIC</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59EB4C" w14:textId="77777777" w:rsidR="008D1098" w:rsidRDefault="008D1098">
            <w:pPr>
              <w:pStyle w:val="NormalWeb"/>
              <w:spacing w:before="0" w:beforeAutospacing="0" w:after="0" w:afterAutospacing="0"/>
              <w:jc w:val="center"/>
            </w:pPr>
            <w:r>
              <w:rPr>
                <w:b/>
                <w:bCs/>
                <w:color w:val="000000"/>
                <w:sz w:val="16"/>
                <w:szCs w:val="16"/>
              </w:rPr>
              <w:t>LR stat</w:t>
            </w:r>
          </w:p>
        </w:tc>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47F85" w14:textId="2445D76A" w:rsidR="008D1098" w:rsidRDefault="008D1098">
            <w:pPr>
              <w:pStyle w:val="NormalWeb"/>
              <w:spacing w:before="0" w:beforeAutospacing="0" w:after="0" w:afterAutospacing="0"/>
              <w:jc w:val="center"/>
            </w:pPr>
            <w:proofErr w:type="spellStart"/>
            <w:r w:rsidRPr="008D1098">
              <w:rPr>
                <w:b/>
                <w:bCs/>
                <w:i/>
                <w:iCs/>
                <w:color w:val="000000"/>
                <w:sz w:val="16"/>
                <w:szCs w:val="16"/>
              </w:rPr>
              <w:t>df</w:t>
            </w:r>
            <w:r>
              <w:rPr>
                <w:b/>
                <w:bCs/>
                <w:color w:val="000000"/>
                <w:sz w:val="16"/>
                <w:szCs w:val="16"/>
              </w:rPr>
              <w:t>LR</w:t>
            </w:r>
            <w:proofErr w:type="spellEnd"/>
          </w:p>
        </w:tc>
        <w:tc>
          <w:tcPr>
            <w:tcW w:w="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CFD61" w14:textId="2665B794" w:rsidR="008D1098" w:rsidRDefault="008D1098">
            <w:pPr>
              <w:pStyle w:val="NormalWeb"/>
              <w:spacing w:before="0" w:beforeAutospacing="0" w:after="0" w:afterAutospacing="0"/>
              <w:jc w:val="center"/>
            </w:pPr>
            <w:proofErr w:type="spellStart"/>
            <w:r w:rsidRPr="008D1098">
              <w:rPr>
                <w:b/>
                <w:bCs/>
                <w:i/>
                <w:iCs/>
                <w:color w:val="000000"/>
                <w:sz w:val="16"/>
                <w:szCs w:val="16"/>
              </w:rPr>
              <w:t>p</w:t>
            </w:r>
            <w:r>
              <w:rPr>
                <w:b/>
                <w:bCs/>
                <w:color w:val="000000"/>
                <w:sz w:val="16"/>
                <w:szCs w:val="16"/>
              </w:rPr>
              <w:t>LR</w:t>
            </w:r>
            <w:proofErr w:type="spellEnd"/>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5167CC" w14:textId="77777777" w:rsidR="008D1098" w:rsidRDefault="008D1098">
            <w:pPr>
              <w:pStyle w:val="NormalWeb"/>
              <w:spacing w:before="0" w:beforeAutospacing="0" w:after="0" w:afterAutospacing="0"/>
              <w:jc w:val="center"/>
            </w:pPr>
            <w:r>
              <w:rPr>
                <w:b/>
                <w:bCs/>
                <w:color w:val="000000"/>
                <w:sz w:val="16"/>
                <w:szCs w:val="16"/>
              </w:rPr>
              <w:t>Wald stat</w:t>
            </w:r>
          </w:p>
        </w:tc>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7FD2A" w14:textId="274079D7" w:rsidR="008D1098" w:rsidRDefault="008D1098">
            <w:pPr>
              <w:pStyle w:val="NormalWeb"/>
              <w:spacing w:before="0" w:beforeAutospacing="0" w:after="0" w:afterAutospacing="0"/>
              <w:jc w:val="center"/>
            </w:pPr>
            <w:proofErr w:type="spellStart"/>
            <w:r w:rsidRPr="008D1098">
              <w:rPr>
                <w:b/>
                <w:bCs/>
                <w:i/>
                <w:iCs/>
                <w:color w:val="000000"/>
                <w:sz w:val="16"/>
                <w:szCs w:val="16"/>
              </w:rPr>
              <w:t>df</w:t>
            </w:r>
            <w:r>
              <w:rPr>
                <w:b/>
                <w:bCs/>
                <w:color w:val="000000"/>
                <w:sz w:val="16"/>
                <w:szCs w:val="16"/>
              </w:rPr>
              <w:t>Wald</w:t>
            </w:r>
            <w:proofErr w:type="spellEnd"/>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87F811" w14:textId="6F8EF51C" w:rsidR="008D1098" w:rsidRDefault="008D1098">
            <w:pPr>
              <w:pStyle w:val="NormalWeb"/>
              <w:spacing w:before="0" w:beforeAutospacing="0" w:after="0" w:afterAutospacing="0"/>
              <w:jc w:val="center"/>
            </w:pPr>
            <w:proofErr w:type="spellStart"/>
            <w:r w:rsidRPr="008D1098">
              <w:rPr>
                <w:b/>
                <w:bCs/>
                <w:i/>
                <w:iCs/>
                <w:color w:val="000000"/>
                <w:sz w:val="16"/>
                <w:szCs w:val="16"/>
              </w:rPr>
              <w:t>p</w:t>
            </w:r>
            <w:r>
              <w:rPr>
                <w:b/>
                <w:bCs/>
                <w:color w:val="000000"/>
                <w:sz w:val="16"/>
                <w:szCs w:val="16"/>
              </w:rPr>
              <w:t>Wald</w:t>
            </w:r>
            <w:proofErr w:type="spellEnd"/>
          </w:p>
        </w:tc>
      </w:tr>
      <w:tr w:rsidR="008D1098" w14:paraId="18BC1287" w14:textId="77777777" w:rsidTr="008D10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D977A6" w14:textId="77777777" w:rsidR="008D1098" w:rsidRDefault="008D1098">
            <w:pPr>
              <w:pStyle w:val="NormalWeb"/>
              <w:spacing w:before="0" w:beforeAutospacing="0" w:after="0" w:afterAutospacing="0"/>
            </w:pPr>
            <w:r>
              <w:rPr>
                <w:color w:val="000000"/>
                <w:sz w:val="16"/>
                <w:szCs w:val="16"/>
              </w:rPr>
              <w:t>Intercept-only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CFEE7A" w14:textId="77777777" w:rsidR="008D1098" w:rsidRDefault="008D1098">
            <w:pPr>
              <w:pStyle w:val="NormalWeb"/>
              <w:spacing w:before="0" w:beforeAutospacing="0" w:after="0" w:afterAutospacing="0"/>
              <w:jc w:val="center"/>
            </w:pPr>
            <w:r>
              <w:rPr>
                <w:color w:val="000000"/>
                <w:sz w:val="16"/>
                <w:szCs w:val="16"/>
              </w:rPr>
              <w:t>326.65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C899F" w14:textId="77777777" w:rsidR="008D1098" w:rsidRDefault="008D1098">
            <w:pPr>
              <w:pStyle w:val="NormalWeb"/>
              <w:spacing w:before="0" w:beforeAutospacing="0" w:after="0" w:afterAutospacing="0"/>
              <w:jc w:val="center"/>
            </w:pPr>
            <w:r>
              <w:rPr>
                <w:color w:val="000000"/>
                <w:sz w:val="16"/>
                <w:szCs w:val="16"/>
              </w:rPr>
              <w:t>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887A7" w14:textId="77777777" w:rsidR="008D1098" w:rsidRDefault="008D1098">
            <w:pPr>
              <w:pStyle w:val="NormalWeb"/>
              <w:spacing w:before="0" w:beforeAutospacing="0" w:after="0" w:afterAutospacing="0"/>
              <w:jc w:val="center"/>
            </w:pPr>
            <w:r>
              <w:rPr>
                <w:color w:val="000000"/>
                <w:sz w:val="16"/>
                <w:szCs w:val="16"/>
              </w:rPr>
              <w:t>&lt;0.001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90B47" w14:textId="77777777" w:rsidR="008D1098" w:rsidRDefault="008D1098">
            <w:pPr>
              <w:pStyle w:val="NormalWeb"/>
              <w:spacing w:before="0" w:beforeAutospacing="0" w:after="0" w:afterAutospacing="0"/>
              <w:jc w:val="center"/>
            </w:pPr>
            <w:r>
              <w:rPr>
                <w:color w:val="000000"/>
                <w:sz w:val="16"/>
                <w:szCs w:val="16"/>
              </w:rPr>
              <w:t>75.20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27524" w14:textId="77777777" w:rsidR="008D1098" w:rsidRDefault="008D1098">
            <w:pPr>
              <w:pStyle w:val="NormalWeb"/>
              <w:spacing w:before="0" w:beforeAutospacing="0" w:after="0" w:afterAutospacing="0"/>
              <w:jc w:val="center"/>
            </w:pPr>
            <w:r>
              <w:rPr>
                <w:color w:val="000000"/>
                <w:sz w:val="16"/>
                <w:szCs w:val="16"/>
              </w:rPr>
              <w:t>474.15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84B176" w14:textId="77777777" w:rsidR="008D1098" w:rsidRDefault="008D1098">
            <w:pPr>
              <w:pStyle w:val="NormalWeb"/>
              <w:spacing w:before="0" w:beforeAutospacing="0" w:after="0" w:afterAutospacing="0"/>
              <w:jc w:val="center"/>
            </w:pPr>
            <w:r>
              <w:rPr>
                <w:color w:val="000000"/>
                <w:sz w:val="16"/>
                <w:szCs w:val="16"/>
              </w:rPr>
              <w:t>495.70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98A500" w14:textId="77777777" w:rsidR="008D1098" w:rsidRDefault="008D1098">
            <w:pPr>
              <w:pStyle w:val="NormalWeb"/>
              <w:spacing w:before="0" w:beforeAutospacing="0" w:after="0" w:afterAutospacing="0"/>
              <w:jc w:val="center"/>
            </w:pPr>
            <w:r>
              <w:rPr>
                <w:color w:val="000000"/>
                <w:sz w:val="16"/>
                <w:szCs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EE67D" w14:textId="77777777" w:rsidR="008D1098" w:rsidRDefault="008D1098">
            <w:pPr>
              <w:pStyle w:val="NormalWeb"/>
              <w:spacing w:before="0" w:beforeAutospacing="0" w:after="0" w:afterAutospacing="0"/>
              <w:jc w:val="center"/>
            </w:pPr>
            <w:r>
              <w:rPr>
                <w:color w:val="000000"/>
                <w:sz w:val="16"/>
                <w:szCs w:val="16"/>
              </w:rPr>
              <w:t>—</w:t>
            </w:r>
          </w:p>
        </w:tc>
        <w:tc>
          <w:tcPr>
            <w:tcW w:w="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D1C0F" w14:textId="77777777" w:rsidR="008D1098" w:rsidRDefault="008D1098">
            <w:pPr>
              <w:pStyle w:val="NormalWeb"/>
              <w:spacing w:before="0" w:beforeAutospacing="0" w:after="0" w:afterAutospacing="0"/>
              <w:jc w:val="center"/>
            </w:pPr>
            <w:r>
              <w:rPr>
                <w:color w:val="000000"/>
                <w:sz w:val="16"/>
                <w:szCs w:val="16"/>
              </w:rPr>
              <w:t>—</w:t>
            </w:r>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A2C57" w14:textId="77777777" w:rsidR="008D1098" w:rsidRDefault="008D1098">
            <w:pPr>
              <w:pStyle w:val="NormalWeb"/>
              <w:spacing w:before="0" w:beforeAutospacing="0" w:after="0" w:afterAutospacing="0"/>
              <w:jc w:val="center"/>
            </w:pPr>
            <w:r>
              <w:rPr>
                <w:color w:val="000000"/>
                <w:sz w:val="16"/>
                <w:szCs w:val="16"/>
              </w:rPr>
              <w:t>—</w:t>
            </w:r>
          </w:p>
        </w:tc>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3C49F" w14:textId="77777777" w:rsidR="008D1098" w:rsidRDefault="008D1098">
            <w:pPr>
              <w:pStyle w:val="NormalWeb"/>
              <w:spacing w:before="0" w:beforeAutospacing="0" w:after="0" w:afterAutospacing="0"/>
              <w:jc w:val="center"/>
            </w:pPr>
            <w:r>
              <w:rPr>
                <w:color w:val="000000"/>
                <w:sz w:val="16"/>
                <w:szCs w:val="16"/>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AD863" w14:textId="77777777" w:rsidR="008D1098" w:rsidRDefault="008D1098">
            <w:pPr>
              <w:pStyle w:val="NormalWeb"/>
              <w:spacing w:before="0" w:beforeAutospacing="0" w:after="0" w:afterAutospacing="0"/>
              <w:jc w:val="center"/>
            </w:pPr>
            <w:r>
              <w:rPr>
                <w:color w:val="000000"/>
                <w:sz w:val="16"/>
                <w:szCs w:val="16"/>
              </w:rPr>
              <w:t>—</w:t>
            </w:r>
          </w:p>
        </w:tc>
      </w:tr>
      <w:tr w:rsidR="008D1098" w14:paraId="4991C9C6" w14:textId="77777777" w:rsidTr="008D10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F803E" w14:textId="77777777" w:rsidR="008D1098" w:rsidRDefault="008D1098">
            <w:pPr>
              <w:pStyle w:val="NormalWeb"/>
              <w:spacing w:before="0" w:beforeAutospacing="0" w:after="0" w:afterAutospacing="0"/>
            </w:pPr>
            <w:r>
              <w:rPr>
                <w:color w:val="000000"/>
                <w:sz w:val="16"/>
                <w:szCs w:val="16"/>
              </w:rPr>
              <w:t>Annual rainfall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76AAC" w14:textId="77777777" w:rsidR="008D1098" w:rsidRDefault="008D1098">
            <w:pPr>
              <w:pStyle w:val="NormalWeb"/>
              <w:spacing w:before="0" w:beforeAutospacing="0" w:after="0" w:afterAutospacing="0"/>
              <w:jc w:val="center"/>
            </w:pPr>
            <w:r>
              <w:rPr>
                <w:color w:val="000000"/>
                <w:sz w:val="16"/>
                <w:szCs w:val="16"/>
              </w:rPr>
              <w:t>307.96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3F90B" w14:textId="77777777" w:rsidR="008D1098" w:rsidRDefault="008D1098">
            <w:pPr>
              <w:pStyle w:val="NormalWeb"/>
              <w:spacing w:before="0" w:beforeAutospacing="0" w:after="0" w:afterAutospacing="0"/>
              <w:jc w:val="center"/>
            </w:pPr>
            <w:r>
              <w:rPr>
                <w:color w:val="000000"/>
                <w:sz w:val="16"/>
                <w:szCs w:val="16"/>
              </w:rPr>
              <w:t>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5DA16" w14:textId="77777777" w:rsidR="008D1098" w:rsidRDefault="008D1098">
            <w:pPr>
              <w:pStyle w:val="NormalWeb"/>
              <w:spacing w:before="0" w:beforeAutospacing="0" w:after="0" w:afterAutospacing="0"/>
              <w:jc w:val="center"/>
            </w:pPr>
            <w:r>
              <w:rPr>
                <w:color w:val="000000"/>
                <w:sz w:val="16"/>
                <w:szCs w:val="16"/>
              </w:rPr>
              <w:t>&lt;0.001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CC5594" w14:textId="77777777" w:rsidR="008D1098" w:rsidRDefault="008D1098">
            <w:pPr>
              <w:pStyle w:val="NormalWeb"/>
              <w:spacing w:before="0" w:beforeAutospacing="0" w:after="0" w:afterAutospacing="0"/>
              <w:jc w:val="center"/>
            </w:pPr>
            <w:r>
              <w:rPr>
                <w:color w:val="000000"/>
                <w:sz w:val="16"/>
                <w:szCs w:val="16"/>
              </w:rPr>
              <w:t>74.67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C1BED" w14:textId="77777777" w:rsidR="008D1098" w:rsidRDefault="008D1098">
            <w:pPr>
              <w:pStyle w:val="NormalWeb"/>
              <w:spacing w:before="0" w:beforeAutospacing="0" w:after="0" w:afterAutospacing="0"/>
              <w:jc w:val="center"/>
            </w:pPr>
            <w:r>
              <w:rPr>
                <w:color w:val="000000"/>
                <w:sz w:val="16"/>
                <w:szCs w:val="16"/>
              </w:rPr>
              <w:t>516.93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85B65" w14:textId="77777777" w:rsidR="008D1098" w:rsidRDefault="008D1098">
            <w:pPr>
              <w:pStyle w:val="NormalWeb"/>
              <w:spacing w:before="0" w:beforeAutospacing="0" w:after="0" w:afterAutospacing="0"/>
              <w:jc w:val="center"/>
            </w:pPr>
            <w:r>
              <w:rPr>
                <w:color w:val="000000"/>
                <w:sz w:val="16"/>
                <w:szCs w:val="16"/>
              </w:rPr>
              <w:t>545.21</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6F4C0" w14:textId="77777777" w:rsidR="008D1098" w:rsidRDefault="008D1098">
            <w:pPr>
              <w:pStyle w:val="NormalWeb"/>
              <w:spacing w:before="0" w:beforeAutospacing="0" w:after="0" w:afterAutospacing="0"/>
              <w:jc w:val="center"/>
            </w:pPr>
            <w:r>
              <w:rPr>
                <w:color w:val="000000"/>
                <w:sz w:val="16"/>
                <w:szCs w:val="16"/>
              </w:rPr>
              <w:t>-36.77</w:t>
            </w:r>
          </w:p>
        </w:tc>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85964" w14:textId="77777777" w:rsidR="008D1098" w:rsidRDefault="008D1098">
            <w:pPr>
              <w:pStyle w:val="NormalWeb"/>
              <w:spacing w:before="0" w:beforeAutospacing="0" w:after="0" w:afterAutospacing="0"/>
              <w:jc w:val="center"/>
            </w:pPr>
            <w:r>
              <w:rPr>
                <w:color w:val="000000"/>
                <w:sz w:val="16"/>
                <w:szCs w:val="16"/>
              </w:rPr>
              <w:t>3</w:t>
            </w:r>
          </w:p>
        </w:tc>
        <w:tc>
          <w:tcPr>
            <w:tcW w:w="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A43E6" w14:textId="77777777" w:rsidR="008D1098" w:rsidRDefault="008D1098">
            <w:pPr>
              <w:pStyle w:val="NormalWeb"/>
              <w:spacing w:before="0" w:beforeAutospacing="0" w:after="0" w:afterAutospacing="0"/>
              <w:jc w:val="center"/>
            </w:pPr>
            <w:r>
              <w:rPr>
                <w:color w:val="000000"/>
                <w:sz w:val="16"/>
                <w:szCs w:val="16"/>
              </w:rPr>
              <w:t>1.00</w:t>
            </w:r>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AB77B2" w14:textId="77777777" w:rsidR="008D1098" w:rsidRDefault="008D1098">
            <w:pPr>
              <w:pStyle w:val="NormalWeb"/>
              <w:spacing w:before="0" w:beforeAutospacing="0" w:after="0" w:afterAutospacing="0"/>
              <w:jc w:val="center"/>
            </w:pPr>
            <w:r>
              <w:rPr>
                <w:color w:val="000000"/>
                <w:sz w:val="16"/>
                <w:szCs w:val="16"/>
              </w:rPr>
              <w:t>3.25</w:t>
            </w:r>
          </w:p>
        </w:tc>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B906E" w14:textId="77777777" w:rsidR="008D1098" w:rsidRDefault="008D1098">
            <w:pPr>
              <w:pStyle w:val="NormalWeb"/>
              <w:spacing w:before="0" w:beforeAutospacing="0" w:after="0" w:afterAutospacing="0"/>
              <w:jc w:val="center"/>
            </w:pPr>
            <w:r>
              <w:rPr>
                <w:color w:val="000000"/>
                <w:sz w:val="16"/>
                <w:szCs w:val="16"/>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0783E" w14:textId="77777777" w:rsidR="008D1098" w:rsidRDefault="008D1098">
            <w:pPr>
              <w:pStyle w:val="NormalWeb"/>
              <w:spacing w:before="0" w:beforeAutospacing="0" w:after="0" w:afterAutospacing="0"/>
              <w:jc w:val="center"/>
            </w:pPr>
            <w:r>
              <w:rPr>
                <w:color w:val="000000"/>
                <w:sz w:val="16"/>
                <w:szCs w:val="16"/>
              </w:rPr>
              <w:t>0.35</w:t>
            </w:r>
          </w:p>
        </w:tc>
      </w:tr>
      <w:tr w:rsidR="008D1098" w14:paraId="114B7554" w14:textId="77777777" w:rsidTr="008D10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6964E" w14:textId="77777777" w:rsidR="008D1098" w:rsidRDefault="008D1098">
            <w:pPr>
              <w:pStyle w:val="NormalWeb"/>
              <w:spacing w:before="0" w:beforeAutospacing="0" w:after="0" w:afterAutospacing="0"/>
            </w:pPr>
            <w:r>
              <w:rPr>
                <w:color w:val="000000"/>
                <w:sz w:val="16"/>
                <w:szCs w:val="16"/>
              </w:rPr>
              <w:t>Climate zones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F12553" w14:textId="77777777" w:rsidR="008D1098" w:rsidRDefault="008D1098">
            <w:pPr>
              <w:pStyle w:val="NormalWeb"/>
              <w:spacing w:before="0" w:beforeAutospacing="0" w:after="0" w:afterAutospacing="0"/>
              <w:jc w:val="center"/>
            </w:pPr>
            <w:r>
              <w:rPr>
                <w:color w:val="000000"/>
                <w:sz w:val="16"/>
                <w:szCs w:val="16"/>
              </w:rPr>
              <w:t>305.62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31A5B7" w14:textId="77777777" w:rsidR="008D1098" w:rsidRDefault="008D1098">
            <w:pPr>
              <w:pStyle w:val="NormalWeb"/>
              <w:spacing w:before="0" w:beforeAutospacing="0" w:after="0" w:afterAutospacing="0"/>
              <w:jc w:val="center"/>
            </w:pPr>
            <w:r>
              <w:rPr>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F18AC" w14:textId="77777777" w:rsidR="008D1098" w:rsidRDefault="008D1098">
            <w:pPr>
              <w:pStyle w:val="NormalWeb"/>
              <w:spacing w:before="0" w:beforeAutospacing="0" w:after="0" w:afterAutospacing="0"/>
              <w:jc w:val="center"/>
            </w:pPr>
            <w:r>
              <w:rPr>
                <w:color w:val="000000"/>
                <w:sz w:val="16"/>
                <w:szCs w:val="16"/>
              </w:rPr>
              <w:t>&lt;0.001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26B5B" w14:textId="77777777" w:rsidR="008D1098" w:rsidRDefault="008D1098">
            <w:pPr>
              <w:pStyle w:val="NormalWeb"/>
              <w:spacing w:before="0" w:beforeAutospacing="0" w:after="0" w:afterAutospacing="0"/>
              <w:jc w:val="center"/>
            </w:pPr>
            <w:r>
              <w:rPr>
                <w:color w:val="000000"/>
                <w:sz w:val="16"/>
                <w:szCs w:val="16"/>
              </w:rPr>
              <w:t>75.46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D58FA" w14:textId="77777777" w:rsidR="008D1098" w:rsidRDefault="008D1098">
            <w:pPr>
              <w:pStyle w:val="NormalWeb"/>
              <w:spacing w:before="0" w:beforeAutospacing="0" w:after="0" w:afterAutospacing="0"/>
              <w:jc w:val="center"/>
            </w:pPr>
            <w:r>
              <w:rPr>
                <w:color w:val="000000"/>
                <w:sz w:val="16"/>
                <w:szCs w:val="16"/>
              </w:rPr>
              <w:t>469.87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7B3D45" w14:textId="77777777" w:rsidR="008D1098" w:rsidRDefault="008D1098">
            <w:pPr>
              <w:pStyle w:val="NormalWeb"/>
              <w:spacing w:before="0" w:beforeAutospacing="0" w:after="0" w:afterAutospacing="0"/>
              <w:jc w:val="center"/>
            </w:pPr>
            <w:r>
              <w:rPr>
                <w:color w:val="000000"/>
                <w:sz w:val="16"/>
                <w:szCs w:val="16"/>
              </w:rPr>
              <w:t>504.63</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EA60B9" w14:textId="77777777" w:rsidR="008D1098" w:rsidRDefault="008D1098">
            <w:pPr>
              <w:pStyle w:val="NormalWeb"/>
              <w:spacing w:before="0" w:beforeAutospacing="0" w:after="0" w:afterAutospacing="0"/>
              <w:jc w:val="center"/>
            </w:pPr>
            <w:r>
              <w:rPr>
                <w:color w:val="000000"/>
                <w:sz w:val="16"/>
                <w:szCs w:val="16"/>
              </w:rPr>
              <w:t>16.29</w:t>
            </w:r>
          </w:p>
        </w:tc>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D7F2F" w14:textId="77777777" w:rsidR="008D1098" w:rsidRDefault="008D1098">
            <w:pPr>
              <w:pStyle w:val="NormalWeb"/>
              <w:spacing w:before="0" w:beforeAutospacing="0" w:after="0" w:afterAutospacing="0"/>
              <w:jc w:val="center"/>
            </w:pPr>
            <w:r>
              <w:rPr>
                <w:color w:val="000000"/>
                <w:sz w:val="16"/>
                <w:szCs w:val="16"/>
              </w:rPr>
              <w:t>6</w:t>
            </w:r>
          </w:p>
        </w:tc>
        <w:tc>
          <w:tcPr>
            <w:tcW w:w="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551028" w14:textId="77777777" w:rsidR="008D1098" w:rsidRDefault="008D1098">
            <w:pPr>
              <w:pStyle w:val="NormalWeb"/>
              <w:spacing w:before="0" w:beforeAutospacing="0" w:after="0" w:afterAutospacing="0"/>
              <w:jc w:val="center"/>
            </w:pPr>
            <w:r>
              <w:rPr>
                <w:color w:val="000000"/>
                <w:sz w:val="16"/>
                <w:szCs w:val="16"/>
              </w:rPr>
              <w:t>0.012</w:t>
            </w:r>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599F74" w14:textId="77777777" w:rsidR="008D1098" w:rsidRDefault="008D1098">
            <w:pPr>
              <w:pStyle w:val="NormalWeb"/>
              <w:spacing w:before="0" w:beforeAutospacing="0" w:after="0" w:afterAutospacing="0"/>
              <w:jc w:val="center"/>
            </w:pPr>
            <w:r>
              <w:rPr>
                <w:color w:val="000000"/>
                <w:sz w:val="16"/>
                <w:szCs w:val="16"/>
              </w:rPr>
              <w:t>0.99</w:t>
            </w:r>
          </w:p>
        </w:tc>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470593" w14:textId="77777777" w:rsidR="008D1098" w:rsidRDefault="008D1098">
            <w:pPr>
              <w:pStyle w:val="NormalWeb"/>
              <w:spacing w:before="0" w:beforeAutospacing="0" w:after="0" w:afterAutospacing="0"/>
              <w:jc w:val="center"/>
            </w:pPr>
            <w:r>
              <w:rPr>
                <w:color w:val="000000"/>
                <w:sz w:val="16"/>
                <w:szCs w:val="16"/>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ADA97A" w14:textId="77777777" w:rsidR="008D1098" w:rsidRDefault="008D1098">
            <w:pPr>
              <w:pStyle w:val="NormalWeb"/>
              <w:spacing w:before="0" w:beforeAutospacing="0" w:after="0" w:afterAutospacing="0"/>
              <w:jc w:val="center"/>
            </w:pPr>
            <w:r>
              <w:rPr>
                <w:color w:val="000000"/>
                <w:sz w:val="16"/>
                <w:szCs w:val="16"/>
              </w:rPr>
              <w:t>0.80</w:t>
            </w:r>
          </w:p>
        </w:tc>
      </w:tr>
      <w:tr w:rsidR="008D1098" w14:paraId="67F81148" w14:textId="77777777" w:rsidTr="008D10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0E059" w14:textId="77777777" w:rsidR="008D1098" w:rsidRDefault="008D1098">
            <w:pPr>
              <w:pStyle w:val="NormalWeb"/>
              <w:spacing w:before="0" w:beforeAutospacing="0" w:after="0" w:afterAutospacing="0"/>
            </w:pPr>
            <w:r>
              <w:rPr>
                <w:color w:val="000000"/>
                <w:sz w:val="16"/>
                <w:szCs w:val="16"/>
              </w:rPr>
              <w:t>Urban–rural gradient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0B7F16" w14:textId="77777777" w:rsidR="008D1098" w:rsidRDefault="008D1098">
            <w:pPr>
              <w:pStyle w:val="NormalWeb"/>
              <w:spacing w:before="0" w:beforeAutospacing="0" w:after="0" w:afterAutospacing="0"/>
              <w:jc w:val="center"/>
            </w:pPr>
            <w:r>
              <w:rPr>
                <w:color w:val="000000"/>
                <w:sz w:val="16"/>
                <w:szCs w:val="16"/>
              </w:rPr>
              <w:t>278.62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175724" w14:textId="77777777" w:rsidR="008D1098" w:rsidRDefault="008D1098">
            <w:pPr>
              <w:pStyle w:val="NormalWeb"/>
              <w:spacing w:before="0" w:beforeAutospacing="0" w:after="0" w:afterAutospacing="0"/>
              <w:jc w:val="center"/>
            </w:pPr>
            <w:r>
              <w:rPr>
                <w:color w:val="000000"/>
                <w:sz w:val="16"/>
                <w:szCs w:val="16"/>
              </w:rPr>
              <w:t>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6EC59" w14:textId="77777777" w:rsidR="008D1098" w:rsidRDefault="008D1098">
            <w:pPr>
              <w:pStyle w:val="NormalWeb"/>
              <w:spacing w:before="0" w:beforeAutospacing="0" w:after="0" w:afterAutospacing="0"/>
              <w:jc w:val="center"/>
            </w:pPr>
            <w:r>
              <w:rPr>
                <w:color w:val="000000"/>
                <w:sz w:val="16"/>
                <w:szCs w:val="16"/>
              </w:rPr>
              <w:t>&lt;0.001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55FE4E" w14:textId="77777777" w:rsidR="008D1098" w:rsidRDefault="008D1098">
            <w:pPr>
              <w:pStyle w:val="NormalWeb"/>
              <w:spacing w:before="0" w:beforeAutospacing="0" w:after="0" w:afterAutospacing="0"/>
              <w:jc w:val="center"/>
            </w:pPr>
            <w:r>
              <w:rPr>
                <w:color w:val="000000"/>
                <w:sz w:val="16"/>
                <w:szCs w:val="16"/>
              </w:rPr>
              <w:t>75.24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9C65C" w14:textId="77777777" w:rsidR="008D1098" w:rsidRDefault="008D1098">
            <w:pPr>
              <w:pStyle w:val="NormalWeb"/>
              <w:spacing w:before="0" w:beforeAutospacing="0" w:after="0" w:afterAutospacing="0"/>
              <w:jc w:val="center"/>
            </w:pPr>
            <w:r>
              <w:rPr>
                <w:color w:val="000000"/>
                <w:sz w:val="16"/>
                <w:szCs w:val="16"/>
              </w:rPr>
              <w:t>436.94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B90F6" w14:textId="77777777" w:rsidR="008D1098" w:rsidRDefault="008D1098">
            <w:pPr>
              <w:pStyle w:val="NormalWeb"/>
              <w:spacing w:before="0" w:beforeAutospacing="0" w:after="0" w:afterAutospacing="0"/>
              <w:jc w:val="center"/>
            </w:pPr>
            <w:r>
              <w:rPr>
                <w:color w:val="000000"/>
                <w:sz w:val="16"/>
                <w:szCs w:val="16"/>
              </w:rPr>
              <w:t>470.45</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C50987" w14:textId="77777777" w:rsidR="008D1098" w:rsidRDefault="008D1098">
            <w:pPr>
              <w:pStyle w:val="NormalWeb"/>
              <w:spacing w:before="0" w:beforeAutospacing="0" w:after="0" w:afterAutospacing="0"/>
              <w:jc w:val="center"/>
            </w:pPr>
            <w:r>
              <w:rPr>
                <w:color w:val="000000"/>
                <w:sz w:val="16"/>
                <w:szCs w:val="16"/>
              </w:rPr>
              <w:t>49.21</w:t>
            </w:r>
          </w:p>
        </w:tc>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0B69EA" w14:textId="77777777" w:rsidR="008D1098" w:rsidRDefault="008D1098">
            <w:pPr>
              <w:pStyle w:val="NormalWeb"/>
              <w:spacing w:before="0" w:beforeAutospacing="0" w:after="0" w:afterAutospacing="0"/>
              <w:jc w:val="center"/>
            </w:pPr>
            <w:r>
              <w:rPr>
                <w:color w:val="000000"/>
                <w:sz w:val="16"/>
                <w:szCs w:val="16"/>
              </w:rPr>
              <w:t>6</w:t>
            </w:r>
          </w:p>
        </w:tc>
        <w:tc>
          <w:tcPr>
            <w:tcW w:w="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EB291A" w14:textId="77777777" w:rsidR="008D1098" w:rsidRDefault="008D1098">
            <w:pPr>
              <w:pStyle w:val="NormalWeb"/>
              <w:spacing w:before="0" w:beforeAutospacing="0" w:after="0" w:afterAutospacing="0"/>
              <w:jc w:val="center"/>
            </w:pPr>
            <w:r>
              <w:rPr>
                <w:color w:val="000000"/>
                <w:sz w:val="16"/>
                <w:szCs w:val="16"/>
              </w:rPr>
              <w:t>&lt;0.001</w:t>
            </w:r>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947DEC" w14:textId="77777777" w:rsidR="008D1098" w:rsidRDefault="008D1098">
            <w:pPr>
              <w:pStyle w:val="NormalWeb"/>
              <w:spacing w:before="0" w:beforeAutospacing="0" w:after="0" w:afterAutospacing="0"/>
              <w:jc w:val="center"/>
            </w:pPr>
            <w:r>
              <w:rPr>
                <w:color w:val="000000"/>
                <w:sz w:val="16"/>
                <w:szCs w:val="16"/>
              </w:rPr>
              <w:t>8.88</w:t>
            </w:r>
          </w:p>
        </w:tc>
        <w:tc>
          <w:tcPr>
            <w:tcW w:w="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AF9867" w14:textId="77777777" w:rsidR="008D1098" w:rsidRDefault="008D1098">
            <w:pPr>
              <w:pStyle w:val="NormalWeb"/>
              <w:spacing w:before="0" w:beforeAutospacing="0" w:after="0" w:afterAutospacing="0"/>
              <w:jc w:val="center"/>
            </w:pPr>
            <w:r>
              <w:rPr>
                <w:color w:val="000000"/>
                <w:sz w:val="16"/>
                <w:szCs w:val="16"/>
              </w:rPr>
              <w:t>6</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6A72C" w14:textId="77777777" w:rsidR="008D1098" w:rsidRDefault="008D1098">
            <w:pPr>
              <w:pStyle w:val="NormalWeb"/>
              <w:spacing w:before="0" w:beforeAutospacing="0" w:after="0" w:afterAutospacing="0"/>
              <w:jc w:val="center"/>
            </w:pPr>
            <w:r>
              <w:rPr>
                <w:color w:val="000000"/>
                <w:sz w:val="16"/>
                <w:szCs w:val="16"/>
              </w:rPr>
              <w:t>0.18</w:t>
            </w:r>
          </w:p>
        </w:tc>
      </w:tr>
    </w:tbl>
    <w:p w14:paraId="71878BEE" w14:textId="77777777" w:rsidR="008D1098" w:rsidRDefault="008D1098" w:rsidP="00D33CDA">
      <w:pPr>
        <w:jc w:val="both"/>
        <w:rPr>
          <w:lang w:val="en-GB"/>
        </w:rPr>
      </w:pPr>
    </w:p>
    <w:p w14:paraId="146F9B25" w14:textId="77777777" w:rsidR="00894C3A" w:rsidRDefault="00894C3A" w:rsidP="00D33CDA">
      <w:pPr>
        <w:jc w:val="both"/>
        <w:rPr>
          <w:lang w:val="en-GB"/>
        </w:rPr>
      </w:pPr>
    </w:p>
    <w:p w14:paraId="3BDDA480" w14:textId="22985CA6" w:rsidR="00894C3A" w:rsidRPr="00924238" w:rsidRDefault="00894C3A" w:rsidP="00924238">
      <w:pPr>
        <w:pStyle w:val="Heading2"/>
        <w:rPr>
          <w:rFonts w:ascii="Times New Roman" w:hAnsi="Times New Roman" w:cs="Times New Roman"/>
          <w:b/>
          <w:bCs/>
          <w:color w:val="auto"/>
          <w:sz w:val="24"/>
          <w:szCs w:val="24"/>
          <w:lang w:val="en-GB"/>
        </w:rPr>
      </w:pPr>
      <w:bookmarkStart w:id="11" w:name="_Toc235161891"/>
      <w:r w:rsidRPr="00924238">
        <w:rPr>
          <w:rFonts w:ascii="Times New Roman" w:hAnsi="Times New Roman" w:cs="Times New Roman"/>
          <w:b/>
          <w:bCs/>
          <w:color w:val="auto"/>
          <w:sz w:val="24"/>
          <w:szCs w:val="24"/>
          <w:lang w:val="en-GB"/>
        </w:rPr>
        <w:t xml:space="preserve">Validation of </w:t>
      </w:r>
      <w:proofErr w:type="spellStart"/>
      <w:r w:rsidRPr="00924238">
        <w:rPr>
          <w:rFonts w:ascii="Times New Roman" w:hAnsi="Times New Roman" w:cs="Times New Roman"/>
          <w:b/>
          <w:bCs/>
          <w:color w:val="auto"/>
          <w:sz w:val="24"/>
          <w:szCs w:val="24"/>
        </w:rPr>
        <w:t>BI</w:t>
      </w:r>
      <w:r w:rsidRPr="00924238">
        <w:rPr>
          <w:rFonts w:ascii="Times New Roman" w:hAnsi="Times New Roman" w:cs="Times New Roman"/>
          <w:b/>
          <w:bCs/>
          <w:i/>
          <w:iCs/>
          <w:color w:val="auto"/>
          <w:sz w:val="24"/>
          <w:szCs w:val="24"/>
          <w:vertAlign w:val="subscript"/>
        </w:rPr>
        <w:t>waste</w:t>
      </w:r>
      <w:proofErr w:type="spellEnd"/>
      <w:r w:rsidRPr="00924238">
        <w:rPr>
          <w:rFonts w:ascii="Times New Roman" w:hAnsi="Times New Roman" w:cs="Times New Roman"/>
          <w:b/>
          <w:bCs/>
          <w:color w:val="auto"/>
          <w:sz w:val="24"/>
          <w:szCs w:val="24"/>
          <w:lang w:val="en-GB"/>
        </w:rPr>
        <w:t xml:space="preserve"> as the primary risk indicator</w:t>
      </w:r>
      <w:bookmarkEnd w:id="11"/>
    </w:p>
    <w:p w14:paraId="266E48D9" w14:textId="77777777" w:rsidR="00924238" w:rsidRPr="00807BC4" w:rsidRDefault="00924238" w:rsidP="00D33CDA">
      <w:pPr>
        <w:jc w:val="both"/>
        <w:rPr>
          <w:b/>
          <w:bCs/>
          <w:lang w:val="en-GB"/>
        </w:rPr>
      </w:pPr>
    </w:p>
    <w:p w14:paraId="1A13E5B2" w14:textId="7C54CDD9" w:rsidR="006D72A4" w:rsidRDefault="00C220DB" w:rsidP="004E6BA5">
      <w:pPr>
        <w:spacing w:line="276" w:lineRule="auto"/>
        <w:jc w:val="both"/>
        <w:rPr>
          <w:lang w:val="en-GB"/>
        </w:rPr>
      </w:pPr>
      <w:r w:rsidRPr="00C220DB">
        <w:rPr>
          <w:lang w:val="en-GB"/>
        </w:rPr>
        <w:t xml:space="preserve">To establish the epidemiological and policy relevance of our findings, we conducted a systematic comparative analysis of the exposure–response relationships across four distinct environmental domains. By utilizing a harmonized </w:t>
      </w:r>
      <w:proofErr w:type="spellStart"/>
      <w:r w:rsidRPr="00C220DB">
        <w:rPr>
          <w:lang w:val="en-GB"/>
        </w:rPr>
        <w:t>modeling</w:t>
      </w:r>
      <w:proofErr w:type="spellEnd"/>
      <w:r w:rsidRPr="00C220DB">
        <w:rPr>
          <w:lang w:val="en-GB"/>
        </w:rPr>
        <w:t xml:space="preserve"> framework</w:t>
      </w:r>
      <w:r>
        <w:rPr>
          <w:lang w:val="en-GB"/>
        </w:rPr>
        <w:t>–</w:t>
      </w:r>
      <w:r w:rsidRPr="00C220DB">
        <w:rPr>
          <w:lang w:val="en-GB"/>
        </w:rPr>
        <w:t>applying identical two-stage DLNM and multivariate meta-regression specifications to each container category</w:t>
      </w:r>
      <w:r>
        <w:rPr>
          <w:lang w:val="en-GB"/>
        </w:rPr>
        <w:t>–</w:t>
      </w:r>
      <w:r w:rsidRPr="00C220DB">
        <w:rPr>
          <w:lang w:val="en-GB"/>
        </w:rPr>
        <w:t xml:space="preserve">we ensured that all associations were directly comparable. This validation step was </w:t>
      </w:r>
      <w:r>
        <w:rPr>
          <w:lang w:val="en-GB"/>
        </w:rPr>
        <w:t>important</w:t>
      </w:r>
      <w:r w:rsidRPr="00C220DB">
        <w:rPr>
          <w:lang w:val="en-GB"/>
        </w:rPr>
        <w:t xml:space="preserve"> to objectively determine </w:t>
      </w:r>
      <w:r w:rsidRPr="00C220DB">
        <w:rPr>
          <w:lang w:val="en-GB"/>
        </w:rPr>
        <w:lastRenderedPageBreak/>
        <w:t>which environmental reservoir serves as the most potent and reliable predictor of national dengue transmission, thereby justifying its selection for subsequent disease burden attribution.</w:t>
      </w:r>
    </w:p>
    <w:p w14:paraId="738ADA88" w14:textId="77777777" w:rsidR="00C220DB" w:rsidRDefault="00C220DB" w:rsidP="004E6BA5">
      <w:pPr>
        <w:spacing w:line="276" w:lineRule="auto"/>
        <w:jc w:val="both"/>
        <w:rPr>
          <w:lang w:val="en-GB"/>
        </w:rPr>
      </w:pPr>
    </w:p>
    <w:p w14:paraId="64F51782" w14:textId="0300037D" w:rsidR="00C220DB" w:rsidRPr="004E6BA5" w:rsidRDefault="00442123" w:rsidP="004E6BA5">
      <w:pPr>
        <w:pStyle w:val="Heading2"/>
        <w:rPr>
          <w:rFonts w:ascii="Times New Roman" w:hAnsi="Times New Roman" w:cs="Times New Roman"/>
          <w:b/>
          <w:bCs/>
          <w:color w:val="auto"/>
          <w:sz w:val="24"/>
          <w:szCs w:val="24"/>
        </w:rPr>
      </w:pPr>
      <w:bookmarkStart w:id="12" w:name="_Toc235161892"/>
      <w:r w:rsidRPr="004E6BA5">
        <w:rPr>
          <w:rFonts w:ascii="Times New Roman" w:hAnsi="Times New Roman" w:cs="Times New Roman"/>
          <w:b/>
          <w:bCs/>
          <w:color w:val="auto"/>
          <w:sz w:val="24"/>
          <w:szCs w:val="24"/>
        </w:rPr>
        <w:t>Exposure–response associations between container-specific larval indices and dengue relative risk</w:t>
      </w:r>
      <w:bookmarkEnd w:id="12"/>
    </w:p>
    <w:p w14:paraId="05ADEA34" w14:textId="77777777" w:rsidR="00442123" w:rsidRDefault="00442123" w:rsidP="00D33CDA">
      <w:pPr>
        <w:jc w:val="both"/>
      </w:pPr>
    </w:p>
    <w:p w14:paraId="7E979E6A" w14:textId="78B8CF49" w:rsidR="00894C3A" w:rsidRDefault="00894C3A" w:rsidP="004E6BA5">
      <w:pPr>
        <w:spacing w:line="276" w:lineRule="auto"/>
        <w:jc w:val="both"/>
      </w:pPr>
      <w:r w:rsidRPr="00894C3A">
        <w:t xml:space="preserve">Across all evaluated domains, the </w:t>
      </w:r>
      <w:proofErr w:type="spellStart"/>
      <w:r w:rsidRPr="006D72A4">
        <w:t>BI</w:t>
      </w:r>
      <w:r w:rsidRPr="006D72A4">
        <w:rPr>
          <w:i/>
          <w:iCs/>
          <w:vertAlign w:val="subscript"/>
        </w:rPr>
        <w:t>waste</w:t>
      </w:r>
      <w:proofErr w:type="spellEnd"/>
      <w:r w:rsidRPr="00894C3A">
        <w:t xml:space="preserve"> demonstrated the strongest and most consistent association with dengue risk. While </w:t>
      </w:r>
      <w:r>
        <w:t>O</w:t>
      </w:r>
      <w:r w:rsidRPr="00894C3A">
        <w:t xml:space="preserve">rnamental and </w:t>
      </w:r>
      <w:r>
        <w:t>D</w:t>
      </w:r>
      <w:r w:rsidRPr="00894C3A">
        <w:t>omestic containers contribute significantly to the total larval count, their risk profile is markedly delayed, with statistically significant effects emerging only at the 84</w:t>
      </w:r>
      <w:r w:rsidRPr="00894C3A">
        <w:rPr>
          <w:vertAlign w:val="superscript"/>
        </w:rPr>
        <w:t>th</w:t>
      </w:r>
      <w:r w:rsidRPr="00894C3A">
        <w:t xml:space="preserve"> percentile (RR = 2.26; 95% CI: 1.01–5.07). In contrast, </w:t>
      </w:r>
      <w:proofErr w:type="spellStart"/>
      <w:r w:rsidRPr="006D72A4">
        <w:t>BI</w:t>
      </w:r>
      <w:r w:rsidRPr="006D72A4">
        <w:rPr>
          <w:i/>
          <w:iCs/>
          <w:vertAlign w:val="subscript"/>
        </w:rPr>
        <w:t>waste</w:t>
      </w:r>
      <w:proofErr w:type="spellEnd"/>
      <w:r w:rsidRPr="00894C3A">
        <w:t xml:space="preserve"> exhibited a clear threshold pattern where risk began to escalate significantly at the 36</w:t>
      </w:r>
      <w:r w:rsidRPr="00894C3A">
        <w:rPr>
          <w:vertAlign w:val="superscript"/>
        </w:rPr>
        <w:t>th</w:t>
      </w:r>
      <w:r w:rsidRPr="00894C3A">
        <w:t xml:space="preserve"> percentile (RR = 2.53; 95% CI: 1.04–6.15), reaching a peak magnitude (RR = 6.25) nearly double that of ornamental sources (RR = 3.43).</w:t>
      </w:r>
      <w:r w:rsidR="00C220DB">
        <w:t xml:space="preserve"> </w:t>
      </w:r>
      <w:r w:rsidR="00C220DB" w:rsidRPr="00C220DB">
        <w:t>This index demonstrated the lowest heterogeneity among all high-risk models (</w:t>
      </w:r>
      <w:r w:rsidR="00C220DB" w:rsidRPr="00C220DB">
        <w:rPr>
          <w:i/>
          <w:iCs/>
        </w:rPr>
        <w:t>I</w:t>
      </w:r>
      <w:r w:rsidR="00C220DB" w:rsidRPr="00C220DB">
        <w:rPr>
          <w:i/>
          <w:iCs/>
          <w:vertAlign w:val="superscript"/>
        </w:rPr>
        <w:t>2</w:t>
      </w:r>
      <w:r w:rsidR="00C220DB" w:rsidRPr="00C220DB">
        <w:t xml:space="preserve"> = 75.2%), indicating significantly more consistent effects across the 28 districts compared to Total breeding sites (</w:t>
      </w:r>
      <w:r w:rsidR="00C220DB" w:rsidRPr="00C220DB">
        <w:rPr>
          <w:i/>
          <w:iCs/>
        </w:rPr>
        <w:t>I</w:t>
      </w:r>
      <w:r w:rsidR="00C220DB" w:rsidRPr="00C220DB">
        <w:rPr>
          <w:i/>
          <w:iCs/>
          <w:vertAlign w:val="superscript"/>
        </w:rPr>
        <w:t>2</w:t>
      </w:r>
      <w:r w:rsidR="00C220DB" w:rsidRPr="00C220DB">
        <w:t xml:space="preserve"> = 78.6%) or Water storage containers (</w:t>
      </w:r>
      <w:r w:rsidR="00C220DB" w:rsidRPr="00C220DB">
        <w:rPr>
          <w:i/>
          <w:iCs/>
        </w:rPr>
        <w:t>I</w:t>
      </w:r>
      <w:r w:rsidR="00C220DB" w:rsidRPr="00C220DB">
        <w:rPr>
          <w:i/>
          <w:iCs/>
          <w:vertAlign w:val="superscript"/>
        </w:rPr>
        <w:t>2</w:t>
      </w:r>
      <w:r w:rsidR="00C220DB" w:rsidRPr="00C220DB">
        <w:t xml:space="preserve"> = 87.4%).</w:t>
      </w:r>
    </w:p>
    <w:p w14:paraId="49259451" w14:textId="30B05BA6" w:rsidR="00894C3A" w:rsidRDefault="00894C3A" w:rsidP="004E6BA5">
      <w:pPr>
        <w:spacing w:line="276" w:lineRule="auto"/>
        <w:jc w:val="both"/>
      </w:pPr>
      <w:r w:rsidRPr="00894C3A">
        <w:t xml:space="preserve">The stability of the </w:t>
      </w:r>
      <w:proofErr w:type="spellStart"/>
      <w:r w:rsidRPr="006D72A4">
        <w:t>BI</w:t>
      </w:r>
      <w:r w:rsidRPr="006D72A4">
        <w:rPr>
          <w:i/>
          <w:iCs/>
          <w:vertAlign w:val="subscript"/>
        </w:rPr>
        <w:t>waste</w:t>
      </w:r>
      <w:proofErr w:type="spellEnd"/>
      <w:r w:rsidRPr="00894C3A">
        <w:t xml:space="preserve"> model outperformed broader indicators like </w:t>
      </w:r>
      <w:r>
        <w:t>t</w:t>
      </w:r>
      <w:r w:rsidRPr="00894C3A">
        <w:t xml:space="preserve">otal breeding sites, which showed a lower peak risk (RR = 4.04 at the 76th percentile) and a subsequent attenuation at the extreme upper bound. Furthermore, Water storage containers showed no statistically robust threshold, characterized by wide confidence intervals (RR = 2.32; 95% CI: 0.38–14.10) that indicate substantial regional inconsistency and limited predictive value for national-level outbreaks. </w:t>
      </w:r>
    </w:p>
    <w:p w14:paraId="56298213" w14:textId="77A108F6" w:rsidR="00894C3A" w:rsidRPr="006D72A4" w:rsidRDefault="00894C3A" w:rsidP="004E6BA5">
      <w:pPr>
        <w:spacing w:line="276" w:lineRule="auto"/>
        <w:jc w:val="both"/>
      </w:pPr>
      <w:r>
        <w:t xml:space="preserve">These </w:t>
      </w:r>
      <w:r w:rsidRPr="00894C3A">
        <w:t xml:space="preserve">findings indicate a clear gradient of risk that identifies unmanaged </w:t>
      </w:r>
      <w:r>
        <w:t>discarded non-biodegradable waste</w:t>
      </w:r>
      <w:r w:rsidRPr="00894C3A">
        <w:t xml:space="preserve"> as the most potent drivers of transmission among the evaluated sources. The superior "productivity-to-risk" translation of plastic waste</w:t>
      </w:r>
      <w:r>
        <w:t>–</w:t>
      </w:r>
      <w:r w:rsidRPr="00894C3A">
        <w:t>where relatively lower container counts yield higher epidemiological impacts</w:t>
      </w:r>
      <w:r>
        <w:t>–</w:t>
      </w:r>
      <w:r w:rsidRPr="00894C3A">
        <w:t xml:space="preserve">justifies the use of </w:t>
      </w:r>
      <w:proofErr w:type="spellStart"/>
      <w:r w:rsidRPr="006D72A4">
        <w:t>BI</w:t>
      </w:r>
      <w:r w:rsidRPr="006D72A4">
        <w:rPr>
          <w:i/>
          <w:iCs/>
          <w:vertAlign w:val="subscript"/>
        </w:rPr>
        <w:t>waste</w:t>
      </w:r>
      <w:proofErr w:type="spellEnd"/>
      <w:r w:rsidRPr="00894C3A">
        <w:t xml:space="preserve"> as the primary metric for the attribution of disease burden and subsequent cost-of-illness calculations.</w:t>
      </w:r>
    </w:p>
    <w:p w14:paraId="41E7FB86" w14:textId="77777777" w:rsidR="00383833" w:rsidRDefault="00383833" w:rsidP="00D33CDA">
      <w:pPr>
        <w:jc w:val="both"/>
        <w:rPr>
          <w:lang w:val="en-GB"/>
        </w:rPr>
      </w:pPr>
    </w:p>
    <w:p w14:paraId="58E60836" w14:textId="79135EFF" w:rsidR="00D33CDA" w:rsidRPr="004E6BA5" w:rsidRDefault="00D33CDA" w:rsidP="004E6BA5">
      <w:pPr>
        <w:pStyle w:val="Heading2"/>
        <w:rPr>
          <w:rFonts w:ascii="Times New Roman" w:hAnsi="Times New Roman" w:cs="Times New Roman"/>
          <w:b/>
          <w:bCs/>
          <w:color w:val="auto"/>
          <w:sz w:val="24"/>
          <w:szCs w:val="24"/>
          <w:lang w:val="en-GB"/>
        </w:rPr>
      </w:pPr>
      <w:bookmarkStart w:id="13" w:name="_Toc235161893"/>
      <w:r w:rsidRPr="004E6BA5">
        <w:rPr>
          <w:rFonts w:ascii="Times New Roman" w:hAnsi="Times New Roman" w:cs="Times New Roman"/>
          <w:b/>
          <w:bCs/>
          <w:color w:val="auto"/>
          <w:sz w:val="24"/>
          <w:szCs w:val="24"/>
          <w:lang w:val="en-GB"/>
        </w:rPr>
        <w:t xml:space="preserve">Sensitivity </w:t>
      </w:r>
      <w:r w:rsidR="00807BC4" w:rsidRPr="004E6BA5">
        <w:rPr>
          <w:rFonts w:ascii="Times New Roman" w:hAnsi="Times New Roman" w:cs="Times New Roman"/>
          <w:b/>
          <w:bCs/>
          <w:color w:val="auto"/>
          <w:sz w:val="24"/>
          <w:szCs w:val="24"/>
          <w:lang w:val="en-GB"/>
        </w:rPr>
        <w:t>a</w:t>
      </w:r>
      <w:r w:rsidRPr="004E6BA5">
        <w:rPr>
          <w:rFonts w:ascii="Times New Roman" w:hAnsi="Times New Roman" w:cs="Times New Roman"/>
          <w:b/>
          <w:bCs/>
          <w:color w:val="auto"/>
          <w:sz w:val="24"/>
          <w:szCs w:val="24"/>
          <w:lang w:val="en-GB"/>
        </w:rPr>
        <w:t xml:space="preserve">nalysis of DLNM </w:t>
      </w:r>
      <w:r w:rsidR="008E69FC" w:rsidRPr="004E6BA5">
        <w:rPr>
          <w:rFonts w:ascii="Times New Roman" w:hAnsi="Times New Roman" w:cs="Times New Roman"/>
          <w:b/>
          <w:bCs/>
          <w:color w:val="auto"/>
          <w:sz w:val="24"/>
          <w:szCs w:val="24"/>
          <w:lang w:val="en-GB"/>
        </w:rPr>
        <w:t>cross</w:t>
      </w:r>
      <w:r w:rsidR="00807BC4" w:rsidRPr="004E6BA5">
        <w:rPr>
          <w:rFonts w:ascii="Times New Roman" w:hAnsi="Times New Roman" w:cs="Times New Roman"/>
          <w:b/>
          <w:bCs/>
          <w:color w:val="auto"/>
          <w:sz w:val="24"/>
          <w:szCs w:val="24"/>
          <w:lang w:val="en-GB"/>
        </w:rPr>
        <w:t>-basis function</w:t>
      </w:r>
      <w:r w:rsidRPr="004E6BA5">
        <w:rPr>
          <w:rFonts w:ascii="Times New Roman" w:hAnsi="Times New Roman" w:cs="Times New Roman"/>
          <w:b/>
          <w:bCs/>
          <w:color w:val="auto"/>
          <w:sz w:val="24"/>
          <w:szCs w:val="24"/>
          <w:lang w:val="en-GB"/>
        </w:rPr>
        <w:t xml:space="preserve"> </w:t>
      </w:r>
      <w:r w:rsidR="00807BC4" w:rsidRPr="004E6BA5">
        <w:rPr>
          <w:rFonts w:ascii="Times New Roman" w:hAnsi="Times New Roman" w:cs="Times New Roman"/>
          <w:b/>
          <w:bCs/>
          <w:color w:val="auto"/>
          <w:sz w:val="24"/>
          <w:szCs w:val="24"/>
          <w:lang w:val="en-GB"/>
        </w:rPr>
        <w:t>s</w:t>
      </w:r>
      <w:r w:rsidRPr="004E6BA5">
        <w:rPr>
          <w:rFonts w:ascii="Times New Roman" w:hAnsi="Times New Roman" w:cs="Times New Roman"/>
          <w:b/>
          <w:bCs/>
          <w:color w:val="auto"/>
          <w:sz w:val="24"/>
          <w:szCs w:val="24"/>
          <w:lang w:val="en-GB"/>
        </w:rPr>
        <w:t xml:space="preserve">pecification and </w:t>
      </w:r>
      <w:r w:rsidR="00807BC4" w:rsidRPr="004E6BA5">
        <w:rPr>
          <w:rFonts w:ascii="Times New Roman" w:hAnsi="Times New Roman" w:cs="Times New Roman"/>
          <w:b/>
          <w:bCs/>
          <w:color w:val="auto"/>
          <w:sz w:val="24"/>
          <w:szCs w:val="24"/>
          <w:lang w:val="en-GB"/>
        </w:rPr>
        <w:t>m</w:t>
      </w:r>
      <w:r w:rsidRPr="004E6BA5">
        <w:rPr>
          <w:rFonts w:ascii="Times New Roman" w:hAnsi="Times New Roman" w:cs="Times New Roman"/>
          <w:b/>
          <w:bCs/>
          <w:color w:val="auto"/>
          <w:sz w:val="24"/>
          <w:szCs w:val="24"/>
          <w:lang w:val="en-GB"/>
        </w:rPr>
        <w:t xml:space="preserve">odel </w:t>
      </w:r>
      <w:r w:rsidR="00807BC4" w:rsidRPr="004E6BA5">
        <w:rPr>
          <w:rFonts w:ascii="Times New Roman" w:hAnsi="Times New Roman" w:cs="Times New Roman"/>
          <w:b/>
          <w:bCs/>
          <w:color w:val="auto"/>
          <w:sz w:val="24"/>
          <w:szCs w:val="24"/>
          <w:lang w:val="en-GB"/>
        </w:rPr>
        <w:t>s</w:t>
      </w:r>
      <w:r w:rsidRPr="004E6BA5">
        <w:rPr>
          <w:rFonts w:ascii="Times New Roman" w:hAnsi="Times New Roman" w:cs="Times New Roman"/>
          <w:b/>
          <w:bCs/>
          <w:color w:val="auto"/>
          <w:sz w:val="24"/>
          <w:szCs w:val="24"/>
          <w:lang w:val="en-GB"/>
        </w:rPr>
        <w:t>election</w:t>
      </w:r>
      <w:bookmarkEnd w:id="13"/>
    </w:p>
    <w:p w14:paraId="0BD5F542" w14:textId="77777777" w:rsidR="00D33CDA" w:rsidRPr="00D33CDA" w:rsidRDefault="00D33CDA" w:rsidP="00D33CDA">
      <w:pPr>
        <w:jc w:val="both"/>
        <w:rPr>
          <w:lang w:val="en-GB"/>
        </w:rPr>
      </w:pPr>
    </w:p>
    <w:p w14:paraId="2A2E9F33" w14:textId="33683822" w:rsidR="00D33CDA" w:rsidRPr="00D33CDA" w:rsidRDefault="00D33CDA" w:rsidP="004E6BA5">
      <w:pPr>
        <w:spacing w:line="276" w:lineRule="auto"/>
        <w:jc w:val="both"/>
        <w:rPr>
          <w:lang w:val="en-GB"/>
        </w:rPr>
      </w:pPr>
      <w:r w:rsidRPr="00D33CDA">
        <w:rPr>
          <w:lang w:val="en-GB"/>
        </w:rPr>
        <w:t xml:space="preserve">To evaluate the robustness of the distributed lag non-linear model (DLNM) specification, we conducted a sensitivity analysis using multiple alternative spline knot configurations for both the exposure–response and lag–response dimensions. The primary objective was to assess whether the estimated associations between the </w:t>
      </w:r>
      <w:proofErr w:type="spellStart"/>
      <w:r w:rsidR="001F437F" w:rsidRPr="006D72A4">
        <w:t>BI</w:t>
      </w:r>
      <w:r w:rsidR="001F437F" w:rsidRPr="006D72A4">
        <w:rPr>
          <w:i/>
          <w:iCs/>
          <w:vertAlign w:val="subscript"/>
        </w:rPr>
        <w:t>waste</w:t>
      </w:r>
      <w:proofErr w:type="spellEnd"/>
      <w:r w:rsidR="001F437F" w:rsidRPr="00D33CDA">
        <w:rPr>
          <w:lang w:val="en-GB"/>
        </w:rPr>
        <w:t xml:space="preserve"> </w:t>
      </w:r>
      <w:r w:rsidRPr="00D33CDA">
        <w:rPr>
          <w:lang w:val="en-GB"/>
        </w:rPr>
        <w:t>and dengue incidence were sensitive to assumptions regarding spline flexibility and knot placement.</w:t>
      </w:r>
    </w:p>
    <w:p w14:paraId="22451E1D" w14:textId="77777777" w:rsidR="00D33CDA" w:rsidRPr="00D33CDA" w:rsidRDefault="00D33CDA" w:rsidP="004E6BA5">
      <w:pPr>
        <w:spacing w:line="276" w:lineRule="auto"/>
        <w:jc w:val="both"/>
        <w:rPr>
          <w:lang w:val="en-GB"/>
        </w:rPr>
      </w:pPr>
      <w:r w:rsidRPr="00D33CDA">
        <w:rPr>
          <w:lang w:val="en-GB"/>
        </w:rPr>
        <w:t xml:space="preserve">For the exposure–response dimension, natural spline knot placements were evaluated at several percentile combinations of the district-specific exposure distribution, including 10th–90th, 20th–80th, 25th–75th, 33rd–66th, and 15th–50th–85th percentiles. For the lag structure, knot placements at weeks 3, 4, 5, and a two-knot specification at weeks 2 and 6 were assessed. All models retained </w:t>
      </w:r>
      <w:r w:rsidRPr="00D33CDA">
        <w:rPr>
          <w:lang w:val="en-GB"/>
        </w:rPr>
        <w:lastRenderedPageBreak/>
        <w:t>the same maximum lag period (0–12 weeks), quasi-Poisson framework, and district-specific percentile transformation approach used in the primary analysis.</w:t>
      </w:r>
    </w:p>
    <w:p w14:paraId="4CC1289C" w14:textId="6E537B99" w:rsidR="00D33CDA" w:rsidRPr="00D33CDA" w:rsidRDefault="00D33CDA" w:rsidP="004E6BA5">
      <w:pPr>
        <w:spacing w:line="276" w:lineRule="auto"/>
        <w:jc w:val="both"/>
        <w:rPr>
          <w:lang w:val="en-GB"/>
        </w:rPr>
      </w:pPr>
      <w:r w:rsidRPr="00D33CDA">
        <w:rPr>
          <w:lang w:val="en-GB"/>
        </w:rPr>
        <w:t xml:space="preserve">Model performance was evaluated using the summed quasi-Akaike Information Criterion (Q-AIC) across all district-specific first-stage models. Although models with increased spline flexibility and additional knots achieved marginally lower summed Q-AIC values, the differences in fit at the individual district level were relatively small and produced highly comparable overall exposure–response relationships, lag structures, attributable fractions, and pooled meta-analytic estimates. This indicates that the estimated association between </w:t>
      </w:r>
      <w:proofErr w:type="spellStart"/>
      <w:r w:rsidR="001F437F" w:rsidRPr="006D72A4">
        <w:t>BI</w:t>
      </w:r>
      <w:r w:rsidR="001F437F" w:rsidRPr="006D72A4">
        <w:rPr>
          <w:i/>
          <w:iCs/>
          <w:vertAlign w:val="subscript"/>
        </w:rPr>
        <w:t>waste</w:t>
      </w:r>
      <w:proofErr w:type="spellEnd"/>
      <w:r w:rsidR="001F437F" w:rsidRPr="00D33CDA">
        <w:rPr>
          <w:lang w:val="en-GB"/>
        </w:rPr>
        <w:t xml:space="preserve"> </w:t>
      </w:r>
      <w:r w:rsidRPr="00D33CDA">
        <w:rPr>
          <w:lang w:val="en-GB"/>
        </w:rPr>
        <w:t>and dengue risk was robust across a wide range of plausible spline specifications.</w:t>
      </w:r>
    </w:p>
    <w:p w14:paraId="79BABEA6" w14:textId="0FCDB97A" w:rsidR="00D33CDA" w:rsidRDefault="00D33CDA" w:rsidP="004E6BA5">
      <w:pPr>
        <w:spacing w:line="276" w:lineRule="auto"/>
        <w:jc w:val="both"/>
        <w:rPr>
          <w:lang w:val="en-GB"/>
        </w:rPr>
      </w:pPr>
      <w:r w:rsidRPr="00D33CDA">
        <w:rPr>
          <w:lang w:val="en-GB"/>
        </w:rPr>
        <w:t>The final model specification retained exposure knots at the 25</w:t>
      </w:r>
      <w:r w:rsidRPr="001F437F">
        <w:rPr>
          <w:vertAlign w:val="superscript"/>
          <w:lang w:val="en-GB"/>
        </w:rPr>
        <w:t>th</w:t>
      </w:r>
      <w:r w:rsidRPr="00D33CDA">
        <w:rPr>
          <w:lang w:val="en-GB"/>
        </w:rPr>
        <w:t xml:space="preserve"> and 75</w:t>
      </w:r>
      <w:r w:rsidRPr="001F437F">
        <w:rPr>
          <w:vertAlign w:val="superscript"/>
          <w:lang w:val="en-GB"/>
        </w:rPr>
        <w:t>th</w:t>
      </w:r>
      <w:r w:rsidRPr="00D33CDA">
        <w:rPr>
          <w:lang w:val="en-GB"/>
        </w:rPr>
        <w:t xml:space="preserve"> percentiles and a lag knot at week 4. This specification was selected a priori as the primary model and retained for the final analysis because it provided a more parsimonious and epidemiologically interpretable exposure–response function while maintaining strong statistical performance. Compared with more flexible spline structures, the selected model demonstrated smoother cumulative risk trajectories, clearer threshold </w:t>
      </w:r>
      <w:proofErr w:type="spellStart"/>
      <w:r w:rsidRPr="00D33CDA">
        <w:rPr>
          <w:lang w:val="en-GB"/>
        </w:rPr>
        <w:t>behavior</w:t>
      </w:r>
      <w:proofErr w:type="spellEnd"/>
      <w:r w:rsidRPr="00D33CDA">
        <w:rPr>
          <w:lang w:val="en-GB"/>
        </w:rPr>
        <w:t>, greater stability at the upper percentiles of exposure, and reduced susceptibility to local overfitting. Importantly, the selected model yielded pooled effect estimates and attributable burden estimates that were highly consistent with those obtained from alternative knot specifications.</w:t>
      </w:r>
    </w:p>
    <w:p w14:paraId="77BA68E9" w14:textId="77777777" w:rsidR="00A93E4F" w:rsidRPr="00D33CDA" w:rsidRDefault="00A93E4F" w:rsidP="00061F50">
      <w:pPr>
        <w:spacing w:line="276" w:lineRule="auto"/>
        <w:jc w:val="both"/>
        <w:rPr>
          <w:lang w:val="en-GB"/>
        </w:rPr>
      </w:pPr>
    </w:p>
    <w:p w14:paraId="020FE864" w14:textId="57B220C5" w:rsidR="00D33CDA" w:rsidRPr="004E6BA5" w:rsidRDefault="00D33CDA" w:rsidP="004E6BA5">
      <w:pPr>
        <w:pStyle w:val="Heading2"/>
        <w:rPr>
          <w:rFonts w:ascii="Times New Roman" w:hAnsi="Times New Roman" w:cs="Times New Roman"/>
          <w:b/>
          <w:bCs/>
          <w:color w:val="auto"/>
          <w:sz w:val="24"/>
          <w:szCs w:val="24"/>
          <w:lang w:val="en-GB"/>
        </w:rPr>
      </w:pPr>
      <w:bookmarkStart w:id="14" w:name="_Toc235161894"/>
      <w:r w:rsidRPr="004E6BA5">
        <w:rPr>
          <w:rFonts w:ascii="Times New Roman" w:hAnsi="Times New Roman" w:cs="Times New Roman"/>
          <w:b/>
          <w:bCs/>
          <w:color w:val="auto"/>
          <w:sz w:val="24"/>
          <w:szCs w:val="24"/>
          <w:lang w:val="en-GB"/>
        </w:rPr>
        <w:t>Sensitivity Analysis of DLNM alternative lag structure across different exposure variables</w:t>
      </w:r>
      <w:r w:rsidR="00807BC4" w:rsidRPr="004E6BA5">
        <w:rPr>
          <w:rFonts w:ascii="Times New Roman" w:hAnsi="Times New Roman" w:cs="Times New Roman"/>
          <w:b/>
          <w:bCs/>
          <w:color w:val="auto"/>
          <w:sz w:val="24"/>
          <w:szCs w:val="24"/>
          <w:lang w:val="en-GB"/>
        </w:rPr>
        <w:t xml:space="preserve"> for estimating attributable fraction</w:t>
      </w:r>
      <w:bookmarkEnd w:id="14"/>
      <w:r w:rsidR="00097F82" w:rsidRPr="004E6BA5">
        <w:rPr>
          <w:rFonts w:ascii="Times New Roman" w:hAnsi="Times New Roman" w:cs="Times New Roman"/>
          <w:b/>
          <w:bCs/>
          <w:color w:val="auto"/>
          <w:sz w:val="24"/>
          <w:szCs w:val="24"/>
          <w:lang w:val="en-GB"/>
        </w:rPr>
        <w:t xml:space="preserve"> </w:t>
      </w:r>
    </w:p>
    <w:p w14:paraId="3AE752D3" w14:textId="77777777" w:rsidR="00807BC4" w:rsidRDefault="00807BC4" w:rsidP="00D33CDA">
      <w:pPr>
        <w:jc w:val="both"/>
        <w:rPr>
          <w:lang w:val="en-GB"/>
        </w:rPr>
      </w:pPr>
    </w:p>
    <w:p w14:paraId="20997657" w14:textId="028D4EAD" w:rsidR="00D33CDA" w:rsidRDefault="00D33CDA" w:rsidP="00061F50">
      <w:pPr>
        <w:spacing w:line="276" w:lineRule="auto"/>
        <w:jc w:val="both"/>
        <w:rPr>
          <w:lang w:val="en-GB"/>
        </w:rPr>
      </w:pPr>
      <w:r w:rsidRPr="00D33CDA">
        <w:rPr>
          <w:lang w:val="en-GB"/>
        </w:rPr>
        <w:t>Sensitivity analyses across alternative lag structures (4, 6, 8, 10, and 12 weeks) demonstrated that the attributable fraction associated with plastic and waste-related breeding sites remained consistently high and stable, ranging from 21.3% (4 weeks) to 32.9% (12 weeks). Intermediate lag windows showed similar magnitudes, including 25.6% at 6 weeks, 25.7% at 8 weeks, and 27.8% at 10 weeks, indicating a robust and gradually increasing cumulative effect with longer exposure windows. This monotonic pattern supports a biologically plausible accumulation of risk consistent with sustained vector breeding dynamics in waste environments. In contrast, water storage containers exhibited substantial temporal variability, with attributable fractions ranging from 18.4% (4 weeks) to 29.6% (8 weeks) and fluctuating estimates at other lags (24.4% at 6 weeks, 27.6% at 10 weeks, and 22.6% at 12 weeks), alongside wide confidence intervals that frequently included near-zero effects. Ornamental and domestic containers showed a generally declining pattern with increasing lag duration, from 17.2% (4 weeks) to 10.8% (12 weeks), suggesting weaker and less temporally persistent contributions. Total breeding sites displayed intermediate stability, ranging from 18.8% to 24.7%, reflecting their aggregated ecological nature.</w:t>
      </w:r>
    </w:p>
    <w:p w14:paraId="08702FDF" w14:textId="77777777" w:rsidR="004E6BA5" w:rsidRDefault="004E6BA5" w:rsidP="00061F50">
      <w:pPr>
        <w:spacing w:line="276" w:lineRule="auto"/>
        <w:jc w:val="both"/>
        <w:rPr>
          <w:lang w:val="en-GB"/>
        </w:rPr>
      </w:pPr>
    </w:p>
    <w:p w14:paraId="5A1337F0" w14:textId="77777777" w:rsidR="004E6BA5" w:rsidRDefault="004E6BA5" w:rsidP="00061F50">
      <w:pPr>
        <w:spacing w:line="276" w:lineRule="auto"/>
        <w:jc w:val="both"/>
        <w:rPr>
          <w:lang w:val="en-GB"/>
        </w:rPr>
      </w:pPr>
    </w:p>
    <w:p w14:paraId="301E9093" w14:textId="77777777" w:rsidR="004E6BA5" w:rsidRDefault="004E6BA5" w:rsidP="00061F50">
      <w:pPr>
        <w:spacing w:line="276" w:lineRule="auto"/>
        <w:jc w:val="both"/>
        <w:rPr>
          <w:lang w:val="en-GB"/>
        </w:rPr>
      </w:pPr>
    </w:p>
    <w:p w14:paraId="7A28715D" w14:textId="77777777" w:rsidR="00C200D8" w:rsidRDefault="00C200D8" w:rsidP="00D33CDA">
      <w:pPr>
        <w:jc w:val="both"/>
        <w:rPr>
          <w:lang w:val="en-GB"/>
        </w:rPr>
      </w:pPr>
    </w:p>
    <w:p w14:paraId="0416F087" w14:textId="76161E39" w:rsidR="00C200D8" w:rsidRPr="004E6BA5" w:rsidRDefault="00C200D8" w:rsidP="004E6BA5">
      <w:pPr>
        <w:pStyle w:val="Heading3"/>
        <w:rPr>
          <w:rFonts w:ascii="Times New Roman" w:hAnsi="Times New Roman" w:cs="Times New Roman"/>
          <w:b/>
          <w:bCs/>
          <w:color w:val="auto"/>
          <w:sz w:val="24"/>
          <w:szCs w:val="24"/>
          <w:lang w:val="en-GB"/>
        </w:rPr>
      </w:pPr>
      <w:bookmarkStart w:id="15" w:name="_Toc235161895"/>
      <w:r w:rsidRPr="004E6BA5">
        <w:rPr>
          <w:rFonts w:ascii="Times New Roman" w:hAnsi="Times New Roman" w:cs="Times New Roman"/>
          <w:b/>
          <w:bCs/>
          <w:color w:val="auto"/>
          <w:sz w:val="24"/>
          <w:szCs w:val="24"/>
          <w:lang w:val="en-GB"/>
        </w:rPr>
        <w:lastRenderedPageBreak/>
        <w:t>Table S</w:t>
      </w:r>
      <w:r w:rsidR="004E6BA5">
        <w:rPr>
          <w:rFonts w:ascii="Times New Roman" w:hAnsi="Times New Roman" w:cs="Times New Roman"/>
          <w:b/>
          <w:bCs/>
          <w:color w:val="auto"/>
          <w:sz w:val="24"/>
          <w:szCs w:val="24"/>
          <w:lang w:val="en-GB"/>
        </w:rPr>
        <w:t>4</w:t>
      </w:r>
      <w:r w:rsidRPr="004E6BA5">
        <w:rPr>
          <w:rFonts w:ascii="Times New Roman" w:hAnsi="Times New Roman" w:cs="Times New Roman"/>
          <w:b/>
          <w:bCs/>
          <w:color w:val="auto"/>
          <w:sz w:val="24"/>
          <w:szCs w:val="24"/>
          <w:lang w:val="en-GB"/>
        </w:rPr>
        <w:t xml:space="preserve">: </w:t>
      </w:r>
      <w:r w:rsidR="00E379D2" w:rsidRPr="004E6BA5">
        <w:rPr>
          <w:rFonts w:ascii="Times New Roman" w:hAnsi="Times New Roman" w:cs="Times New Roman"/>
          <w:b/>
          <w:bCs/>
          <w:color w:val="auto"/>
          <w:sz w:val="24"/>
          <w:szCs w:val="24"/>
          <w:lang w:val="en-GB"/>
        </w:rPr>
        <w:t>Attributable fraction of dengue cases across lag periods 4 to 12 by habitat category.</w:t>
      </w:r>
      <w:bookmarkEnd w:id="15"/>
      <w:r w:rsidR="00E379D2" w:rsidRPr="004E6BA5">
        <w:rPr>
          <w:rFonts w:ascii="Times New Roman" w:hAnsi="Times New Roman" w:cs="Times New Roman"/>
          <w:b/>
          <w:bCs/>
          <w:color w:val="auto"/>
          <w:sz w:val="24"/>
          <w:szCs w:val="24"/>
          <w:lang w:val="en-GB"/>
        </w:rPr>
        <w:t xml:space="preserve"> </w:t>
      </w:r>
    </w:p>
    <w:p w14:paraId="3A5DA62C" w14:textId="77777777" w:rsidR="00D33CDA" w:rsidRPr="00D33CDA" w:rsidRDefault="00D33CDA" w:rsidP="00D33CDA">
      <w:pPr>
        <w:jc w:val="both"/>
        <w:rPr>
          <w:lang w:val="en-GB"/>
        </w:rPr>
      </w:pPr>
    </w:p>
    <w:tbl>
      <w:tblPr>
        <w:tblStyle w:val="TableGrid"/>
        <w:tblW w:w="10440" w:type="dxa"/>
        <w:tblInd w:w="-815" w:type="dxa"/>
        <w:tblLook w:val="04A0" w:firstRow="1" w:lastRow="0" w:firstColumn="1" w:lastColumn="0" w:noHBand="0" w:noVBand="1"/>
      </w:tblPr>
      <w:tblGrid>
        <w:gridCol w:w="2971"/>
        <w:gridCol w:w="1439"/>
        <w:gridCol w:w="1440"/>
        <w:gridCol w:w="1446"/>
        <w:gridCol w:w="1428"/>
        <w:gridCol w:w="1716"/>
      </w:tblGrid>
      <w:tr w:rsidR="00D33CDA" w:rsidRPr="00D33CDA" w14:paraId="530959BF" w14:textId="77777777" w:rsidTr="007725A9">
        <w:tc>
          <w:tcPr>
            <w:tcW w:w="2971" w:type="dxa"/>
            <w:hideMark/>
          </w:tcPr>
          <w:p w14:paraId="35BCB329" w14:textId="77777777" w:rsidR="00D33CDA" w:rsidRPr="00D33CDA" w:rsidRDefault="00D33CDA" w:rsidP="00D33CDA">
            <w:pPr>
              <w:jc w:val="center"/>
              <w:rPr>
                <w:b/>
                <w:bCs/>
                <w:sz w:val="22"/>
                <w:szCs w:val="22"/>
              </w:rPr>
            </w:pPr>
            <w:r w:rsidRPr="00D33CDA">
              <w:rPr>
                <w:b/>
                <w:bCs/>
                <w:sz w:val="22"/>
                <w:szCs w:val="22"/>
              </w:rPr>
              <w:t>Exposure</w:t>
            </w:r>
          </w:p>
        </w:tc>
        <w:tc>
          <w:tcPr>
            <w:tcW w:w="1439" w:type="dxa"/>
            <w:hideMark/>
          </w:tcPr>
          <w:p w14:paraId="2332092F" w14:textId="77777777" w:rsidR="00D33CDA" w:rsidRPr="00D33CDA" w:rsidRDefault="00D33CDA" w:rsidP="00D33CDA">
            <w:pPr>
              <w:jc w:val="center"/>
              <w:rPr>
                <w:b/>
                <w:bCs/>
                <w:sz w:val="22"/>
                <w:szCs w:val="22"/>
              </w:rPr>
            </w:pPr>
            <w:r w:rsidRPr="00D33CDA">
              <w:rPr>
                <w:b/>
                <w:bCs/>
                <w:sz w:val="22"/>
                <w:szCs w:val="22"/>
              </w:rPr>
              <w:t>Lag 4 (%)</w:t>
            </w:r>
          </w:p>
        </w:tc>
        <w:tc>
          <w:tcPr>
            <w:tcW w:w="1440" w:type="dxa"/>
            <w:hideMark/>
          </w:tcPr>
          <w:p w14:paraId="51970905" w14:textId="77777777" w:rsidR="00D33CDA" w:rsidRPr="00D33CDA" w:rsidRDefault="00D33CDA" w:rsidP="00D33CDA">
            <w:pPr>
              <w:jc w:val="center"/>
              <w:rPr>
                <w:b/>
                <w:bCs/>
                <w:sz w:val="22"/>
                <w:szCs w:val="22"/>
              </w:rPr>
            </w:pPr>
            <w:r w:rsidRPr="00D33CDA">
              <w:rPr>
                <w:b/>
                <w:bCs/>
                <w:sz w:val="22"/>
                <w:szCs w:val="22"/>
              </w:rPr>
              <w:t>Lag 6 (%)</w:t>
            </w:r>
          </w:p>
        </w:tc>
        <w:tc>
          <w:tcPr>
            <w:tcW w:w="1446" w:type="dxa"/>
            <w:hideMark/>
          </w:tcPr>
          <w:p w14:paraId="2A41E075" w14:textId="77777777" w:rsidR="00D33CDA" w:rsidRPr="00D33CDA" w:rsidRDefault="00D33CDA" w:rsidP="00D33CDA">
            <w:pPr>
              <w:jc w:val="center"/>
              <w:rPr>
                <w:b/>
                <w:bCs/>
                <w:sz w:val="22"/>
                <w:szCs w:val="22"/>
              </w:rPr>
            </w:pPr>
            <w:r w:rsidRPr="00D33CDA">
              <w:rPr>
                <w:b/>
                <w:bCs/>
                <w:sz w:val="22"/>
                <w:szCs w:val="22"/>
              </w:rPr>
              <w:t>Lag 8 (%)</w:t>
            </w:r>
          </w:p>
        </w:tc>
        <w:tc>
          <w:tcPr>
            <w:tcW w:w="0" w:type="auto"/>
            <w:hideMark/>
          </w:tcPr>
          <w:p w14:paraId="3C4CA19A" w14:textId="77777777" w:rsidR="00D33CDA" w:rsidRPr="00D33CDA" w:rsidRDefault="00D33CDA" w:rsidP="00D33CDA">
            <w:pPr>
              <w:jc w:val="center"/>
              <w:rPr>
                <w:b/>
                <w:bCs/>
                <w:sz w:val="22"/>
                <w:szCs w:val="22"/>
              </w:rPr>
            </w:pPr>
            <w:r w:rsidRPr="00D33CDA">
              <w:rPr>
                <w:b/>
                <w:bCs/>
                <w:sz w:val="22"/>
                <w:szCs w:val="22"/>
              </w:rPr>
              <w:t>Lag 10 (%)</w:t>
            </w:r>
          </w:p>
        </w:tc>
        <w:tc>
          <w:tcPr>
            <w:tcW w:w="1716" w:type="dxa"/>
            <w:hideMark/>
          </w:tcPr>
          <w:p w14:paraId="62E05427" w14:textId="77777777" w:rsidR="00D33CDA" w:rsidRPr="00D33CDA" w:rsidRDefault="00D33CDA" w:rsidP="00D33CDA">
            <w:pPr>
              <w:jc w:val="center"/>
              <w:rPr>
                <w:b/>
                <w:bCs/>
                <w:sz w:val="22"/>
                <w:szCs w:val="22"/>
              </w:rPr>
            </w:pPr>
            <w:r w:rsidRPr="00D33CDA">
              <w:rPr>
                <w:b/>
                <w:bCs/>
                <w:sz w:val="22"/>
                <w:szCs w:val="22"/>
              </w:rPr>
              <w:t>Lag 12 (%)</w:t>
            </w:r>
          </w:p>
        </w:tc>
      </w:tr>
      <w:tr w:rsidR="00D33CDA" w:rsidRPr="00D33CDA" w14:paraId="30916DE4" w14:textId="77777777" w:rsidTr="007725A9">
        <w:tc>
          <w:tcPr>
            <w:tcW w:w="2971" w:type="dxa"/>
            <w:hideMark/>
          </w:tcPr>
          <w:p w14:paraId="28C4DEB6" w14:textId="0226513C" w:rsidR="00D33CDA" w:rsidRPr="00D33CDA" w:rsidRDefault="00D75A3F" w:rsidP="00D33CDA">
            <w:pPr>
              <w:rPr>
                <w:sz w:val="22"/>
                <w:szCs w:val="22"/>
              </w:rPr>
            </w:pPr>
            <w:r w:rsidRPr="00D75A3F">
              <w:rPr>
                <w:sz w:val="22"/>
                <w:szCs w:val="22"/>
              </w:rPr>
              <w:t xml:space="preserve">Waste-Specific </w:t>
            </w:r>
            <w:proofErr w:type="spellStart"/>
            <w:r w:rsidRPr="00D75A3F">
              <w:rPr>
                <w:sz w:val="22"/>
                <w:szCs w:val="22"/>
              </w:rPr>
              <w:t>Breteau</w:t>
            </w:r>
            <w:proofErr w:type="spellEnd"/>
            <w:r w:rsidRPr="00D75A3F">
              <w:rPr>
                <w:sz w:val="22"/>
                <w:szCs w:val="22"/>
              </w:rPr>
              <w:t xml:space="preserve"> Index</w:t>
            </w:r>
          </w:p>
        </w:tc>
        <w:tc>
          <w:tcPr>
            <w:tcW w:w="1439" w:type="dxa"/>
            <w:hideMark/>
          </w:tcPr>
          <w:p w14:paraId="23A0BC4B" w14:textId="77777777" w:rsidR="00D33CDA" w:rsidRPr="00D33CDA" w:rsidRDefault="00D33CDA" w:rsidP="00D33CDA">
            <w:pPr>
              <w:rPr>
                <w:sz w:val="18"/>
                <w:szCs w:val="18"/>
              </w:rPr>
            </w:pPr>
            <w:r w:rsidRPr="00D33CDA">
              <w:rPr>
                <w:sz w:val="18"/>
                <w:szCs w:val="18"/>
              </w:rPr>
              <w:t>21.3 (14.4–26.5)</w:t>
            </w:r>
          </w:p>
        </w:tc>
        <w:tc>
          <w:tcPr>
            <w:tcW w:w="1440" w:type="dxa"/>
            <w:hideMark/>
          </w:tcPr>
          <w:p w14:paraId="68644A5B" w14:textId="77777777" w:rsidR="00D33CDA" w:rsidRPr="00D33CDA" w:rsidRDefault="00D33CDA" w:rsidP="00D33CDA">
            <w:pPr>
              <w:rPr>
                <w:sz w:val="18"/>
                <w:szCs w:val="18"/>
              </w:rPr>
            </w:pPr>
            <w:r w:rsidRPr="00D33CDA">
              <w:rPr>
                <w:sz w:val="18"/>
                <w:szCs w:val="18"/>
              </w:rPr>
              <w:t>25.6 (17.1–30.8)</w:t>
            </w:r>
          </w:p>
        </w:tc>
        <w:tc>
          <w:tcPr>
            <w:tcW w:w="1446" w:type="dxa"/>
            <w:hideMark/>
          </w:tcPr>
          <w:p w14:paraId="6A857F57" w14:textId="77777777" w:rsidR="00D33CDA" w:rsidRPr="00D33CDA" w:rsidRDefault="00D33CDA" w:rsidP="00D33CDA">
            <w:pPr>
              <w:rPr>
                <w:sz w:val="18"/>
                <w:szCs w:val="18"/>
              </w:rPr>
            </w:pPr>
            <w:r w:rsidRPr="00D33CDA">
              <w:rPr>
                <w:sz w:val="18"/>
                <w:szCs w:val="18"/>
              </w:rPr>
              <w:t>25.7 (17.6–32.3)</w:t>
            </w:r>
          </w:p>
        </w:tc>
        <w:tc>
          <w:tcPr>
            <w:tcW w:w="1428" w:type="dxa"/>
            <w:hideMark/>
          </w:tcPr>
          <w:p w14:paraId="1E73173B" w14:textId="77777777" w:rsidR="00D33CDA" w:rsidRPr="00D33CDA" w:rsidRDefault="00D33CDA" w:rsidP="00D33CDA">
            <w:pPr>
              <w:rPr>
                <w:sz w:val="18"/>
                <w:szCs w:val="18"/>
              </w:rPr>
            </w:pPr>
            <w:r w:rsidRPr="00D33CDA">
              <w:rPr>
                <w:sz w:val="18"/>
                <w:szCs w:val="18"/>
              </w:rPr>
              <w:t>27.8 (15.7–38.0)</w:t>
            </w:r>
          </w:p>
        </w:tc>
        <w:tc>
          <w:tcPr>
            <w:tcW w:w="1716" w:type="dxa"/>
            <w:hideMark/>
          </w:tcPr>
          <w:p w14:paraId="404EF81E" w14:textId="77777777" w:rsidR="00D33CDA" w:rsidRPr="00D33CDA" w:rsidRDefault="00D33CDA" w:rsidP="00D33CDA">
            <w:pPr>
              <w:rPr>
                <w:sz w:val="18"/>
                <w:szCs w:val="18"/>
              </w:rPr>
            </w:pPr>
            <w:r w:rsidRPr="00D33CDA">
              <w:rPr>
                <w:sz w:val="18"/>
                <w:szCs w:val="18"/>
              </w:rPr>
              <w:t>32.9 (19.3–40.0)</w:t>
            </w:r>
          </w:p>
        </w:tc>
      </w:tr>
      <w:tr w:rsidR="00D33CDA" w:rsidRPr="00D33CDA" w14:paraId="36D514D5" w14:textId="77777777" w:rsidTr="007725A9">
        <w:tc>
          <w:tcPr>
            <w:tcW w:w="2971" w:type="dxa"/>
            <w:hideMark/>
          </w:tcPr>
          <w:p w14:paraId="5631993F" w14:textId="77777777" w:rsidR="00D33CDA" w:rsidRPr="00D33CDA" w:rsidRDefault="00D33CDA" w:rsidP="00D33CDA">
            <w:pPr>
              <w:rPr>
                <w:sz w:val="22"/>
                <w:szCs w:val="22"/>
              </w:rPr>
            </w:pPr>
            <w:r w:rsidRPr="00D33CDA">
              <w:rPr>
                <w:sz w:val="22"/>
                <w:szCs w:val="22"/>
              </w:rPr>
              <w:t>Water storage containers</w:t>
            </w:r>
          </w:p>
        </w:tc>
        <w:tc>
          <w:tcPr>
            <w:tcW w:w="1439" w:type="dxa"/>
            <w:hideMark/>
          </w:tcPr>
          <w:p w14:paraId="47D0E26C" w14:textId="77777777" w:rsidR="00D33CDA" w:rsidRPr="00D33CDA" w:rsidRDefault="00D33CDA" w:rsidP="00D33CDA">
            <w:pPr>
              <w:rPr>
                <w:sz w:val="18"/>
                <w:szCs w:val="18"/>
              </w:rPr>
            </w:pPr>
            <w:r w:rsidRPr="00D33CDA">
              <w:rPr>
                <w:sz w:val="18"/>
                <w:szCs w:val="18"/>
              </w:rPr>
              <w:t>18.4 (0.1–30.9)</w:t>
            </w:r>
          </w:p>
        </w:tc>
        <w:tc>
          <w:tcPr>
            <w:tcW w:w="1440" w:type="dxa"/>
            <w:hideMark/>
          </w:tcPr>
          <w:p w14:paraId="338B2F96" w14:textId="77777777" w:rsidR="00D33CDA" w:rsidRPr="00D33CDA" w:rsidRDefault="00D33CDA" w:rsidP="00D33CDA">
            <w:pPr>
              <w:rPr>
                <w:sz w:val="18"/>
                <w:szCs w:val="18"/>
              </w:rPr>
            </w:pPr>
            <w:r w:rsidRPr="00D33CDA">
              <w:rPr>
                <w:sz w:val="18"/>
                <w:szCs w:val="18"/>
              </w:rPr>
              <w:t>24.4 (0.1–37.3)</w:t>
            </w:r>
          </w:p>
        </w:tc>
        <w:tc>
          <w:tcPr>
            <w:tcW w:w="1446" w:type="dxa"/>
            <w:hideMark/>
          </w:tcPr>
          <w:p w14:paraId="7DAD6BF9" w14:textId="77777777" w:rsidR="00D33CDA" w:rsidRPr="00D33CDA" w:rsidRDefault="00D33CDA" w:rsidP="00D33CDA">
            <w:pPr>
              <w:rPr>
                <w:sz w:val="18"/>
                <w:szCs w:val="18"/>
              </w:rPr>
            </w:pPr>
            <w:r w:rsidRPr="00D33CDA">
              <w:rPr>
                <w:sz w:val="18"/>
                <w:szCs w:val="18"/>
              </w:rPr>
              <w:t>29.6 (5.2–41.2)</w:t>
            </w:r>
          </w:p>
        </w:tc>
        <w:tc>
          <w:tcPr>
            <w:tcW w:w="1428" w:type="dxa"/>
            <w:hideMark/>
          </w:tcPr>
          <w:p w14:paraId="01143189" w14:textId="77777777" w:rsidR="00D33CDA" w:rsidRPr="00D33CDA" w:rsidRDefault="00D33CDA" w:rsidP="00D33CDA">
            <w:pPr>
              <w:rPr>
                <w:sz w:val="18"/>
                <w:szCs w:val="18"/>
              </w:rPr>
            </w:pPr>
            <w:r w:rsidRPr="00D33CDA">
              <w:rPr>
                <w:sz w:val="18"/>
                <w:szCs w:val="18"/>
              </w:rPr>
              <w:t>27.6 (0.3–41.6)</w:t>
            </w:r>
          </w:p>
        </w:tc>
        <w:tc>
          <w:tcPr>
            <w:tcW w:w="1716" w:type="dxa"/>
            <w:hideMark/>
          </w:tcPr>
          <w:p w14:paraId="7EBD14D4" w14:textId="77777777" w:rsidR="00D33CDA" w:rsidRPr="00D33CDA" w:rsidRDefault="00D33CDA" w:rsidP="00D33CDA">
            <w:pPr>
              <w:rPr>
                <w:sz w:val="18"/>
                <w:szCs w:val="18"/>
              </w:rPr>
            </w:pPr>
            <w:r w:rsidRPr="00D33CDA">
              <w:rPr>
                <w:sz w:val="18"/>
                <w:szCs w:val="18"/>
              </w:rPr>
              <w:t>22.6 (0–43.7)</w:t>
            </w:r>
          </w:p>
        </w:tc>
      </w:tr>
      <w:tr w:rsidR="00D33CDA" w:rsidRPr="00D33CDA" w14:paraId="283B81DE" w14:textId="77777777" w:rsidTr="007725A9">
        <w:tc>
          <w:tcPr>
            <w:tcW w:w="2971" w:type="dxa"/>
            <w:hideMark/>
          </w:tcPr>
          <w:p w14:paraId="278D1283" w14:textId="77777777" w:rsidR="00D33CDA" w:rsidRPr="00D33CDA" w:rsidRDefault="00D33CDA" w:rsidP="00D33CDA">
            <w:pPr>
              <w:rPr>
                <w:sz w:val="22"/>
                <w:szCs w:val="22"/>
              </w:rPr>
            </w:pPr>
            <w:r w:rsidRPr="00D33CDA">
              <w:rPr>
                <w:sz w:val="22"/>
                <w:szCs w:val="22"/>
              </w:rPr>
              <w:t>Total breeding sites</w:t>
            </w:r>
          </w:p>
        </w:tc>
        <w:tc>
          <w:tcPr>
            <w:tcW w:w="1439" w:type="dxa"/>
            <w:hideMark/>
          </w:tcPr>
          <w:p w14:paraId="6A0BEAFA" w14:textId="77777777" w:rsidR="00D33CDA" w:rsidRPr="00D33CDA" w:rsidRDefault="00D33CDA" w:rsidP="00D33CDA">
            <w:pPr>
              <w:rPr>
                <w:sz w:val="18"/>
                <w:szCs w:val="18"/>
              </w:rPr>
            </w:pPr>
            <w:r w:rsidRPr="00D33CDA">
              <w:rPr>
                <w:sz w:val="18"/>
                <w:szCs w:val="18"/>
              </w:rPr>
              <w:t>18.8 (5.2–28.2)</w:t>
            </w:r>
          </w:p>
        </w:tc>
        <w:tc>
          <w:tcPr>
            <w:tcW w:w="1440" w:type="dxa"/>
            <w:hideMark/>
          </w:tcPr>
          <w:p w14:paraId="66426C48" w14:textId="77777777" w:rsidR="00D33CDA" w:rsidRPr="00D33CDA" w:rsidRDefault="00D33CDA" w:rsidP="00D33CDA">
            <w:pPr>
              <w:rPr>
                <w:sz w:val="18"/>
                <w:szCs w:val="18"/>
              </w:rPr>
            </w:pPr>
            <w:r w:rsidRPr="00D33CDA">
              <w:rPr>
                <w:sz w:val="18"/>
                <w:szCs w:val="18"/>
              </w:rPr>
              <w:t>20.3 (8.5–29.9)</w:t>
            </w:r>
          </w:p>
        </w:tc>
        <w:tc>
          <w:tcPr>
            <w:tcW w:w="1446" w:type="dxa"/>
            <w:hideMark/>
          </w:tcPr>
          <w:p w14:paraId="1D4102D7" w14:textId="77777777" w:rsidR="00D33CDA" w:rsidRPr="00D33CDA" w:rsidRDefault="00D33CDA" w:rsidP="00D33CDA">
            <w:pPr>
              <w:rPr>
                <w:sz w:val="18"/>
                <w:szCs w:val="18"/>
              </w:rPr>
            </w:pPr>
            <w:r w:rsidRPr="00D33CDA">
              <w:rPr>
                <w:sz w:val="18"/>
                <w:szCs w:val="18"/>
              </w:rPr>
              <w:t>24.7 (12.6–34.0)</w:t>
            </w:r>
          </w:p>
        </w:tc>
        <w:tc>
          <w:tcPr>
            <w:tcW w:w="1428" w:type="dxa"/>
            <w:hideMark/>
          </w:tcPr>
          <w:p w14:paraId="6216AF2C" w14:textId="77777777" w:rsidR="00D33CDA" w:rsidRPr="00D33CDA" w:rsidRDefault="00D33CDA" w:rsidP="00D33CDA">
            <w:pPr>
              <w:rPr>
                <w:sz w:val="18"/>
                <w:szCs w:val="18"/>
              </w:rPr>
            </w:pPr>
            <w:r w:rsidRPr="00D33CDA">
              <w:rPr>
                <w:sz w:val="18"/>
                <w:szCs w:val="18"/>
              </w:rPr>
              <w:t>24.1 (11.2–35.2)</w:t>
            </w:r>
          </w:p>
        </w:tc>
        <w:tc>
          <w:tcPr>
            <w:tcW w:w="1716" w:type="dxa"/>
            <w:hideMark/>
          </w:tcPr>
          <w:p w14:paraId="1B4B0640" w14:textId="77777777" w:rsidR="00D33CDA" w:rsidRPr="00D33CDA" w:rsidRDefault="00D33CDA" w:rsidP="00D33CDA">
            <w:pPr>
              <w:rPr>
                <w:sz w:val="18"/>
                <w:szCs w:val="18"/>
              </w:rPr>
            </w:pPr>
            <w:r w:rsidRPr="00D33CDA">
              <w:rPr>
                <w:sz w:val="18"/>
                <w:szCs w:val="18"/>
              </w:rPr>
              <w:t>24.2 (9.6–36.4)</w:t>
            </w:r>
          </w:p>
        </w:tc>
      </w:tr>
      <w:tr w:rsidR="00D33CDA" w:rsidRPr="00D33CDA" w14:paraId="6D8AE348" w14:textId="77777777" w:rsidTr="007725A9">
        <w:tc>
          <w:tcPr>
            <w:tcW w:w="2971" w:type="dxa"/>
            <w:hideMark/>
          </w:tcPr>
          <w:p w14:paraId="0DF1F978" w14:textId="77777777" w:rsidR="00D33CDA" w:rsidRPr="00D33CDA" w:rsidRDefault="00D33CDA" w:rsidP="00D33CDA">
            <w:pPr>
              <w:rPr>
                <w:sz w:val="22"/>
                <w:szCs w:val="22"/>
              </w:rPr>
            </w:pPr>
            <w:r w:rsidRPr="00D33CDA">
              <w:rPr>
                <w:sz w:val="22"/>
                <w:szCs w:val="22"/>
              </w:rPr>
              <w:t>Ornamental &amp; domestic containers</w:t>
            </w:r>
          </w:p>
        </w:tc>
        <w:tc>
          <w:tcPr>
            <w:tcW w:w="1439" w:type="dxa"/>
            <w:hideMark/>
          </w:tcPr>
          <w:p w14:paraId="16FC1F94" w14:textId="77777777" w:rsidR="00D33CDA" w:rsidRPr="00D33CDA" w:rsidRDefault="00D33CDA" w:rsidP="00D33CDA">
            <w:pPr>
              <w:rPr>
                <w:sz w:val="18"/>
                <w:szCs w:val="18"/>
              </w:rPr>
            </w:pPr>
            <w:r w:rsidRPr="00D33CDA">
              <w:rPr>
                <w:sz w:val="18"/>
                <w:szCs w:val="18"/>
              </w:rPr>
              <w:t>17.2 (1.0–29.9)</w:t>
            </w:r>
          </w:p>
        </w:tc>
        <w:tc>
          <w:tcPr>
            <w:tcW w:w="1440" w:type="dxa"/>
            <w:hideMark/>
          </w:tcPr>
          <w:p w14:paraId="61541FF8" w14:textId="77777777" w:rsidR="00D33CDA" w:rsidRPr="00D33CDA" w:rsidRDefault="00D33CDA" w:rsidP="00D33CDA">
            <w:pPr>
              <w:rPr>
                <w:sz w:val="18"/>
                <w:szCs w:val="18"/>
              </w:rPr>
            </w:pPr>
            <w:r w:rsidRPr="00D33CDA">
              <w:rPr>
                <w:sz w:val="18"/>
                <w:szCs w:val="18"/>
              </w:rPr>
              <w:t>19.6 (3.8–32.1)</w:t>
            </w:r>
          </w:p>
        </w:tc>
        <w:tc>
          <w:tcPr>
            <w:tcW w:w="1446" w:type="dxa"/>
            <w:hideMark/>
          </w:tcPr>
          <w:p w14:paraId="735B5790" w14:textId="77777777" w:rsidR="00D33CDA" w:rsidRPr="00D33CDA" w:rsidRDefault="00D33CDA" w:rsidP="00D33CDA">
            <w:pPr>
              <w:rPr>
                <w:sz w:val="18"/>
                <w:szCs w:val="18"/>
              </w:rPr>
            </w:pPr>
            <w:r w:rsidRPr="00D33CDA">
              <w:rPr>
                <w:sz w:val="18"/>
                <w:szCs w:val="18"/>
              </w:rPr>
              <w:t>23.3 (7.4–34.5)</w:t>
            </w:r>
          </w:p>
        </w:tc>
        <w:tc>
          <w:tcPr>
            <w:tcW w:w="1428" w:type="dxa"/>
            <w:hideMark/>
          </w:tcPr>
          <w:p w14:paraId="123B33CA" w14:textId="77777777" w:rsidR="00D33CDA" w:rsidRPr="00D33CDA" w:rsidRDefault="00D33CDA" w:rsidP="00D33CDA">
            <w:pPr>
              <w:rPr>
                <w:sz w:val="18"/>
                <w:szCs w:val="18"/>
              </w:rPr>
            </w:pPr>
            <w:r w:rsidRPr="00D33CDA">
              <w:rPr>
                <w:sz w:val="18"/>
                <w:szCs w:val="18"/>
              </w:rPr>
              <w:t>14.1 (2.6–29.0)</w:t>
            </w:r>
          </w:p>
        </w:tc>
        <w:tc>
          <w:tcPr>
            <w:tcW w:w="1716" w:type="dxa"/>
            <w:hideMark/>
          </w:tcPr>
          <w:p w14:paraId="043E8542" w14:textId="77777777" w:rsidR="00D33CDA" w:rsidRPr="00D33CDA" w:rsidRDefault="00D33CDA" w:rsidP="00D33CDA">
            <w:pPr>
              <w:rPr>
                <w:sz w:val="18"/>
                <w:szCs w:val="18"/>
              </w:rPr>
            </w:pPr>
            <w:r w:rsidRPr="00D33CDA">
              <w:rPr>
                <w:sz w:val="18"/>
                <w:szCs w:val="18"/>
              </w:rPr>
              <w:t>10.8 (1.2–30.3)</w:t>
            </w:r>
          </w:p>
        </w:tc>
      </w:tr>
    </w:tbl>
    <w:p w14:paraId="043E24BD" w14:textId="77777777" w:rsidR="00D33CDA" w:rsidRPr="00D33CDA" w:rsidRDefault="00D33CDA" w:rsidP="00D33CDA">
      <w:pPr>
        <w:jc w:val="both"/>
        <w:rPr>
          <w:lang w:val="en-GB"/>
        </w:rPr>
      </w:pPr>
    </w:p>
    <w:p w14:paraId="5F142992" w14:textId="77777777" w:rsidR="00D33CDA" w:rsidRDefault="00D33CDA" w:rsidP="00D33CDA">
      <w:pPr>
        <w:jc w:val="both"/>
        <w:rPr>
          <w:lang w:val="en-GB"/>
        </w:rPr>
      </w:pPr>
    </w:p>
    <w:p w14:paraId="1D943307" w14:textId="77777777" w:rsidR="00924238" w:rsidRDefault="00924238" w:rsidP="00D33CDA">
      <w:pPr>
        <w:jc w:val="both"/>
        <w:rPr>
          <w:lang w:val="en-GB"/>
        </w:rPr>
      </w:pPr>
    </w:p>
    <w:p w14:paraId="0763DF7F" w14:textId="59766523" w:rsidR="00744149" w:rsidRPr="004E6BA5" w:rsidRDefault="00744149" w:rsidP="004E6BA5">
      <w:pPr>
        <w:pStyle w:val="Heading2"/>
        <w:rPr>
          <w:rFonts w:ascii="Times New Roman" w:hAnsi="Times New Roman" w:cs="Times New Roman"/>
          <w:b/>
          <w:bCs/>
          <w:color w:val="auto"/>
          <w:sz w:val="24"/>
          <w:szCs w:val="24"/>
        </w:rPr>
      </w:pPr>
      <w:bookmarkStart w:id="16" w:name="_Toc235161896"/>
      <w:r w:rsidRPr="004E6BA5">
        <w:rPr>
          <w:rFonts w:ascii="Times New Roman" w:hAnsi="Times New Roman" w:cs="Times New Roman"/>
          <w:b/>
          <w:bCs/>
          <w:color w:val="auto"/>
          <w:sz w:val="24"/>
          <w:szCs w:val="24"/>
        </w:rPr>
        <w:t>Cost-of-Illness Analysis and Economic Attribution Framework</w:t>
      </w:r>
      <w:bookmarkEnd w:id="16"/>
    </w:p>
    <w:p w14:paraId="70B7E39D" w14:textId="75EA3AB9" w:rsidR="00D40E33" w:rsidRPr="00744149" w:rsidRDefault="00744149" w:rsidP="004E6BA5">
      <w:pPr>
        <w:spacing w:before="100" w:beforeAutospacing="1" w:after="100" w:afterAutospacing="1" w:line="276" w:lineRule="auto"/>
        <w:jc w:val="both"/>
      </w:pPr>
      <w:r w:rsidRPr="00B70C01">
        <w:t>The economic evaluation quantified the district-level and aggregated national burden of dengue attributable to discarded non-degradable waste and plastic-associated larval habitats in Sri Lanka during 2024 and 2025. The analysis adopted a societal perspective in accordance with the Consolidated Health Economic Evaluation Reporting Standards (CHEERS 2022)</w:t>
      </w:r>
      <w:sdt>
        <w:sdtPr>
          <w:rPr>
            <w:color w:val="000000"/>
            <w:vertAlign w:val="superscript"/>
          </w:rPr>
          <w:tag w:val="MENDELEY_CITATION_v3_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"/>
          <w:id w:val="-790275804"/>
          <w:placeholder>
            <w:docPart w:val="013A85909010C246ADEA1A2BCB48561D"/>
          </w:placeholder>
        </w:sdtPr>
        <w:sdtContent>
          <w:r w:rsidRPr="00744149">
            <w:rPr>
              <w:color w:val="000000"/>
              <w:vertAlign w:val="superscript"/>
            </w:rPr>
            <w:t>1</w:t>
          </w:r>
        </w:sdtContent>
      </w:sdt>
      <w:r w:rsidRPr="00B70C01">
        <w:t xml:space="preserve"> and incorporated direct healthcare expenditures, dengue prevention program costs, household out-of-pocket expenditures, productivity losses, and premature mortality costs. All costs were expressed in 2024 United States dollars (USD) following inflation adjustment and currency standardization.</w:t>
      </w:r>
      <w:r>
        <w:t xml:space="preserve"> The data and the methods used for the parameter estimation is given in the Table S</w:t>
      </w:r>
      <w:r w:rsidR="003518F8">
        <w:t>5</w:t>
      </w:r>
      <w:r>
        <w:t xml:space="preserve"> below. </w:t>
      </w:r>
    </w:p>
    <w:p w14:paraId="03280E31" w14:textId="130240CF" w:rsidR="00D40E33" w:rsidRPr="004E6BA5" w:rsidRDefault="00C200D8" w:rsidP="004E6BA5">
      <w:pPr>
        <w:pStyle w:val="Heading3"/>
        <w:rPr>
          <w:rFonts w:ascii="Times New Roman" w:hAnsi="Times New Roman" w:cs="Times New Roman"/>
          <w:b/>
          <w:bCs/>
          <w:color w:val="auto"/>
          <w:sz w:val="24"/>
          <w:szCs w:val="24"/>
          <w:lang w:val="en-GB"/>
        </w:rPr>
      </w:pPr>
      <w:bookmarkStart w:id="17" w:name="_Toc235161897"/>
      <w:r w:rsidRPr="004E6BA5">
        <w:rPr>
          <w:rFonts w:ascii="Times New Roman" w:hAnsi="Times New Roman" w:cs="Times New Roman"/>
          <w:b/>
          <w:bCs/>
          <w:color w:val="auto"/>
          <w:sz w:val="24"/>
          <w:szCs w:val="24"/>
          <w:lang w:val="en-GB"/>
        </w:rPr>
        <w:t>Table S</w:t>
      </w:r>
      <w:r w:rsidR="004E6BA5">
        <w:rPr>
          <w:rFonts w:ascii="Times New Roman" w:hAnsi="Times New Roman" w:cs="Times New Roman"/>
          <w:b/>
          <w:bCs/>
          <w:color w:val="auto"/>
          <w:sz w:val="24"/>
          <w:szCs w:val="24"/>
          <w:lang w:val="en-GB"/>
        </w:rPr>
        <w:t>5</w:t>
      </w:r>
      <w:r w:rsidRPr="004E6BA5">
        <w:rPr>
          <w:rFonts w:ascii="Times New Roman" w:hAnsi="Times New Roman" w:cs="Times New Roman"/>
          <w:b/>
          <w:bCs/>
          <w:color w:val="auto"/>
          <w:sz w:val="24"/>
          <w:szCs w:val="24"/>
          <w:lang w:val="en-GB"/>
        </w:rPr>
        <w:t xml:space="preserve">: </w:t>
      </w:r>
      <w:r w:rsidR="00D40E33" w:rsidRPr="004E6BA5">
        <w:rPr>
          <w:rFonts w:ascii="Times New Roman" w:hAnsi="Times New Roman" w:cs="Times New Roman"/>
          <w:b/>
          <w:bCs/>
          <w:color w:val="auto"/>
          <w:sz w:val="24"/>
          <w:szCs w:val="24"/>
          <w:lang w:val="en-GB"/>
        </w:rPr>
        <w:t>Parameter</w:t>
      </w:r>
      <w:r w:rsidR="00442123" w:rsidRPr="004E6BA5">
        <w:rPr>
          <w:rFonts w:ascii="Times New Roman" w:hAnsi="Times New Roman" w:cs="Times New Roman"/>
          <w:b/>
          <w:bCs/>
          <w:color w:val="auto"/>
          <w:sz w:val="24"/>
          <w:szCs w:val="24"/>
          <w:lang w:val="en-GB"/>
        </w:rPr>
        <w:t>s</w:t>
      </w:r>
      <w:r w:rsidRPr="004E6BA5">
        <w:rPr>
          <w:rFonts w:ascii="Times New Roman" w:hAnsi="Times New Roman" w:cs="Times New Roman"/>
          <w:b/>
          <w:bCs/>
          <w:color w:val="auto"/>
          <w:sz w:val="24"/>
          <w:szCs w:val="24"/>
          <w:lang w:val="en-GB"/>
        </w:rPr>
        <w:t xml:space="preserve"> and parameter </w:t>
      </w:r>
      <w:r w:rsidR="00F70EF1" w:rsidRPr="004E6BA5">
        <w:rPr>
          <w:rFonts w:ascii="Times New Roman" w:hAnsi="Times New Roman" w:cs="Times New Roman"/>
          <w:b/>
          <w:bCs/>
          <w:color w:val="auto"/>
          <w:sz w:val="24"/>
          <w:szCs w:val="24"/>
          <w:lang w:val="en-GB"/>
        </w:rPr>
        <w:t>specifications</w:t>
      </w:r>
      <w:r w:rsidR="00442123" w:rsidRPr="004E6BA5">
        <w:rPr>
          <w:rFonts w:ascii="Times New Roman" w:hAnsi="Times New Roman" w:cs="Times New Roman"/>
          <w:b/>
          <w:bCs/>
          <w:color w:val="auto"/>
          <w:sz w:val="24"/>
          <w:szCs w:val="24"/>
          <w:lang w:val="en-GB"/>
        </w:rPr>
        <w:t xml:space="preserve"> used in cost of illness analysis</w:t>
      </w:r>
      <w:bookmarkEnd w:id="17"/>
      <w:r w:rsidR="00D40E33" w:rsidRPr="004E6BA5">
        <w:rPr>
          <w:rFonts w:ascii="Times New Roman" w:hAnsi="Times New Roman" w:cs="Times New Roman"/>
          <w:b/>
          <w:bCs/>
          <w:color w:val="auto"/>
          <w:sz w:val="24"/>
          <w:szCs w:val="24"/>
          <w:lang w:val="en-GB"/>
        </w:rPr>
        <w:t xml:space="preserve"> </w:t>
      </w:r>
    </w:p>
    <w:p w14:paraId="78DFD3FA" w14:textId="77777777" w:rsidR="00B95F8E" w:rsidRDefault="00B95F8E">
      <w:pPr>
        <w:rPr>
          <w:b/>
          <w:bCs/>
        </w:rPr>
      </w:pPr>
    </w:p>
    <w:tbl>
      <w:tblPr>
        <w:tblStyle w:val="TableGrid"/>
        <w:tblW w:w="10345" w:type="dxa"/>
        <w:tblLayout w:type="fixed"/>
        <w:tblLook w:val="04A0" w:firstRow="1" w:lastRow="0" w:firstColumn="1" w:lastColumn="0" w:noHBand="0" w:noVBand="1"/>
      </w:tblPr>
      <w:tblGrid>
        <w:gridCol w:w="1255"/>
        <w:gridCol w:w="1800"/>
        <w:gridCol w:w="1620"/>
        <w:gridCol w:w="3330"/>
        <w:gridCol w:w="2340"/>
      </w:tblGrid>
      <w:tr w:rsidR="00B95F8E" w:rsidRPr="00A76B19" w14:paraId="2C19221D" w14:textId="77777777" w:rsidTr="00B95F8E">
        <w:tc>
          <w:tcPr>
            <w:tcW w:w="1255" w:type="dxa"/>
            <w:hideMark/>
          </w:tcPr>
          <w:p w14:paraId="4D01348A" w14:textId="77777777" w:rsidR="00B95F8E" w:rsidRPr="00A76B19" w:rsidRDefault="00B95F8E">
            <w:pPr>
              <w:rPr>
                <w:color w:val="1F1F1F"/>
                <w:sz w:val="16"/>
                <w:szCs w:val="16"/>
              </w:rPr>
            </w:pPr>
            <w:r w:rsidRPr="00A76B19">
              <w:rPr>
                <w:rStyle w:val="Strong"/>
                <w:color w:val="1F1F1F"/>
                <w:sz w:val="16"/>
                <w:szCs w:val="16"/>
                <w:bdr w:val="none" w:sz="0" w:space="0" w:color="auto" w:frame="1"/>
              </w:rPr>
              <w:t>Domain</w:t>
            </w:r>
          </w:p>
        </w:tc>
        <w:tc>
          <w:tcPr>
            <w:tcW w:w="1800" w:type="dxa"/>
            <w:hideMark/>
          </w:tcPr>
          <w:p w14:paraId="42496F0B" w14:textId="77777777" w:rsidR="00B95F8E" w:rsidRPr="00A76B19" w:rsidRDefault="00B95F8E">
            <w:pPr>
              <w:rPr>
                <w:color w:val="1F1F1F"/>
                <w:sz w:val="16"/>
                <w:szCs w:val="16"/>
              </w:rPr>
            </w:pPr>
            <w:r w:rsidRPr="00A76B19">
              <w:rPr>
                <w:rStyle w:val="Strong"/>
                <w:color w:val="1F1F1F"/>
                <w:sz w:val="16"/>
                <w:szCs w:val="16"/>
                <w:bdr w:val="none" w:sz="0" w:space="0" w:color="auto" w:frame="1"/>
              </w:rPr>
              <w:t>Input Variable</w:t>
            </w:r>
          </w:p>
        </w:tc>
        <w:tc>
          <w:tcPr>
            <w:tcW w:w="1620" w:type="dxa"/>
            <w:hideMark/>
          </w:tcPr>
          <w:p w14:paraId="1635DBD4" w14:textId="77777777" w:rsidR="00B95F8E" w:rsidRPr="00A76B19" w:rsidRDefault="00B95F8E">
            <w:pPr>
              <w:rPr>
                <w:color w:val="1F1F1F"/>
                <w:sz w:val="16"/>
                <w:szCs w:val="16"/>
              </w:rPr>
            </w:pPr>
            <w:r w:rsidRPr="00A76B19">
              <w:rPr>
                <w:rStyle w:val="Strong"/>
                <w:color w:val="1F1F1F"/>
                <w:sz w:val="16"/>
                <w:szCs w:val="16"/>
                <w:bdr w:val="none" w:sz="0" w:space="0" w:color="auto" w:frame="1"/>
              </w:rPr>
              <w:t>Distribution</w:t>
            </w:r>
          </w:p>
        </w:tc>
        <w:tc>
          <w:tcPr>
            <w:tcW w:w="3330" w:type="dxa"/>
            <w:hideMark/>
          </w:tcPr>
          <w:p w14:paraId="2B3F1DE6" w14:textId="77777777" w:rsidR="00B95F8E" w:rsidRPr="00A76B19" w:rsidRDefault="00B95F8E">
            <w:pPr>
              <w:rPr>
                <w:color w:val="1F1F1F"/>
                <w:sz w:val="16"/>
                <w:szCs w:val="16"/>
              </w:rPr>
            </w:pPr>
            <w:r w:rsidRPr="00A76B19">
              <w:rPr>
                <w:rStyle w:val="Strong"/>
                <w:color w:val="1F1F1F"/>
                <w:sz w:val="16"/>
                <w:szCs w:val="16"/>
                <w:bdr w:val="none" w:sz="0" w:space="0" w:color="auto" w:frame="1"/>
              </w:rPr>
              <w:t>Distribution Parameters / Specification</w:t>
            </w:r>
          </w:p>
        </w:tc>
        <w:tc>
          <w:tcPr>
            <w:tcW w:w="2340" w:type="dxa"/>
            <w:hideMark/>
          </w:tcPr>
          <w:p w14:paraId="2F6AB7C7" w14:textId="68C2F978" w:rsidR="00B95F8E" w:rsidRPr="00A76B19" w:rsidRDefault="007139EA">
            <w:pPr>
              <w:rPr>
                <w:color w:val="1F1F1F"/>
                <w:sz w:val="16"/>
                <w:szCs w:val="16"/>
              </w:rPr>
            </w:pPr>
            <w:r>
              <w:rPr>
                <w:rStyle w:val="Strong"/>
                <w:color w:val="1F1F1F"/>
                <w:sz w:val="16"/>
                <w:szCs w:val="16"/>
                <w:bdr w:val="none" w:sz="0" w:space="0" w:color="auto" w:frame="1"/>
              </w:rPr>
              <w:t xml:space="preserve">Data </w:t>
            </w:r>
            <w:r w:rsidR="00B95F8E" w:rsidRPr="00A76B19">
              <w:rPr>
                <w:rStyle w:val="Strong"/>
                <w:color w:val="1F1F1F"/>
                <w:sz w:val="16"/>
                <w:szCs w:val="16"/>
                <w:bdr w:val="none" w:sz="0" w:space="0" w:color="auto" w:frame="1"/>
              </w:rPr>
              <w:t>Source / Methodological Reference</w:t>
            </w:r>
          </w:p>
        </w:tc>
      </w:tr>
      <w:tr w:rsidR="00B95F8E" w:rsidRPr="00A76B19" w14:paraId="2C46FB0B" w14:textId="77777777" w:rsidTr="00B95F8E">
        <w:tc>
          <w:tcPr>
            <w:tcW w:w="1255" w:type="dxa"/>
            <w:hideMark/>
          </w:tcPr>
          <w:p w14:paraId="5B3E7DB0" w14:textId="77777777" w:rsidR="00B95F8E" w:rsidRPr="00A76B19" w:rsidRDefault="00B95F8E">
            <w:pPr>
              <w:rPr>
                <w:color w:val="1F1F1F"/>
                <w:sz w:val="16"/>
                <w:szCs w:val="16"/>
              </w:rPr>
            </w:pPr>
            <w:r w:rsidRPr="00A76B19">
              <w:rPr>
                <w:b/>
                <w:bCs/>
                <w:color w:val="1F1F1F"/>
                <w:sz w:val="16"/>
                <w:szCs w:val="16"/>
                <w:bdr w:val="none" w:sz="0" w:space="0" w:color="auto" w:frame="1"/>
              </w:rPr>
              <w:t>Attributable Risk Framework</w:t>
            </w:r>
          </w:p>
        </w:tc>
        <w:tc>
          <w:tcPr>
            <w:tcW w:w="1800" w:type="dxa"/>
            <w:hideMark/>
          </w:tcPr>
          <w:p w14:paraId="0768A9E6" w14:textId="2B1EE9FF" w:rsidR="00B95F8E" w:rsidRPr="00A76B19" w:rsidRDefault="00B95F8E">
            <w:pPr>
              <w:rPr>
                <w:color w:val="1F1F1F"/>
                <w:sz w:val="16"/>
                <w:szCs w:val="16"/>
              </w:rPr>
            </w:pPr>
            <w:r w:rsidRPr="00A76B19">
              <w:rPr>
                <w:color w:val="1F1F1F"/>
                <w:sz w:val="16"/>
                <w:szCs w:val="16"/>
                <w:bdr w:val="none" w:sz="0" w:space="0" w:color="auto" w:frame="1"/>
              </w:rPr>
              <w:t xml:space="preserve">DLNM-derived macro waste-attributable fraction </w:t>
            </w:r>
            <m:oMath>
              <m:d>
                <m:dPr>
                  <m:ctrlPr>
                    <w:rPr>
                      <w:rFonts w:ascii="Cambria Math" w:hAnsi="Cambria Math"/>
                      <w:color w:val="1F1F1F"/>
                      <w:sz w:val="16"/>
                      <w:szCs w:val="16"/>
                    </w:rPr>
                  </m:ctrlPr>
                </m:dPr>
                <m:e>
                  <m:r>
                    <w:rPr>
                      <w:rFonts w:ascii="Cambria Math" w:hAnsi="Cambria Math"/>
                      <w:color w:val="1F1F1F"/>
                      <w:sz w:val="16"/>
                      <w:szCs w:val="16"/>
                    </w:rPr>
                    <m:t>A</m:t>
                  </m:r>
                  <m:sSub>
                    <m:sSubPr>
                      <m:ctrlPr>
                        <w:rPr>
                          <w:rFonts w:ascii="Cambria Math" w:hAnsi="Cambria Math"/>
                          <w:color w:val="1F1F1F"/>
                          <w:sz w:val="16"/>
                          <w:szCs w:val="16"/>
                        </w:rPr>
                      </m:ctrlPr>
                    </m:sSubPr>
                    <m:e>
                      <m:r>
                        <w:rPr>
                          <w:rFonts w:ascii="Cambria Math" w:hAnsi="Cambria Math"/>
                          <w:color w:val="1F1F1F"/>
                          <w:sz w:val="16"/>
                          <w:szCs w:val="16"/>
                        </w:rPr>
                        <m:t>F</m:t>
                      </m:r>
                    </m:e>
                    <m:sub>
                      <m:r>
                        <m:rPr>
                          <m:nor/>
                        </m:rPr>
                        <w:rPr>
                          <w:color w:val="1F1F1F"/>
                          <w:sz w:val="16"/>
                          <w:szCs w:val="16"/>
                        </w:rPr>
                        <m:t>waste</m:t>
                      </m:r>
                    </m:sub>
                  </m:sSub>
                </m:e>
              </m:d>
            </m:oMath>
          </w:p>
        </w:tc>
        <w:tc>
          <w:tcPr>
            <w:tcW w:w="1620" w:type="dxa"/>
            <w:hideMark/>
          </w:tcPr>
          <w:p w14:paraId="554A91AE" w14:textId="77777777" w:rsidR="00B95F8E" w:rsidRPr="00A76B19" w:rsidRDefault="00B95F8E">
            <w:pPr>
              <w:rPr>
                <w:color w:val="1F1F1F"/>
                <w:sz w:val="16"/>
                <w:szCs w:val="16"/>
              </w:rPr>
            </w:pPr>
            <w:r w:rsidRPr="00A76B19">
              <w:rPr>
                <w:color w:val="1F1F1F"/>
                <w:sz w:val="16"/>
                <w:szCs w:val="16"/>
                <w:bdr w:val="none" w:sz="0" w:space="0" w:color="auto" w:frame="1"/>
              </w:rPr>
              <w:t>Multivariate Normal propagation through DLNM coefficient simulation</w:t>
            </w:r>
          </w:p>
        </w:tc>
        <w:tc>
          <w:tcPr>
            <w:tcW w:w="3330" w:type="dxa"/>
            <w:hideMark/>
          </w:tcPr>
          <w:p w14:paraId="28C391BC" w14:textId="7C70DE82" w:rsidR="00B95F8E" w:rsidRPr="00A76B19" w:rsidRDefault="00B95F8E">
            <w:pPr>
              <w:pStyle w:val="NormalWeb"/>
              <w:spacing w:before="0" w:beforeAutospacing="0" w:after="0" w:afterAutospacing="0"/>
              <w:rPr>
                <w:color w:val="1F1F1F"/>
                <w:sz w:val="16"/>
                <w:szCs w:val="16"/>
              </w:rPr>
            </w:pPr>
            <w:r w:rsidRPr="00A76B19">
              <w:rPr>
                <w:rStyle w:val="math-inline"/>
                <w:color w:val="1F1F1F"/>
                <w:sz w:val="16"/>
                <w:szCs w:val="16"/>
                <w:bdr w:val="none" w:sz="0" w:space="0" w:color="auto" w:frame="1"/>
              </w:rPr>
              <w:t>5,000</w:t>
            </w:r>
            <w:r w:rsidRPr="00A76B19">
              <w:rPr>
                <w:color w:val="1F1F1F"/>
                <w:sz w:val="16"/>
                <w:szCs w:val="16"/>
              </w:rPr>
              <w:t xml:space="preserve"> Monte Carlo draws from:</w:t>
            </w:r>
          </w:p>
          <w:p w14:paraId="71BAA4BF" w14:textId="77777777" w:rsidR="00B95F8E" w:rsidRPr="00A76B19" w:rsidRDefault="00B95F8E">
            <w:pPr>
              <w:rPr>
                <w:color w:val="1F1F1F"/>
                <w:sz w:val="16"/>
                <w:szCs w:val="16"/>
              </w:rPr>
            </w:pPr>
          </w:p>
          <w:p w14:paraId="18F99F5A" w14:textId="00FBF73E" w:rsidR="00B95F8E" w:rsidRPr="00A76B19" w:rsidRDefault="00B95F8E">
            <w:pPr>
              <w:rPr>
                <w:color w:val="1F1F1F"/>
                <w:sz w:val="16"/>
                <w:szCs w:val="16"/>
              </w:rPr>
            </w:pPr>
            <m:oMathPara>
              <m:oMath>
                <m:r>
                  <w:rPr>
                    <w:rFonts w:ascii="Cambria Math" w:hAnsi="Cambria Math"/>
                    <w:color w:val="1F1F1F"/>
                    <w:sz w:val="16"/>
                    <w:szCs w:val="16"/>
                  </w:rPr>
                  <m:t>β∼</m:t>
                </m:r>
                <m:r>
                  <m:rPr>
                    <m:nor/>
                  </m:rPr>
                  <w:rPr>
                    <w:color w:val="1F1F1F"/>
                    <w:sz w:val="16"/>
                    <w:szCs w:val="16"/>
                  </w:rPr>
                  <m:t>MVN</m:t>
                </m:r>
                <m:d>
                  <m:dPr>
                    <m:ctrlPr>
                      <w:rPr>
                        <w:rFonts w:ascii="Cambria Math" w:hAnsi="Cambria Math"/>
                        <w:color w:val="1F1F1F"/>
                        <w:sz w:val="16"/>
                        <w:szCs w:val="16"/>
                      </w:rPr>
                    </m:ctrlPr>
                  </m:dPr>
                  <m:e>
                    <m:r>
                      <w:rPr>
                        <w:rFonts w:ascii="Cambria Math" w:hAnsi="Cambria Math"/>
                        <w:color w:val="1F1F1F"/>
                        <w:sz w:val="16"/>
                        <w:szCs w:val="16"/>
                      </w:rPr>
                      <m:t>μ=</m:t>
                    </m:r>
                    <m:r>
                      <m:rPr>
                        <m:nor/>
                      </m:rPr>
                      <w:rPr>
                        <w:color w:val="1F1F1F"/>
                        <w:sz w:val="16"/>
                        <w:szCs w:val="16"/>
                      </w:rPr>
                      <m:t>coef</m:t>
                    </m:r>
                    <m:d>
                      <m:dPr>
                        <m:ctrlPr>
                          <w:rPr>
                            <w:rFonts w:ascii="Cambria Math" w:hAnsi="Cambria Math"/>
                            <w:color w:val="1F1F1F"/>
                            <w:sz w:val="16"/>
                            <w:szCs w:val="16"/>
                          </w:rPr>
                        </m:ctrlPr>
                      </m:dPr>
                      <m:e>
                        <m:r>
                          <m:rPr>
                            <m:nor/>
                          </m:rPr>
                          <w:rPr>
                            <w:color w:val="1F1F1F"/>
                            <w:sz w:val="16"/>
                            <w:szCs w:val="16"/>
                          </w:rPr>
                          <m:t>meta_overall</m:t>
                        </m:r>
                      </m:e>
                    </m:d>
                    <m:r>
                      <w:rPr>
                        <w:rFonts w:ascii="Cambria Math" w:hAnsi="Cambria Math"/>
                        <w:color w:val="1F1F1F"/>
                        <w:sz w:val="16"/>
                        <w:szCs w:val="16"/>
                      </w:rPr>
                      <m:t>,Σ=</m:t>
                    </m:r>
                    <m:r>
                      <m:rPr>
                        <m:nor/>
                      </m:rPr>
                      <w:rPr>
                        <w:color w:val="1F1F1F"/>
                        <w:sz w:val="16"/>
                        <w:szCs w:val="16"/>
                      </w:rPr>
                      <m:t>vcov</m:t>
                    </m:r>
                    <m:d>
                      <m:dPr>
                        <m:ctrlPr>
                          <w:rPr>
                            <w:rFonts w:ascii="Cambria Math" w:hAnsi="Cambria Math"/>
                            <w:color w:val="1F1F1F"/>
                            <w:sz w:val="16"/>
                            <w:szCs w:val="16"/>
                          </w:rPr>
                        </m:ctrlPr>
                      </m:dPr>
                      <m:e>
                        <m:r>
                          <m:rPr>
                            <m:nor/>
                          </m:rPr>
                          <w:rPr>
                            <w:color w:val="1F1F1F"/>
                            <w:sz w:val="16"/>
                            <w:szCs w:val="16"/>
                          </w:rPr>
                          <m:t>meta_overall</m:t>
                        </m:r>
                      </m:e>
                    </m:d>
                  </m:e>
                </m:d>
                <m:r>
                  <m:rPr>
                    <m:sty m:val="p"/>
                  </m:rPr>
                  <w:rPr>
                    <w:color w:val="1F1F1F"/>
                    <w:sz w:val="16"/>
                    <w:szCs w:val="16"/>
                  </w:rPr>
                  <w:br/>
                </m:r>
              </m:oMath>
            </m:oMathPara>
          </w:p>
          <w:p w14:paraId="5D121C6C" w14:textId="30C7690E" w:rsidR="00B95F8E" w:rsidRPr="00A76B19" w:rsidRDefault="00B95F8E" w:rsidP="00B95F8E">
            <w:pPr>
              <w:pStyle w:val="NormalWeb"/>
              <w:spacing w:before="0" w:beforeAutospacing="0" w:after="0" w:afterAutospacing="0"/>
              <w:rPr>
                <w:color w:val="1F1F1F"/>
                <w:sz w:val="16"/>
                <w:szCs w:val="16"/>
              </w:rPr>
            </w:pPr>
            <w:r w:rsidRPr="00A76B19">
              <w:rPr>
                <w:color w:val="1F1F1F"/>
                <w:sz w:val="16"/>
                <w:szCs w:val="16"/>
              </w:rPr>
              <w:t>Fraction estimated as:</w:t>
            </w:r>
          </w:p>
          <w:p w14:paraId="1AD9525F" w14:textId="4CE4138A" w:rsidR="00B95F8E" w:rsidRPr="00A76B19" w:rsidRDefault="00B95F8E">
            <w:pPr>
              <w:rPr>
                <w:color w:val="1F1F1F"/>
                <w:sz w:val="16"/>
                <w:szCs w:val="16"/>
              </w:rPr>
            </w:pPr>
            <m:oMathPara>
              <m:oMath>
                <m:r>
                  <w:rPr>
                    <w:rFonts w:ascii="Cambria Math" w:hAnsi="Cambria Math"/>
                    <w:color w:val="1F1F1F"/>
                    <w:sz w:val="16"/>
                    <w:szCs w:val="16"/>
                  </w:rPr>
                  <m:t>AF=</m:t>
                </m:r>
                <m:f>
                  <m:fPr>
                    <m:ctrlPr>
                      <w:rPr>
                        <w:rFonts w:ascii="Cambria Math" w:hAnsi="Cambria Math"/>
                        <w:color w:val="1F1F1F"/>
                        <w:sz w:val="16"/>
                        <w:szCs w:val="16"/>
                      </w:rPr>
                    </m:ctrlPr>
                  </m:fPr>
                  <m:num>
                    <m:r>
                      <w:rPr>
                        <w:rFonts w:ascii="Cambria Math" w:hAnsi="Cambria Math"/>
                        <w:color w:val="1F1F1F"/>
                        <w:sz w:val="16"/>
                        <w:szCs w:val="16"/>
                      </w:rPr>
                      <m:t>RR-1</m:t>
                    </m:r>
                  </m:num>
                  <m:den>
                    <m:r>
                      <w:rPr>
                        <w:rFonts w:ascii="Cambria Math" w:hAnsi="Cambria Math"/>
                        <w:color w:val="1F1F1F"/>
                        <w:sz w:val="16"/>
                        <w:szCs w:val="16"/>
                      </w:rPr>
                      <m:t>RR</m:t>
                    </m:r>
                  </m:den>
                </m:f>
                <m:r>
                  <w:rPr>
                    <w:rFonts w:ascii="Cambria Math" w:hAnsi="Cambria Math"/>
                    <w:i/>
                    <w:color w:val="1F1F1F"/>
                    <w:sz w:val="16"/>
                    <w:szCs w:val="16"/>
                  </w:rPr>
                  <m:t> </m:t>
                </m:r>
                <m:r>
                  <m:rPr>
                    <m:nor/>
                  </m:rPr>
                  <w:rPr>
                    <w:color w:val="1F1F1F"/>
                    <w:sz w:val="16"/>
                    <w:szCs w:val="16"/>
                  </w:rPr>
                  <m:t>where </m:t>
                </m:r>
                <m:r>
                  <w:rPr>
                    <w:rFonts w:ascii="Cambria Math" w:hAnsi="Cambria Math"/>
                    <w:color w:val="1F1F1F"/>
                    <w:sz w:val="16"/>
                    <w:szCs w:val="16"/>
                  </w:rPr>
                  <m:t>RR&gt;1</m:t>
                </m:r>
              </m:oMath>
            </m:oMathPara>
          </w:p>
        </w:tc>
        <w:tc>
          <w:tcPr>
            <w:tcW w:w="2340" w:type="dxa"/>
            <w:hideMark/>
          </w:tcPr>
          <w:p w14:paraId="1E39D903" w14:textId="1C1BC8EA" w:rsidR="00B95F8E" w:rsidRPr="00A76B19" w:rsidRDefault="00B95F8E">
            <w:pPr>
              <w:rPr>
                <w:color w:val="1F1F1F"/>
                <w:sz w:val="16"/>
                <w:szCs w:val="16"/>
              </w:rPr>
            </w:pPr>
            <w:r w:rsidRPr="00A76B19">
              <w:rPr>
                <w:color w:val="1F1F1F"/>
                <w:sz w:val="16"/>
                <w:szCs w:val="16"/>
                <w:bdr w:val="none" w:sz="0" w:space="0" w:color="auto" w:frame="1"/>
              </w:rPr>
              <w:t>Empirical meta-regression of two-staged distributed lag non-linear model surfaces</w:t>
            </w:r>
            <w:sdt>
              <w:sdtPr>
                <w:rPr>
                  <w:color w:val="1F1F1F"/>
                  <w:sz w:val="16"/>
                  <w:szCs w:val="16"/>
                  <w:bdr w:val="none" w:sz="0" w:space="0" w:color="auto" w:frame="1"/>
                  <w:vertAlign w:val="superscript"/>
                </w:rPr>
                <w:tag w:val="MENDELEY_CITATION_v3_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"/>
                <w:id w:val="-1074510191"/>
                <w:placeholder>
                  <w:docPart w:val="DefaultPlaceholder_-1854013440"/>
                </w:placeholder>
              </w:sdtPr>
              <w:sdtContent>
                <w:r w:rsidR="00744149" w:rsidRPr="00744149">
                  <w:rPr>
                    <w:color w:val="1F1F1F"/>
                    <w:sz w:val="16"/>
                    <w:szCs w:val="16"/>
                    <w:bdr w:val="none" w:sz="0" w:space="0" w:color="auto" w:frame="1"/>
                    <w:vertAlign w:val="superscript"/>
                  </w:rPr>
                  <w:t>2</w:t>
                </w:r>
              </w:sdtContent>
            </w:sdt>
            <w:r w:rsidRPr="00A76B19">
              <w:rPr>
                <w:color w:val="1F1F1F"/>
                <w:sz w:val="16"/>
                <w:szCs w:val="16"/>
                <w:bdr w:val="none" w:sz="0" w:space="0" w:color="auto" w:frame="1"/>
              </w:rPr>
              <w:t>.</w:t>
            </w:r>
          </w:p>
        </w:tc>
      </w:tr>
      <w:tr w:rsidR="00B95F8E" w:rsidRPr="00A76B19" w14:paraId="0BEB2867" w14:textId="77777777" w:rsidTr="00B95F8E">
        <w:tc>
          <w:tcPr>
            <w:tcW w:w="1255" w:type="dxa"/>
            <w:hideMark/>
          </w:tcPr>
          <w:p w14:paraId="3A199C41" w14:textId="77777777" w:rsidR="00B95F8E" w:rsidRPr="00A76B19" w:rsidRDefault="00B95F8E">
            <w:pPr>
              <w:rPr>
                <w:color w:val="1F1F1F"/>
                <w:sz w:val="16"/>
                <w:szCs w:val="16"/>
              </w:rPr>
            </w:pPr>
          </w:p>
        </w:tc>
        <w:tc>
          <w:tcPr>
            <w:tcW w:w="1800" w:type="dxa"/>
            <w:hideMark/>
          </w:tcPr>
          <w:p w14:paraId="038C397E" w14:textId="77777777" w:rsidR="00B95F8E" w:rsidRPr="00A76B19" w:rsidRDefault="00B95F8E">
            <w:pPr>
              <w:rPr>
                <w:color w:val="1F1F1F"/>
                <w:sz w:val="16"/>
                <w:szCs w:val="16"/>
              </w:rPr>
            </w:pPr>
            <w:r w:rsidRPr="00A76B19">
              <w:rPr>
                <w:color w:val="1F1F1F"/>
                <w:sz w:val="16"/>
                <w:szCs w:val="16"/>
                <w:bdr w:val="none" w:sz="0" w:space="0" w:color="auto" w:frame="1"/>
              </w:rPr>
              <w:t>Relative risk exposure-response surface</w:t>
            </w:r>
          </w:p>
        </w:tc>
        <w:tc>
          <w:tcPr>
            <w:tcW w:w="1620" w:type="dxa"/>
            <w:hideMark/>
          </w:tcPr>
          <w:p w14:paraId="35863C04" w14:textId="77777777" w:rsidR="00B95F8E" w:rsidRPr="00A76B19" w:rsidRDefault="00B95F8E">
            <w:pPr>
              <w:rPr>
                <w:color w:val="1F1F1F"/>
                <w:sz w:val="16"/>
                <w:szCs w:val="16"/>
              </w:rPr>
            </w:pPr>
            <w:r w:rsidRPr="00A76B19">
              <w:rPr>
                <w:color w:val="1F1F1F"/>
                <w:sz w:val="16"/>
                <w:szCs w:val="16"/>
                <w:bdr w:val="none" w:sz="0" w:space="0" w:color="auto" w:frame="1"/>
              </w:rPr>
              <w:t>Non-linear DLNM prediction surface</w:t>
            </w:r>
          </w:p>
        </w:tc>
        <w:tc>
          <w:tcPr>
            <w:tcW w:w="3330" w:type="dxa"/>
            <w:hideMark/>
          </w:tcPr>
          <w:p w14:paraId="79B9237E" w14:textId="665ED4E6" w:rsidR="00B95F8E" w:rsidRPr="00A76B19" w:rsidRDefault="00B95F8E">
            <w:pPr>
              <w:rPr>
                <w:color w:val="1F1F1F"/>
                <w:sz w:val="16"/>
                <w:szCs w:val="16"/>
              </w:rPr>
            </w:pPr>
            <w:r w:rsidRPr="00A76B19">
              <w:rPr>
                <w:color w:val="1F1F1F"/>
                <w:sz w:val="16"/>
                <w:szCs w:val="16"/>
                <w:bdr w:val="none" w:sz="0" w:space="0" w:color="auto" w:frame="1"/>
              </w:rPr>
              <w:t>Cross-predicted from distributed lag non-linear meta-regression centered at zero exposure</w:t>
            </w:r>
            <w:r w:rsidR="00B34F32" w:rsidRPr="00A76B19">
              <w:rPr>
                <w:color w:val="1F1F1F"/>
                <w:sz w:val="16"/>
                <w:szCs w:val="16"/>
                <w:bdr w:val="none" w:sz="0" w:space="0" w:color="auto" w:frame="1"/>
              </w:rPr>
              <w:t>.</w:t>
            </w:r>
          </w:p>
        </w:tc>
        <w:tc>
          <w:tcPr>
            <w:tcW w:w="2340" w:type="dxa"/>
            <w:hideMark/>
          </w:tcPr>
          <w:p w14:paraId="4E9381E6" w14:textId="154BE96A" w:rsidR="00B95F8E" w:rsidRPr="00A76B19" w:rsidRDefault="00A76B19">
            <w:pPr>
              <w:rPr>
                <w:color w:val="1F1F1F"/>
                <w:sz w:val="16"/>
                <w:szCs w:val="16"/>
              </w:rPr>
            </w:pPr>
            <w:r>
              <w:rPr>
                <w:color w:val="1F1F1F"/>
                <w:sz w:val="16"/>
                <w:szCs w:val="16"/>
                <w:bdr w:val="none" w:sz="0" w:space="0" w:color="auto" w:frame="1"/>
              </w:rPr>
              <w:t xml:space="preserve">Standard two stage DLNM </w:t>
            </w:r>
            <w:r w:rsidR="00C95738">
              <w:rPr>
                <w:color w:val="1F1F1F"/>
                <w:sz w:val="16"/>
                <w:szCs w:val="16"/>
                <w:bdr w:val="none" w:sz="0" w:space="0" w:color="auto" w:frame="1"/>
              </w:rPr>
              <w:t>meta-analytical</w:t>
            </w:r>
            <w:r>
              <w:rPr>
                <w:color w:val="1F1F1F"/>
                <w:sz w:val="16"/>
                <w:szCs w:val="16"/>
                <w:bdr w:val="none" w:sz="0" w:space="0" w:color="auto" w:frame="1"/>
              </w:rPr>
              <w:t xml:space="preserve"> framework</w:t>
            </w:r>
            <w:sdt>
              <w:sdtPr>
                <w:rPr>
                  <w:color w:val="1F1F1F"/>
                  <w:sz w:val="16"/>
                  <w:szCs w:val="16"/>
                  <w:bdr w:val="none" w:sz="0" w:space="0" w:color="auto" w:frame="1"/>
                  <w:vertAlign w:val="superscript"/>
                </w:rPr>
                <w:tag w:val="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"/>
                <w:id w:val="-645429621"/>
                <w:placeholder>
                  <w:docPart w:val="DefaultPlaceholder_-1854013440"/>
                </w:placeholder>
              </w:sdtPr>
              <w:sdtContent>
                <w:r w:rsidR="00744149" w:rsidRPr="00744149">
                  <w:rPr>
                    <w:color w:val="1F1F1F"/>
                    <w:sz w:val="16"/>
                    <w:szCs w:val="16"/>
                    <w:bdr w:val="none" w:sz="0" w:space="0" w:color="auto" w:frame="1"/>
                    <w:vertAlign w:val="superscript"/>
                  </w:rPr>
                  <w:t>3–5</w:t>
                </w:r>
              </w:sdtContent>
            </w:sdt>
            <w:r>
              <w:rPr>
                <w:color w:val="1F1F1F"/>
                <w:sz w:val="16"/>
                <w:szCs w:val="16"/>
                <w:bdr w:val="none" w:sz="0" w:space="0" w:color="auto" w:frame="1"/>
              </w:rPr>
              <w:t xml:space="preserve">. </w:t>
            </w:r>
          </w:p>
        </w:tc>
      </w:tr>
      <w:tr w:rsidR="00B95F8E" w:rsidRPr="00A76B19" w14:paraId="7C0F60C5" w14:textId="77777777" w:rsidTr="00B95F8E">
        <w:tc>
          <w:tcPr>
            <w:tcW w:w="1255" w:type="dxa"/>
            <w:hideMark/>
          </w:tcPr>
          <w:p w14:paraId="5779B4B5" w14:textId="77777777" w:rsidR="00B95F8E" w:rsidRPr="00A76B19" w:rsidRDefault="00B95F8E">
            <w:pPr>
              <w:rPr>
                <w:color w:val="1F1F1F"/>
                <w:sz w:val="16"/>
                <w:szCs w:val="16"/>
              </w:rPr>
            </w:pPr>
          </w:p>
        </w:tc>
        <w:tc>
          <w:tcPr>
            <w:tcW w:w="1800" w:type="dxa"/>
            <w:hideMark/>
          </w:tcPr>
          <w:p w14:paraId="731673EB" w14:textId="77777777" w:rsidR="00B95F8E" w:rsidRPr="00A76B19" w:rsidRDefault="00B95F8E">
            <w:pPr>
              <w:rPr>
                <w:color w:val="1F1F1F"/>
                <w:sz w:val="16"/>
                <w:szCs w:val="16"/>
              </w:rPr>
            </w:pPr>
            <w:r w:rsidRPr="00A76B19">
              <w:rPr>
                <w:color w:val="1F1F1F"/>
                <w:sz w:val="16"/>
                <w:szCs w:val="16"/>
                <w:bdr w:val="none" w:sz="0" w:space="0" w:color="auto" w:frame="1"/>
              </w:rPr>
              <w:t>Plastic container share of positive breeding habitats</w:t>
            </w:r>
          </w:p>
        </w:tc>
        <w:tc>
          <w:tcPr>
            <w:tcW w:w="1620" w:type="dxa"/>
            <w:hideMark/>
          </w:tcPr>
          <w:p w14:paraId="3F69FB5A" w14:textId="77777777" w:rsidR="00B95F8E" w:rsidRPr="00A76B19" w:rsidRDefault="00B95F8E">
            <w:pPr>
              <w:rPr>
                <w:color w:val="1F1F1F"/>
                <w:sz w:val="16"/>
                <w:szCs w:val="16"/>
              </w:rPr>
            </w:pPr>
            <w:r w:rsidRPr="00A76B19">
              <w:rPr>
                <w:color w:val="1F1F1F"/>
                <w:sz w:val="16"/>
                <w:szCs w:val="16"/>
                <w:bdr w:val="none" w:sz="0" w:space="0" w:color="auto" w:frame="1"/>
              </w:rPr>
              <w:t>Beta</w:t>
            </w:r>
          </w:p>
        </w:tc>
        <w:tc>
          <w:tcPr>
            <w:tcW w:w="3330" w:type="dxa"/>
            <w:hideMark/>
          </w:tcPr>
          <w:p w14:paraId="29D92BFF" w14:textId="13576564" w:rsidR="00B95F8E" w:rsidRPr="00A76B19" w:rsidRDefault="00B95F8E" w:rsidP="00A76B19">
            <w:pPr>
              <w:pStyle w:val="NormalWeb"/>
              <w:spacing w:before="0" w:beforeAutospacing="0" w:after="0" w:afterAutospacing="0"/>
              <w:rPr>
                <w:color w:val="1F1F1F"/>
                <w:sz w:val="16"/>
                <w:szCs w:val="16"/>
              </w:rPr>
            </w:pPr>
            <w:r w:rsidRPr="00A76B19">
              <w:rPr>
                <w:color w:val="1F1F1F"/>
                <w:sz w:val="16"/>
                <w:szCs w:val="16"/>
              </w:rPr>
              <w:t>Parameterized via field-derived larval surveys:</w:t>
            </w:r>
          </w:p>
          <w:p w14:paraId="52261CD8" w14:textId="021EE17D" w:rsidR="00B95F8E" w:rsidRPr="00A76B19" w:rsidRDefault="00A76B19">
            <w:pPr>
              <w:rPr>
                <w:color w:val="1F1F1F"/>
                <w:sz w:val="16"/>
                <w:szCs w:val="16"/>
              </w:rPr>
            </w:pPr>
            <m:oMathPara>
              <m:oMath>
                <m:r>
                  <w:rPr>
                    <w:rFonts w:ascii="Cambria Math" w:hAnsi="Cambria Math"/>
                    <w:color w:val="1F1F1F"/>
                    <w:sz w:val="16"/>
                    <w:szCs w:val="16"/>
                  </w:rPr>
                  <m:t>α=</m:t>
                </m:r>
                <m:r>
                  <m:rPr>
                    <m:nor/>
                  </m:rPr>
                  <w:rPr>
                    <w:color w:val="1F1F1F"/>
                    <w:sz w:val="16"/>
                    <w:szCs w:val="16"/>
                  </w:rPr>
                  <m:t>Plastic containers</m:t>
                </m:r>
                <m:r>
                  <w:rPr>
                    <w:rFonts w:ascii="Cambria Math" w:hAnsi="Cambria Math"/>
                    <w:color w:val="1F1F1F"/>
                    <w:sz w:val="16"/>
                    <w:szCs w:val="16"/>
                  </w:rPr>
                  <m:t>+1</m:t>
                </m:r>
              </m:oMath>
            </m:oMathPara>
          </w:p>
          <w:p w14:paraId="1B2D5A1F" w14:textId="6FC929D9" w:rsidR="00B95F8E" w:rsidRPr="00A76B19" w:rsidRDefault="00A76B19">
            <w:pPr>
              <w:rPr>
                <w:color w:val="1F1F1F"/>
                <w:sz w:val="16"/>
                <w:szCs w:val="16"/>
              </w:rPr>
            </w:pPr>
            <m:oMathPara>
              <m:oMath>
                <m:r>
                  <w:rPr>
                    <w:rFonts w:ascii="Cambria Math" w:hAnsi="Cambria Math"/>
                    <w:color w:val="1F1F1F"/>
                    <w:sz w:val="16"/>
                    <w:szCs w:val="16"/>
                  </w:rPr>
                  <m:t>β=</m:t>
                </m:r>
                <m:r>
                  <m:rPr>
                    <m:nor/>
                  </m:rPr>
                  <w:rPr>
                    <w:color w:val="1F1F1F"/>
                    <w:sz w:val="16"/>
                    <w:szCs w:val="16"/>
                  </w:rPr>
                  <m:t>Non-plastic containers</m:t>
                </m:r>
                <m:r>
                  <w:rPr>
                    <w:rFonts w:ascii="Cambria Math" w:hAnsi="Cambria Math"/>
                    <w:color w:val="1F1F1F"/>
                    <w:sz w:val="16"/>
                    <w:szCs w:val="16"/>
                  </w:rPr>
                  <m:t>+1</m:t>
                </m:r>
              </m:oMath>
            </m:oMathPara>
          </w:p>
        </w:tc>
        <w:tc>
          <w:tcPr>
            <w:tcW w:w="2340" w:type="dxa"/>
            <w:hideMark/>
          </w:tcPr>
          <w:p w14:paraId="35E70DF6" w14:textId="57486D58" w:rsidR="00B95F8E" w:rsidRPr="00A76B19" w:rsidRDefault="00B95F8E">
            <w:pPr>
              <w:rPr>
                <w:color w:val="1F1F1F"/>
                <w:sz w:val="16"/>
                <w:szCs w:val="16"/>
              </w:rPr>
            </w:pPr>
            <w:r w:rsidRPr="00A76B19">
              <w:rPr>
                <w:color w:val="1F1F1F"/>
                <w:sz w:val="16"/>
                <w:szCs w:val="16"/>
                <w:bdr w:val="none" w:sz="0" w:space="0" w:color="auto" w:frame="1"/>
              </w:rPr>
              <w:t xml:space="preserve">8-district sentinel surveillance </w:t>
            </w:r>
            <w:r w:rsidR="00C95738">
              <w:rPr>
                <w:color w:val="1F1F1F"/>
                <w:sz w:val="16"/>
                <w:szCs w:val="16"/>
                <w:bdr w:val="none" w:sz="0" w:space="0" w:color="auto" w:frame="1"/>
              </w:rPr>
              <w:t xml:space="preserve">data on plastic-specific larval infestations. </w:t>
            </w:r>
            <w:r w:rsidR="00C95738" w:rsidRPr="00C95738">
              <w:rPr>
                <w:color w:val="1F1F1F"/>
                <w:sz w:val="16"/>
                <w:szCs w:val="16"/>
                <w:bdr w:val="none" w:sz="0" w:space="0" w:color="auto" w:frame="1"/>
              </w:rPr>
              <w:t>Laplace-Bayes uniform prior</w:t>
            </w:r>
            <w:sdt>
              <w:sdtPr>
                <w:rPr>
                  <w:color w:val="1F1F1F"/>
                  <w:sz w:val="16"/>
                  <w:szCs w:val="16"/>
                  <w:bdr w:val="none" w:sz="0" w:space="0" w:color="auto" w:frame="1"/>
                  <w:vertAlign w:val="superscript"/>
                </w:rPr>
                <w:tag w:val="MENDELEY_CITATION_v3_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"/>
                <w:id w:val="-78604450"/>
                <w:placeholder>
                  <w:docPart w:val="DefaultPlaceholder_-1854013440"/>
                </w:placeholder>
              </w:sdtPr>
              <w:sdtContent>
                <w:r w:rsidR="00744149" w:rsidRPr="00744149">
                  <w:rPr>
                    <w:color w:val="1F1F1F"/>
                    <w:sz w:val="16"/>
                    <w:szCs w:val="16"/>
                    <w:bdr w:val="none" w:sz="0" w:space="0" w:color="auto" w:frame="1"/>
                    <w:vertAlign w:val="superscript"/>
                  </w:rPr>
                  <w:t>6</w:t>
                </w:r>
              </w:sdtContent>
            </w:sdt>
            <w:r w:rsidR="00C95738" w:rsidRPr="00C95738">
              <w:rPr>
                <w:color w:val="1F1F1F"/>
                <w:sz w:val="16"/>
                <w:szCs w:val="16"/>
                <w:bdr w:val="none" w:sz="0" w:space="0" w:color="auto" w:frame="1"/>
              </w:rPr>
              <w:t>.</w:t>
            </w:r>
          </w:p>
        </w:tc>
      </w:tr>
      <w:tr w:rsidR="00B95F8E" w:rsidRPr="00A76B19" w14:paraId="157F6650" w14:textId="77777777" w:rsidTr="00B95F8E">
        <w:tc>
          <w:tcPr>
            <w:tcW w:w="1255" w:type="dxa"/>
            <w:hideMark/>
          </w:tcPr>
          <w:p w14:paraId="75004D90" w14:textId="77777777" w:rsidR="00B95F8E" w:rsidRPr="00A76B19" w:rsidRDefault="00B95F8E">
            <w:pPr>
              <w:rPr>
                <w:color w:val="1F1F1F"/>
                <w:sz w:val="16"/>
                <w:szCs w:val="16"/>
              </w:rPr>
            </w:pPr>
          </w:p>
        </w:tc>
        <w:tc>
          <w:tcPr>
            <w:tcW w:w="1800" w:type="dxa"/>
            <w:hideMark/>
          </w:tcPr>
          <w:p w14:paraId="27AC9203" w14:textId="2B366027" w:rsidR="00B95F8E" w:rsidRPr="00A76B19" w:rsidRDefault="00B95F8E">
            <w:pPr>
              <w:rPr>
                <w:color w:val="1F1F1F"/>
                <w:sz w:val="16"/>
                <w:szCs w:val="16"/>
              </w:rPr>
            </w:pPr>
            <w:r w:rsidRPr="00A76B19">
              <w:rPr>
                <w:color w:val="1F1F1F"/>
                <w:sz w:val="16"/>
                <w:szCs w:val="16"/>
                <w:bdr w:val="none" w:sz="0" w:space="0" w:color="auto" w:frame="1"/>
              </w:rPr>
              <w:t xml:space="preserve">Plastic-attributable fraction </w:t>
            </w:r>
            <m:oMath>
              <m:d>
                <m:dPr>
                  <m:ctrlPr>
                    <w:rPr>
                      <w:rFonts w:ascii="Cambria Math" w:hAnsi="Cambria Math"/>
                      <w:color w:val="1F1F1F"/>
                      <w:sz w:val="16"/>
                      <w:szCs w:val="16"/>
                    </w:rPr>
                  </m:ctrlPr>
                </m:dPr>
                <m:e>
                  <m:r>
                    <w:rPr>
                      <w:rFonts w:ascii="Cambria Math" w:hAnsi="Cambria Math"/>
                      <w:color w:val="1F1F1F"/>
                      <w:sz w:val="16"/>
                      <w:szCs w:val="16"/>
                    </w:rPr>
                    <m:t>A</m:t>
                  </m:r>
                  <m:sSub>
                    <m:sSubPr>
                      <m:ctrlPr>
                        <w:rPr>
                          <w:rFonts w:ascii="Cambria Math" w:hAnsi="Cambria Math"/>
                          <w:color w:val="1F1F1F"/>
                          <w:sz w:val="16"/>
                          <w:szCs w:val="16"/>
                        </w:rPr>
                      </m:ctrlPr>
                    </m:sSubPr>
                    <m:e>
                      <m:r>
                        <w:rPr>
                          <w:rFonts w:ascii="Cambria Math" w:hAnsi="Cambria Math"/>
                          <w:color w:val="1F1F1F"/>
                          <w:sz w:val="16"/>
                          <w:szCs w:val="16"/>
                        </w:rPr>
                        <m:t>F</m:t>
                      </m:r>
                    </m:e>
                    <m:sub>
                      <m:r>
                        <m:rPr>
                          <m:nor/>
                        </m:rPr>
                        <w:rPr>
                          <w:color w:val="1F1F1F"/>
                          <w:sz w:val="16"/>
                          <w:szCs w:val="16"/>
                        </w:rPr>
                        <m:t>plastic</m:t>
                      </m:r>
                      <m:r>
                        <w:rPr>
                          <w:rFonts w:ascii="Cambria Math" w:hAnsi="Cambria Math"/>
                          <w:color w:val="1F1F1F"/>
                          <w:sz w:val="16"/>
                          <w:szCs w:val="16"/>
                        </w:rPr>
                        <m:t>,i</m:t>
                      </m:r>
                    </m:sub>
                  </m:sSub>
                </m:e>
              </m:d>
            </m:oMath>
          </w:p>
        </w:tc>
        <w:tc>
          <w:tcPr>
            <w:tcW w:w="1620" w:type="dxa"/>
            <w:hideMark/>
          </w:tcPr>
          <w:p w14:paraId="226A4AF1" w14:textId="77777777" w:rsidR="00B95F8E" w:rsidRPr="00A76B19" w:rsidRDefault="00B95F8E">
            <w:pPr>
              <w:rPr>
                <w:color w:val="1F1F1F"/>
                <w:sz w:val="16"/>
                <w:szCs w:val="16"/>
              </w:rPr>
            </w:pPr>
            <w:r w:rsidRPr="00A76B19">
              <w:rPr>
                <w:color w:val="1F1F1F"/>
                <w:sz w:val="16"/>
                <w:szCs w:val="16"/>
                <w:bdr w:val="none" w:sz="0" w:space="0" w:color="auto" w:frame="1"/>
              </w:rPr>
              <w:t>Derived probabilistically</w:t>
            </w:r>
          </w:p>
        </w:tc>
        <w:tc>
          <w:tcPr>
            <w:tcW w:w="3330" w:type="dxa"/>
            <w:hideMark/>
          </w:tcPr>
          <w:p w14:paraId="21CA4B4D" w14:textId="77777777" w:rsidR="00CC616A" w:rsidRPr="00A76B19" w:rsidRDefault="00CC616A" w:rsidP="00CC616A">
            <w:pPr>
              <w:pStyle w:val="NormalWeb"/>
              <w:spacing w:before="0" w:beforeAutospacing="0" w:after="0" w:afterAutospacing="0"/>
              <w:rPr>
                <w:sz w:val="16"/>
                <w:szCs w:val="16"/>
              </w:rPr>
            </w:pPr>
            <w:r w:rsidRPr="00A76B19">
              <w:rPr>
                <w:sz w:val="16"/>
                <w:szCs w:val="16"/>
              </w:rPr>
              <w:t>Computed explicitly at the localized grid-iteration level:</w:t>
            </w:r>
          </w:p>
          <w:p w14:paraId="68B79506" w14:textId="77777777" w:rsidR="00CC616A" w:rsidRPr="00A76B19" w:rsidRDefault="00CC616A" w:rsidP="00CC616A">
            <w:pPr>
              <w:rPr>
                <w:sz w:val="16"/>
                <w:szCs w:val="16"/>
              </w:rPr>
            </w:pPr>
          </w:p>
          <w:p w14:paraId="65DCEF07" w14:textId="77777777" w:rsidR="00CC616A" w:rsidRPr="00A76B19" w:rsidRDefault="00CC616A" w:rsidP="00CC616A">
            <w:pPr>
              <w:rPr>
                <w:sz w:val="16"/>
                <w:szCs w:val="16"/>
              </w:rPr>
            </w:pPr>
            <m:oMathPara>
              <m:oMath>
                <m:r>
                  <w:rPr>
                    <w:rFonts w:ascii="Cambria Math" w:hAnsi="Cambria Math"/>
                    <w:sz w:val="16"/>
                    <w:szCs w:val="16"/>
                  </w:rPr>
                  <m:t>A</m:t>
                </m:r>
                <m:sSub>
                  <m:sSubPr>
                    <m:ctrlPr>
                      <w:rPr>
                        <w:rFonts w:ascii="Cambria Math" w:hAnsi="Cambria Math"/>
                        <w:sz w:val="16"/>
                        <w:szCs w:val="16"/>
                      </w:rPr>
                    </m:ctrlPr>
                  </m:sSubPr>
                  <m:e>
                    <m:r>
                      <w:rPr>
                        <w:rFonts w:ascii="Cambria Math" w:hAnsi="Cambria Math"/>
                        <w:sz w:val="16"/>
                        <w:szCs w:val="16"/>
                      </w:rPr>
                      <m:t>F</m:t>
                    </m:r>
                  </m:e>
                  <m:sub>
                    <m:r>
                      <m:rPr>
                        <m:nor/>
                      </m:rPr>
                      <w:rPr>
                        <w:sz w:val="16"/>
                        <w:szCs w:val="16"/>
                      </w:rPr>
                      <m:t>plastic</m:t>
                    </m:r>
                    <m:r>
                      <w:rPr>
                        <w:rFonts w:ascii="Cambria Math" w:hAnsi="Cambria Math"/>
                        <w:sz w:val="16"/>
                        <w:szCs w:val="16"/>
                      </w:rPr>
                      <m:t>,i</m:t>
                    </m:r>
                  </m:sub>
                </m:sSub>
                <m:r>
                  <w:rPr>
                    <w:rFonts w:ascii="Cambria Math" w:hAnsi="Cambria Math"/>
                    <w:sz w:val="16"/>
                    <w:szCs w:val="16"/>
                  </w:rPr>
                  <m:t>=A</m:t>
                </m:r>
                <m:sSub>
                  <m:sSubPr>
                    <m:ctrlPr>
                      <w:rPr>
                        <w:rFonts w:ascii="Cambria Math" w:hAnsi="Cambria Math"/>
                        <w:sz w:val="16"/>
                        <w:szCs w:val="16"/>
                      </w:rPr>
                    </m:ctrlPr>
                  </m:sSubPr>
                  <m:e>
                    <m:r>
                      <w:rPr>
                        <w:rFonts w:ascii="Cambria Math" w:hAnsi="Cambria Math"/>
                        <w:sz w:val="16"/>
                        <w:szCs w:val="16"/>
                      </w:rPr>
                      <m:t>F</m:t>
                    </m:r>
                  </m:e>
                  <m:sub>
                    <m:r>
                      <m:rPr>
                        <m:nor/>
                      </m:rPr>
                      <w:rPr>
                        <w:sz w:val="16"/>
                        <w:szCs w:val="16"/>
                      </w:rPr>
                      <m:t>waste</m:t>
                    </m:r>
                    <m:r>
                      <w:rPr>
                        <w:rFonts w:ascii="Cambria Math" w:hAnsi="Cambria Math"/>
                        <w:sz w:val="16"/>
                        <w:szCs w:val="16"/>
                      </w:rPr>
                      <m:t>,i</m:t>
                    </m:r>
                  </m:sub>
                </m:sSub>
                <m:r>
                  <w:rPr>
                    <w:rFonts w:ascii="Cambria Math" w:hAnsi="Cambria Math"/>
                    <w:sz w:val="16"/>
                    <w:szCs w:val="16"/>
                  </w:rPr>
                  <m:t>×</m:t>
                </m:r>
                <m:sSub>
                  <m:sSubPr>
                    <m:ctrlPr>
                      <w:rPr>
                        <w:rFonts w:ascii="Cambria Math" w:hAnsi="Cambria Math"/>
                        <w:sz w:val="16"/>
                        <w:szCs w:val="16"/>
                      </w:rPr>
                    </m:ctrlPr>
                  </m:sSubPr>
                  <m:e>
                    <m:r>
                      <w:rPr>
                        <w:rFonts w:ascii="Cambria Math" w:hAnsi="Cambria Math"/>
                        <w:sz w:val="16"/>
                        <w:szCs w:val="16"/>
                      </w:rPr>
                      <m:t>ω</m:t>
                    </m:r>
                  </m:e>
                  <m:sub>
                    <m:r>
                      <m:rPr>
                        <m:nor/>
                      </m:rPr>
                      <w:rPr>
                        <w:sz w:val="16"/>
                        <w:szCs w:val="16"/>
                      </w:rPr>
                      <m:t>plastic</m:t>
                    </m:r>
                    <m:r>
                      <w:rPr>
                        <w:rFonts w:ascii="Cambria Math" w:hAnsi="Cambria Math"/>
                        <w:sz w:val="16"/>
                        <w:szCs w:val="16"/>
                      </w:rPr>
                      <m:t>,i</m:t>
                    </m:r>
                  </m:sub>
                </m:sSub>
                <m:r>
                  <m:rPr>
                    <m:sty m:val="p"/>
                  </m:rPr>
                  <w:rPr>
                    <w:rFonts w:ascii="Cambria Math" w:hAnsi="Cambria Math"/>
                    <w:sz w:val="16"/>
                    <w:szCs w:val="16"/>
                  </w:rPr>
                  <w:br/>
                </m:r>
              </m:oMath>
            </m:oMathPara>
          </w:p>
          <w:p w14:paraId="67CAD64D" w14:textId="77777777" w:rsidR="00CC616A" w:rsidRPr="00A76B19" w:rsidRDefault="00CC616A" w:rsidP="00CC616A">
            <w:pPr>
              <w:pStyle w:val="NormalWeb"/>
              <w:spacing w:before="0" w:beforeAutospacing="0" w:after="0" w:afterAutospacing="0"/>
              <w:rPr>
                <w:sz w:val="16"/>
                <w:szCs w:val="16"/>
              </w:rPr>
            </w:pPr>
            <w:r w:rsidRPr="00A76B19">
              <w:rPr>
                <w:sz w:val="16"/>
                <w:szCs w:val="16"/>
              </w:rPr>
              <w:t>Where the conditional breeding weight is defined as:</w:t>
            </w:r>
          </w:p>
          <w:p w14:paraId="54A2BDCE" w14:textId="6B8C445A" w:rsidR="00B95F8E" w:rsidRPr="00A76B19" w:rsidRDefault="00000000" w:rsidP="00CC616A">
            <w:pPr>
              <w:rPr>
                <w:color w:val="1F1F1F"/>
                <w:sz w:val="16"/>
                <w:szCs w:val="16"/>
              </w:rPr>
            </w:pPr>
            <m:oMathPara>
              <m:oMath>
                <m:sSub>
                  <m:sSubPr>
                    <m:ctrlPr>
                      <w:rPr>
                        <w:rFonts w:ascii="Cambria Math" w:hAnsi="Cambria Math"/>
                        <w:sz w:val="16"/>
                        <w:szCs w:val="16"/>
                      </w:rPr>
                    </m:ctrlPr>
                  </m:sSubPr>
                  <m:e>
                    <m:r>
                      <w:rPr>
                        <w:rFonts w:ascii="Cambria Math" w:hAnsi="Cambria Math"/>
                        <w:sz w:val="16"/>
                        <w:szCs w:val="16"/>
                      </w:rPr>
                      <m:t>ω</m:t>
                    </m:r>
                  </m:e>
                  <m:sub>
                    <m:r>
                      <m:rPr>
                        <m:nor/>
                      </m:rPr>
                      <w:rPr>
                        <w:sz w:val="16"/>
                        <w:szCs w:val="16"/>
                      </w:rPr>
                      <m:t>plastic</m:t>
                    </m:r>
                    <m:r>
                      <w:rPr>
                        <w:rFonts w:ascii="Cambria Math" w:hAnsi="Cambria Math"/>
                        <w:sz w:val="16"/>
                        <w:szCs w:val="16"/>
                      </w:rPr>
                      <m:t>,i</m:t>
                    </m:r>
                  </m:sub>
                </m:sSub>
                <m:r>
                  <w:rPr>
                    <w:rFonts w:ascii="Cambria Math" w:hAnsi="Cambria Math"/>
                    <w:sz w:val="16"/>
                    <w:szCs w:val="16"/>
                  </w:rPr>
                  <m:t>=</m:t>
                </m:r>
                <m:f>
                  <m:fPr>
                    <m:ctrlPr>
                      <w:rPr>
                        <w:rFonts w:ascii="Cambria Math" w:hAnsi="Cambria Math"/>
                        <w:sz w:val="16"/>
                        <w:szCs w:val="16"/>
                      </w:rPr>
                    </m:ctrlPr>
                  </m:fPr>
                  <m:num>
                    <m:sSub>
                      <m:sSubPr>
                        <m:ctrlPr>
                          <w:rPr>
                            <w:rFonts w:ascii="Cambria Math" w:hAnsi="Cambria Math"/>
                            <w:sz w:val="16"/>
                            <w:szCs w:val="16"/>
                          </w:rPr>
                        </m:ctrlPr>
                      </m:sSubPr>
                      <m:e>
                        <m:r>
                          <m:rPr>
                            <m:nor/>
                          </m:rPr>
                          <w:rPr>
                            <w:sz w:val="16"/>
                            <w:szCs w:val="16"/>
                          </w:rPr>
                          <m:t>Plastic Containers Containing Larvae</m:t>
                        </m:r>
                      </m:e>
                      <m:sub>
                        <m:r>
                          <w:rPr>
                            <w:rFonts w:ascii="Cambria Math" w:hAnsi="Cambria Math"/>
                            <w:sz w:val="16"/>
                            <w:szCs w:val="16"/>
                          </w:rPr>
                          <m:t>i</m:t>
                        </m:r>
                      </m:sub>
                    </m:sSub>
                  </m:num>
                  <m:den>
                    <m:sSub>
                      <m:sSubPr>
                        <m:ctrlPr>
                          <w:rPr>
                            <w:rFonts w:ascii="Cambria Math" w:hAnsi="Cambria Math"/>
                            <w:sz w:val="16"/>
                            <w:szCs w:val="16"/>
                          </w:rPr>
                        </m:ctrlPr>
                      </m:sSubPr>
                      <m:e>
                        <m:r>
                          <m:rPr>
                            <m:nor/>
                          </m:rPr>
                          <w:rPr>
                            <w:sz w:val="16"/>
                            <w:szCs w:val="16"/>
                          </w:rPr>
                          <m:t>Total Waste Containers Containing Larvae</m:t>
                        </m:r>
                      </m:e>
                      <m:sub>
                        <m:r>
                          <w:rPr>
                            <w:rFonts w:ascii="Cambria Math" w:hAnsi="Cambria Math"/>
                            <w:sz w:val="16"/>
                            <w:szCs w:val="16"/>
                          </w:rPr>
                          <m:t>i</m:t>
                        </m:r>
                      </m:sub>
                    </m:sSub>
                  </m:den>
                </m:f>
              </m:oMath>
            </m:oMathPara>
          </w:p>
        </w:tc>
        <w:tc>
          <w:tcPr>
            <w:tcW w:w="2340" w:type="dxa"/>
            <w:hideMark/>
          </w:tcPr>
          <w:p w14:paraId="65316D28" w14:textId="77777777" w:rsidR="007139EA" w:rsidRDefault="007139EA">
            <w:pPr>
              <w:rPr>
                <w:sz w:val="16"/>
                <w:szCs w:val="16"/>
              </w:rPr>
            </w:pPr>
            <w:r>
              <w:rPr>
                <w:sz w:val="16"/>
                <w:szCs w:val="16"/>
              </w:rPr>
              <w:t xml:space="preserve">Data source:  Dedicated </w:t>
            </w:r>
            <w:r w:rsidRPr="00A76B19">
              <w:rPr>
                <w:color w:val="1F1F1F"/>
                <w:sz w:val="16"/>
                <w:szCs w:val="16"/>
                <w:bdr w:val="none" w:sz="0" w:space="0" w:color="auto" w:frame="1"/>
              </w:rPr>
              <w:t xml:space="preserve">sentinel surveillance </w:t>
            </w:r>
            <w:r>
              <w:rPr>
                <w:sz w:val="16"/>
                <w:szCs w:val="16"/>
              </w:rPr>
              <w:t xml:space="preserve">in 8 pilot districts specifying </w:t>
            </w:r>
            <w:r w:rsidRPr="00A76B19">
              <w:rPr>
                <w:i/>
                <w:iCs/>
                <w:sz w:val="16"/>
                <w:szCs w:val="16"/>
              </w:rPr>
              <w:t>Aedes</w:t>
            </w:r>
            <w:r>
              <w:rPr>
                <w:sz w:val="16"/>
                <w:szCs w:val="16"/>
              </w:rPr>
              <w:t xml:space="preserve"> larval breeding in plastic containers. </w:t>
            </w:r>
            <w:r w:rsidRPr="00A76B19">
              <w:rPr>
                <w:sz w:val="16"/>
                <w:szCs w:val="16"/>
              </w:rPr>
              <w:t xml:space="preserve"> </w:t>
            </w:r>
          </w:p>
          <w:p w14:paraId="02586DF8" w14:textId="68297CAD" w:rsidR="00B95F8E" w:rsidRPr="00A76B19" w:rsidRDefault="00B95F8E">
            <w:pPr>
              <w:rPr>
                <w:color w:val="1F1F1F"/>
                <w:sz w:val="16"/>
                <w:szCs w:val="16"/>
              </w:rPr>
            </w:pPr>
          </w:p>
        </w:tc>
      </w:tr>
      <w:tr w:rsidR="00B95F8E" w:rsidRPr="00A76B19" w14:paraId="65C1A144" w14:textId="77777777" w:rsidTr="00B95F8E">
        <w:tc>
          <w:tcPr>
            <w:tcW w:w="1255" w:type="dxa"/>
            <w:hideMark/>
          </w:tcPr>
          <w:p w14:paraId="5384CCC7" w14:textId="77777777" w:rsidR="00B95F8E" w:rsidRPr="00A76B19" w:rsidRDefault="00B95F8E">
            <w:pPr>
              <w:rPr>
                <w:color w:val="1F1F1F"/>
                <w:sz w:val="16"/>
                <w:szCs w:val="16"/>
              </w:rPr>
            </w:pPr>
            <w:r w:rsidRPr="00A76B19">
              <w:rPr>
                <w:b/>
                <w:bCs/>
                <w:color w:val="1F1F1F"/>
                <w:sz w:val="16"/>
                <w:szCs w:val="16"/>
                <w:bdr w:val="none" w:sz="0" w:space="0" w:color="auto" w:frame="1"/>
              </w:rPr>
              <w:lastRenderedPageBreak/>
              <w:t>Epidemiological &amp; Mortality Parameters</w:t>
            </w:r>
          </w:p>
        </w:tc>
        <w:tc>
          <w:tcPr>
            <w:tcW w:w="1800" w:type="dxa"/>
            <w:hideMark/>
          </w:tcPr>
          <w:p w14:paraId="28B0C43D" w14:textId="77777777" w:rsidR="00B95F8E" w:rsidRPr="00A76B19" w:rsidRDefault="00B95F8E">
            <w:pPr>
              <w:rPr>
                <w:color w:val="1F1F1F"/>
                <w:sz w:val="16"/>
                <w:szCs w:val="16"/>
              </w:rPr>
            </w:pPr>
            <w:r w:rsidRPr="00A76B19">
              <w:rPr>
                <w:color w:val="1F1F1F"/>
                <w:sz w:val="16"/>
                <w:szCs w:val="16"/>
                <w:bdr w:val="none" w:sz="0" w:space="0" w:color="auto" w:frame="1"/>
              </w:rPr>
              <w:t>Hospitalization rate among notified cases</w:t>
            </w:r>
          </w:p>
        </w:tc>
        <w:tc>
          <w:tcPr>
            <w:tcW w:w="1620" w:type="dxa"/>
            <w:hideMark/>
          </w:tcPr>
          <w:p w14:paraId="206518C0" w14:textId="77777777" w:rsidR="00B95F8E" w:rsidRPr="00A76B19" w:rsidRDefault="00B95F8E">
            <w:pPr>
              <w:rPr>
                <w:color w:val="1F1F1F"/>
                <w:sz w:val="16"/>
                <w:szCs w:val="16"/>
              </w:rPr>
            </w:pPr>
            <w:r w:rsidRPr="00A76B19">
              <w:rPr>
                <w:color w:val="1F1F1F"/>
                <w:sz w:val="16"/>
                <w:szCs w:val="16"/>
                <w:bdr w:val="none" w:sz="0" w:space="0" w:color="auto" w:frame="1"/>
              </w:rPr>
              <w:t>Deterministic fixed ratio</w:t>
            </w:r>
          </w:p>
        </w:tc>
        <w:tc>
          <w:tcPr>
            <w:tcW w:w="3330" w:type="dxa"/>
            <w:hideMark/>
          </w:tcPr>
          <w:p w14:paraId="61734741" w14:textId="075CA700" w:rsidR="00B95F8E" w:rsidRPr="00A76B19" w:rsidRDefault="00B95F8E">
            <w:pPr>
              <w:rPr>
                <w:color w:val="1F1F1F"/>
                <w:sz w:val="16"/>
                <w:szCs w:val="16"/>
              </w:rPr>
            </w:pPr>
            <w:r w:rsidRPr="00A76B19">
              <w:rPr>
                <w:rStyle w:val="math-inline"/>
                <w:color w:val="1F1F1F"/>
                <w:sz w:val="16"/>
                <w:szCs w:val="16"/>
                <w:bdr w:val="none" w:sz="0" w:space="0" w:color="auto" w:frame="1"/>
              </w:rPr>
              <w:t>0.25</w:t>
            </w:r>
            <w:r w:rsidRPr="00A76B19">
              <w:rPr>
                <w:color w:val="1F1F1F"/>
                <w:sz w:val="16"/>
                <w:szCs w:val="16"/>
                <w:bdr w:val="none" w:sz="0" w:space="0" w:color="auto" w:frame="1"/>
              </w:rPr>
              <w:t xml:space="preserve"> (</w:t>
            </w:r>
            <w:r w:rsidRPr="00A76B19">
              <w:rPr>
                <w:rStyle w:val="math-inline"/>
                <w:color w:val="1F1F1F"/>
                <w:sz w:val="16"/>
                <w:szCs w:val="16"/>
                <w:bdr w:val="none" w:sz="0" w:space="0" w:color="auto" w:frame="1"/>
              </w:rPr>
              <w:t>25%</w:t>
            </w:r>
            <w:r w:rsidRPr="00A76B19">
              <w:rPr>
                <w:color w:val="1F1F1F"/>
                <w:sz w:val="16"/>
                <w:szCs w:val="16"/>
                <w:bdr w:val="none" w:sz="0" w:space="0" w:color="auto" w:frame="1"/>
              </w:rPr>
              <w:t xml:space="preserve"> hospitalized inpatient cohort; </w:t>
            </w:r>
            <w:r w:rsidRPr="00A76B19">
              <w:rPr>
                <w:rStyle w:val="math-inline"/>
                <w:color w:val="1F1F1F"/>
                <w:sz w:val="16"/>
                <w:szCs w:val="16"/>
                <w:bdr w:val="none" w:sz="0" w:space="0" w:color="auto" w:frame="1"/>
              </w:rPr>
              <w:t>7</w:t>
            </w:r>
            <w:r w:rsidR="00FC7509">
              <w:rPr>
                <w:rStyle w:val="math-inline"/>
                <w:color w:val="1F1F1F"/>
                <w:sz w:val="16"/>
                <w:szCs w:val="16"/>
                <w:bdr w:val="none" w:sz="0" w:space="0" w:color="auto" w:frame="1"/>
              </w:rPr>
              <w:t>5</w:t>
            </w:r>
            <w:r w:rsidRPr="00A76B19">
              <w:rPr>
                <w:rStyle w:val="math-inline"/>
                <w:color w:val="1F1F1F"/>
                <w:sz w:val="16"/>
                <w:szCs w:val="16"/>
                <w:bdr w:val="none" w:sz="0" w:space="0" w:color="auto" w:frame="1"/>
              </w:rPr>
              <w:t>%</w:t>
            </w:r>
            <w:r w:rsidRPr="00A76B19">
              <w:rPr>
                <w:color w:val="1F1F1F"/>
                <w:sz w:val="16"/>
                <w:szCs w:val="16"/>
                <w:bdr w:val="none" w:sz="0" w:space="0" w:color="auto" w:frame="1"/>
              </w:rPr>
              <w:t xml:space="preserve"> ambulatory outpatient cohort).</w:t>
            </w:r>
          </w:p>
        </w:tc>
        <w:tc>
          <w:tcPr>
            <w:tcW w:w="2340" w:type="dxa"/>
            <w:hideMark/>
          </w:tcPr>
          <w:p w14:paraId="1E8169B9" w14:textId="087D1EA3" w:rsidR="00B95F8E" w:rsidRPr="00A76B19" w:rsidRDefault="007139EA">
            <w:pPr>
              <w:rPr>
                <w:color w:val="1F1F1F"/>
                <w:sz w:val="16"/>
                <w:szCs w:val="16"/>
              </w:rPr>
            </w:pPr>
            <w:r>
              <w:rPr>
                <w:sz w:val="16"/>
                <w:szCs w:val="16"/>
              </w:rPr>
              <w:t xml:space="preserve">Data source:  </w:t>
            </w:r>
            <w:proofErr w:type="spellStart"/>
            <w:r w:rsidR="004C1222" w:rsidRPr="004C1222">
              <w:rPr>
                <w:color w:val="1F1F1F"/>
                <w:sz w:val="16"/>
                <w:szCs w:val="16"/>
                <w:bdr w:val="none" w:sz="0" w:space="0" w:color="auto" w:frame="1"/>
              </w:rPr>
              <w:t>NADSyS</w:t>
            </w:r>
            <w:proofErr w:type="spellEnd"/>
            <w:r w:rsidR="004C1222" w:rsidRPr="004C1222">
              <w:rPr>
                <w:color w:val="1F1F1F"/>
                <w:sz w:val="16"/>
                <w:szCs w:val="16"/>
                <w:bdr w:val="none" w:sz="0" w:space="0" w:color="auto" w:frame="1"/>
              </w:rPr>
              <w:t>-National Dengue Surveillance system: National Dengue Control Unit, Ministry of Health Sri Lanka.</w:t>
            </w:r>
          </w:p>
        </w:tc>
      </w:tr>
      <w:tr w:rsidR="00B95F8E" w:rsidRPr="00A76B19" w14:paraId="387F3902" w14:textId="77777777" w:rsidTr="00B95F8E">
        <w:tc>
          <w:tcPr>
            <w:tcW w:w="1255" w:type="dxa"/>
            <w:hideMark/>
          </w:tcPr>
          <w:p w14:paraId="50549D58" w14:textId="77777777" w:rsidR="00B95F8E" w:rsidRPr="00A76B19" w:rsidRDefault="00B95F8E">
            <w:pPr>
              <w:rPr>
                <w:color w:val="1F1F1F"/>
                <w:sz w:val="16"/>
                <w:szCs w:val="16"/>
              </w:rPr>
            </w:pPr>
          </w:p>
        </w:tc>
        <w:tc>
          <w:tcPr>
            <w:tcW w:w="1800" w:type="dxa"/>
            <w:hideMark/>
          </w:tcPr>
          <w:p w14:paraId="59252B88" w14:textId="1523CB9C" w:rsidR="00B95F8E" w:rsidRPr="00A76B19" w:rsidRDefault="004E578B">
            <w:pPr>
              <w:rPr>
                <w:color w:val="1F1F1F"/>
                <w:sz w:val="16"/>
                <w:szCs w:val="16"/>
              </w:rPr>
            </w:pPr>
            <w:r>
              <w:rPr>
                <w:color w:val="1F1F1F"/>
                <w:sz w:val="16"/>
                <w:szCs w:val="16"/>
                <w:bdr w:val="none" w:sz="0" w:space="0" w:color="auto" w:frame="1"/>
              </w:rPr>
              <w:t>Observed a</w:t>
            </w:r>
            <w:r w:rsidR="00C775FF" w:rsidRPr="00C775FF">
              <w:rPr>
                <w:color w:val="1F1F1F"/>
                <w:sz w:val="16"/>
                <w:szCs w:val="16"/>
                <w:bdr w:val="none" w:sz="0" w:space="0" w:color="auto" w:frame="1"/>
              </w:rPr>
              <w:t xml:space="preserve">nnual nationwide baseline dengue deaths </w:t>
            </w:r>
            <w:r>
              <w:rPr>
                <w:color w:val="1F1F1F"/>
                <w:sz w:val="16"/>
                <w:szCs w:val="16"/>
                <w:bdr w:val="none" w:sz="0" w:space="0" w:color="auto" w:frame="1"/>
              </w:rPr>
              <w:t>for 28 districts</w:t>
            </w:r>
          </w:p>
        </w:tc>
        <w:tc>
          <w:tcPr>
            <w:tcW w:w="1620" w:type="dxa"/>
            <w:hideMark/>
          </w:tcPr>
          <w:p w14:paraId="0203F633" w14:textId="77777777" w:rsidR="00B95F8E" w:rsidRPr="00A76B19" w:rsidRDefault="00B95F8E">
            <w:pPr>
              <w:rPr>
                <w:color w:val="1F1F1F"/>
                <w:sz w:val="16"/>
                <w:szCs w:val="16"/>
              </w:rPr>
            </w:pPr>
            <w:r w:rsidRPr="00A76B19">
              <w:rPr>
                <w:color w:val="1F1F1F"/>
                <w:sz w:val="16"/>
                <w:szCs w:val="16"/>
                <w:bdr w:val="none" w:sz="0" w:space="0" w:color="auto" w:frame="1"/>
              </w:rPr>
              <w:t>Poisson</w:t>
            </w:r>
          </w:p>
        </w:tc>
        <w:tc>
          <w:tcPr>
            <w:tcW w:w="3330" w:type="dxa"/>
            <w:hideMark/>
          </w:tcPr>
          <w:p w14:paraId="2937A0E1" w14:textId="723F7A4B" w:rsidR="005928CC" w:rsidRPr="004E578B" w:rsidRDefault="005928CC" w:rsidP="005928CC">
            <w:pPr>
              <w:pStyle w:val="NormalWeb"/>
              <w:spacing w:before="0" w:beforeAutospacing="0"/>
              <w:rPr>
                <w:sz w:val="16"/>
                <w:szCs w:val="16"/>
              </w:rPr>
            </w:pPr>
            <w:r w:rsidRPr="004E578B">
              <w:rPr>
                <w:sz w:val="16"/>
                <w:szCs w:val="16"/>
              </w:rPr>
              <w:t>Drawn dynamically per year iteration for macro baseline modeling:</w:t>
            </w:r>
          </w:p>
          <w:p w14:paraId="63CD1C2E" w14:textId="1222F343" w:rsidR="005928CC" w:rsidRPr="004E578B" w:rsidRDefault="00000000" w:rsidP="005928CC">
            <w:pPr>
              <w:rPr>
                <w:sz w:val="16"/>
                <w:szCs w:val="16"/>
              </w:rPr>
            </w:pPr>
            <m:oMathPara>
              <m:oMath>
                <m:sSub>
                  <m:sSubPr>
                    <m:ctrlPr>
                      <w:rPr>
                        <w:rFonts w:ascii="Cambria Math" w:hAnsi="Cambria Math"/>
                        <w:sz w:val="16"/>
                        <w:szCs w:val="16"/>
                      </w:rPr>
                    </m:ctrlPr>
                  </m:sSubPr>
                  <m:e>
                    <m:r>
                      <m:rPr>
                        <m:nor/>
                      </m:rPr>
                      <w:rPr>
                        <w:sz w:val="16"/>
                        <w:szCs w:val="16"/>
                      </w:rPr>
                      <m:t>Deaths</m:t>
                    </m:r>
                  </m:e>
                  <m:sub>
                    <m:r>
                      <w:rPr>
                        <w:rFonts w:ascii="Cambria Math" w:hAnsi="Cambria Math"/>
                        <w:sz w:val="16"/>
                        <w:szCs w:val="16"/>
                      </w:rPr>
                      <m:t>y,</m:t>
                    </m:r>
                    <m:r>
                      <m:rPr>
                        <m:nor/>
                      </m:rPr>
                      <w:rPr>
                        <w:sz w:val="16"/>
                        <w:szCs w:val="16"/>
                      </w:rPr>
                      <m:t>National</m:t>
                    </m:r>
                  </m:sub>
                </m:sSub>
                <m:r>
                  <w:rPr>
                    <w:rFonts w:ascii="Cambria Math" w:hAnsi="Cambria Math"/>
                    <w:sz w:val="16"/>
                    <w:szCs w:val="16"/>
                  </w:rPr>
                  <m:t>∼</m:t>
                </m:r>
                <m:r>
                  <m:rPr>
                    <m:nor/>
                  </m:rPr>
                  <w:rPr>
                    <w:sz w:val="16"/>
                    <w:szCs w:val="16"/>
                  </w:rPr>
                  <m:t>Poisson</m:t>
                </m:r>
                <m:d>
                  <m:dPr>
                    <m:ctrlPr>
                      <w:rPr>
                        <w:rFonts w:ascii="Cambria Math" w:hAnsi="Cambria Math"/>
                        <w:sz w:val="16"/>
                        <w:szCs w:val="16"/>
                      </w:rPr>
                    </m:ctrlPr>
                  </m:dPr>
                  <m:e>
                    <m:r>
                      <w:rPr>
                        <w:rFonts w:ascii="Cambria Math" w:hAnsi="Cambria Math"/>
                        <w:sz w:val="16"/>
                        <w:szCs w:val="16"/>
                      </w:rPr>
                      <m:t>λ=</m:t>
                    </m:r>
                    <m:r>
                      <m:rPr>
                        <m:nor/>
                      </m:rPr>
                      <w:rPr>
                        <w:sz w:val="16"/>
                        <w:szCs w:val="16"/>
                      </w:rPr>
                      <m:t>Empirical National Deaths</m:t>
                    </m:r>
                  </m:e>
                </m:d>
              </m:oMath>
            </m:oMathPara>
          </w:p>
          <w:p w14:paraId="1617B73A" w14:textId="77777777" w:rsidR="00C775FF" w:rsidRPr="004E578B" w:rsidRDefault="00C775FF" w:rsidP="005928CC">
            <w:pPr>
              <w:rPr>
                <w:sz w:val="16"/>
                <w:szCs w:val="16"/>
              </w:rPr>
            </w:pPr>
          </w:p>
          <w:p w14:paraId="323233D9" w14:textId="044ABC81" w:rsidR="00B95F8E" w:rsidRPr="004E578B" w:rsidRDefault="005928CC" w:rsidP="005928CC">
            <w:pPr>
              <w:pStyle w:val="NormalWeb"/>
              <w:spacing w:before="0" w:beforeAutospacing="0"/>
              <w:rPr>
                <w:sz w:val="16"/>
                <w:szCs w:val="16"/>
              </w:rPr>
            </w:pPr>
            <w:r w:rsidRPr="004E578B">
              <w:rPr>
                <w:i/>
                <w:iCs/>
                <w:sz w:val="16"/>
                <w:szCs w:val="16"/>
              </w:rPr>
              <w:t xml:space="preserve">(2024 baseline </w:t>
            </w:r>
            <m:oMath>
              <m:r>
                <w:rPr>
                  <w:rFonts w:ascii="Cambria Math" w:hAnsi="Cambria Math"/>
                  <w:sz w:val="16"/>
                  <w:szCs w:val="16"/>
                </w:rPr>
                <m:t>λ</m:t>
              </m:r>
            </m:oMath>
            <w:r w:rsidRPr="004E578B">
              <w:rPr>
                <w:rStyle w:val="math-inline"/>
                <w:i/>
                <w:iCs/>
                <w:sz w:val="16"/>
                <w:szCs w:val="16"/>
              </w:rPr>
              <w:t>= 24</w:t>
            </w:r>
            <w:r w:rsidRPr="004E578B">
              <w:rPr>
                <w:i/>
                <w:iCs/>
                <w:sz w:val="16"/>
                <w:szCs w:val="16"/>
              </w:rPr>
              <w:t xml:space="preserve">; 2025 baseline </w:t>
            </w:r>
            <m:oMath>
              <m:r>
                <w:rPr>
                  <w:rFonts w:ascii="Cambria Math" w:hAnsi="Cambria Math"/>
                  <w:sz w:val="16"/>
                  <w:szCs w:val="16"/>
                </w:rPr>
                <m:t>λ</m:t>
              </m:r>
            </m:oMath>
            <w:r w:rsidRPr="004E578B">
              <w:rPr>
                <w:rStyle w:val="math-inline"/>
                <w:i/>
                <w:iCs/>
                <w:sz w:val="16"/>
                <w:szCs w:val="16"/>
              </w:rPr>
              <w:t>= 29</w:t>
            </w:r>
            <w:r w:rsidRPr="004E578B">
              <w:rPr>
                <w:i/>
                <w:iCs/>
                <w:sz w:val="16"/>
                <w:szCs w:val="16"/>
              </w:rPr>
              <w:t>)</w:t>
            </w:r>
          </w:p>
        </w:tc>
        <w:tc>
          <w:tcPr>
            <w:tcW w:w="2340" w:type="dxa"/>
            <w:hideMark/>
          </w:tcPr>
          <w:p w14:paraId="4AFBC9F2" w14:textId="430D0305" w:rsidR="00B95F8E" w:rsidRPr="00A76B19" w:rsidRDefault="007139EA">
            <w:pPr>
              <w:rPr>
                <w:color w:val="1F1F1F"/>
                <w:sz w:val="16"/>
                <w:szCs w:val="16"/>
              </w:rPr>
            </w:pPr>
            <w:r>
              <w:rPr>
                <w:sz w:val="16"/>
                <w:szCs w:val="16"/>
              </w:rPr>
              <w:t xml:space="preserve">Data source:  </w:t>
            </w:r>
            <w:proofErr w:type="spellStart"/>
            <w:r w:rsidR="004C1222">
              <w:rPr>
                <w:color w:val="1F1F1F"/>
                <w:sz w:val="16"/>
                <w:szCs w:val="16"/>
                <w:bdr w:val="none" w:sz="0" w:space="0" w:color="auto" w:frame="1"/>
              </w:rPr>
              <w:t>NADSyS</w:t>
            </w:r>
            <w:proofErr w:type="spellEnd"/>
            <w:r w:rsidR="004C1222">
              <w:rPr>
                <w:color w:val="1F1F1F"/>
                <w:sz w:val="16"/>
                <w:szCs w:val="16"/>
                <w:bdr w:val="none" w:sz="0" w:space="0" w:color="auto" w:frame="1"/>
              </w:rPr>
              <w:t>-National Dengue Surveillance system: National Dengue Control Unit, Ministry of Health Sri Lanka.</w:t>
            </w:r>
          </w:p>
        </w:tc>
      </w:tr>
      <w:tr w:rsidR="00B95F8E" w:rsidRPr="00A76B19" w14:paraId="733211C1" w14:textId="77777777" w:rsidTr="00B95F8E">
        <w:tc>
          <w:tcPr>
            <w:tcW w:w="1255" w:type="dxa"/>
            <w:hideMark/>
          </w:tcPr>
          <w:p w14:paraId="03BAD161" w14:textId="77777777" w:rsidR="00B95F8E" w:rsidRPr="00A76B19" w:rsidRDefault="00B95F8E">
            <w:pPr>
              <w:rPr>
                <w:color w:val="1F1F1F"/>
                <w:sz w:val="16"/>
                <w:szCs w:val="16"/>
              </w:rPr>
            </w:pPr>
          </w:p>
        </w:tc>
        <w:tc>
          <w:tcPr>
            <w:tcW w:w="1800" w:type="dxa"/>
            <w:hideMark/>
          </w:tcPr>
          <w:p w14:paraId="30FF2CF0" w14:textId="04BD58C7" w:rsidR="00B95F8E" w:rsidRPr="00A76B19" w:rsidRDefault="004E578B">
            <w:pPr>
              <w:rPr>
                <w:color w:val="1F1F1F"/>
                <w:sz w:val="16"/>
                <w:szCs w:val="16"/>
              </w:rPr>
            </w:pPr>
            <w:r>
              <w:rPr>
                <w:color w:val="1F1F1F"/>
                <w:sz w:val="16"/>
                <w:szCs w:val="16"/>
                <w:bdr w:val="none" w:sz="0" w:space="0" w:color="auto" w:frame="1"/>
              </w:rPr>
              <w:t>Observed annual bassline dengue deaths for pilot districts</w:t>
            </w:r>
          </w:p>
        </w:tc>
        <w:tc>
          <w:tcPr>
            <w:tcW w:w="1620" w:type="dxa"/>
            <w:hideMark/>
          </w:tcPr>
          <w:p w14:paraId="486BBD97" w14:textId="465E1C94" w:rsidR="00B95F8E" w:rsidRPr="00A76B19" w:rsidRDefault="004E578B">
            <w:pPr>
              <w:rPr>
                <w:color w:val="1F1F1F"/>
                <w:sz w:val="16"/>
                <w:szCs w:val="16"/>
              </w:rPr>
            </w:pPr>
            <w:r>
              <w:rPr>
                <w:color w:val="1F1F1F"/>
                <w:sz w:val="16"/>
                <w:szCs w:val="16"/>
                <w:bdr w:val="none" w:sz="0" w:space="0" w:color="auto" w:frame="1"/>
              </w:rPr>
              <w:t>Poisson</w:t>
            </w:r>
          </w:p>
        </w:tc>
        <w:tc>
          <w:tcPr>
            <w:tcW w:w="3330" w:type="dxa"/>
            <w:hideMark/>
          </w:tcPr>
          <w:p w14:paraId="4D3C7CE2" w14:textId="77777777" w:rsidR="004E578B" w:rsidRDefault="004E578B" w:rsidP="004E578B">
            <w:pPr>
              <w:pStyle w:val="NormalWeb"/>
              <w:spacing w:before="0" w:beforeAutospacing="0"/>
              <w:rPr>
                <w:sz w:val="16"/>
                <w:szCs w:val="16"/>
              </w:rPr>
            </w:pPr>
            <w:r w:rsidRPr="004E578B">
              <w:rPr>
                <w:sz w:val="16"/>
                <w:szCs w:val="16"/>
              </w:rPr>
              <w:t>Drawn dynamically per year iteration for regional pilot scaling:</w:t>
            </w:r>
          </w:p>
          <w:p w14:paraId="21D22AF8" w14:textId="3B8C3B05" w:rsidR="00B95F8E" w:rsidRPr="004E578B" w:rsidRDefault="00000000" w:rsidP="004E578B">
            <w:pPr>
              <w:pStyle w:val="NormalWeb"/>
              <w:spacing w:before="0" w:beforeAutospacing="0"/>
              <w:rPr>
                <w:sz w:val="16"/>
                <w:szCs w:val="16"/>
              </w:rPr>
            </w:pPr>
            <m:oMathPara>
              <m:oMath>
                <m:sSub>
                  <m:sSubPr>
                    <m:ctrlPr>
                      <w:rPr>
                        <w:rFonts w:ascii="Cambria Math" w:hAnsi="Cambria Math"/>
                        <w:sz w:val="16"/>
                        <w:szCs w:val="16"/>
                      </w:rPr>
                    </m:ctrlPr>
                  </m:sSubPr>
                  <m:e>
                    <m:r>
                      <m:rPr>
                        <m:nor/>
                      </m:rPr>
                      <w:rPr>
                        <w:sz w:val="16"/>
                        <w:szCs w:val="16"/>
                      </w:rPr>
                      <m:t>Deaths</m:t>
                    </m:r>
                  </m:e>
                  <m:sub>
                    <m:r>
                      <w:rPr>
                        <w:rFonts w:ascii="Cambria Math" w:hAnsi="Cambria Math"/>
                        <w:sz w:val="16"/>
                        <w:szCs w:val="16"/>
                      </w:rPr>
                      <m:t>y,</m:t>
                    </m:r>
                    <m:r>
                      <m:rPr>
                        <m:nor/>
                      </m:rPr>
                      <w:rPr>
                        <w:sz w:val="16"/>
                        <w:szCs w:val="16"/>
                      </w:rPr>
                      <m:t>Pilot</m:t>
                    </m:r>
                  </m:sub>
                </m:sSub>
                <m:r>
                  <w:rPr>
                    <w:rFonts w:ascii="Cambria Math" w:hAnsi="Cambria Math"/>
                    <w:sz w:val="16"/>
                    <w:szCs w:val="16"/>
                  </w:rPr>
                  <m:t>∼</m:t>
                </m:r>
                <m:r>
                  <m:rPr>
                    <m:nor/>
                  </m:rPr>
                  <w:rPr>
                    <w:sz w:val="16"/>
                    <w:szCs w:val="16"/>
                  </w:rPr>
                  <m:t>Poisson</m:t>
                </m:r>
                <m:d>
                  <m:dPr>
                    <m:ctrlPr>
                      <w:rPr>
                        <w:rFonts w:ascii="Cambria Math" w:hAnsi="Cambria Math"/>
                        <w:sz w:val="16"/>
                        <w:szCs w:val="16"/>
                      </w:rPr>
                    </m:ctrlPr>
                  </m:dPr>
                  <m:e>
                    <m:r>
                      <w:rPr>
                        <w:rFonts w:ascii="Cambria Math" w:hAnsi="Cambria Math"/>
                        <w:sz w:val="16"/>
                        <w:szCs w:val="16"/>
                      </w:rPr>
                      <m:t>λ=</m:t>
                    </m:r>
                    <m:r>
                      <m:rPr>
                        <m:nor/>
                      </m:rPr>
                      <w:rPr>
                        <w:sz w:val="16"/>
                        <w:szCs w:val="16"/>
                      </w:rPr>
                      <m:t>Empirical Pilot Deaths</m:t>
                    </m:r>
                  </m:e>
                </m:d>
                <m:r>
                  <m:rPr>
                    <m:sty m:val="p"/>
                  </m:rPr>
                  <w:rPr>
                    <w:sz w:val="16"/>
                    <w:szCs w:val="16"/>
                  </w:rPr>
                  <w:br/>
                </m:r>
              </m:oMath>
            </m:oMathPara>
            <w:r w:rsidR="004E578B" w:rsidRPr="004E578B">
              <w:rPr>
                <w:i/>
                <w:iCs/>
                <w:sz w:val="16"/>
                <w:szCs w:val="16"/>
              </w:rPr>
              <w:t xml:space="preserve">(2024 baseline </w:t>
            </w:r>
            <m:oMath>
              <m:r>
                <w:rPr>
                  <w:rFonts w:ascii="Cambria Math" w:hAnsi="Cambria Math"/>
                  <w:sz w:val="16"/>
                  <w:szCs w:val="16"/>
                </w:rPr>
                <m:t>λ</m:t>
              </m:r>
            </m:oMath>
            <w:r w:rsidR="004E578B" w:rsidRPr="004E578B">
              <w:rPr>
                <w:rStyle w:val="math-inline"/>
                <w:i/>
                <w:iCs/>
                <w:sz w:val="16"/>
                <w:szCs w:val="16"/>
              </w:rPr>
              <w:t>= 14</w:t>
            </w:r>
            <w:r w:rsidR="004E578B" w:rsidRPr="004E578B">
              <w:rPr>
                <w:i/>
                <w:iCs/>
                <w:sz w:val="16"/>
                <w:szCs w:val="16"/>
              </w:rPr>
              <w:t xml:space="preserve">; 2025 baseline </w:t>
            </w:r>
            <m:oMath>
              <m:r>
                <w:rPr>
                  <w:rFonts w:ascii="Cambria Math" w:hAnsi="Cambria Math"/>
                  <w:sz w:val="16"/>
                  <w:szCs w:val="16"/>
                </w:rPr>
                <m:t>λ</m:t>
              </m:r>
            </m:oMath>
            <w:r w:rsidR="004E578B" w:rsidRPr="004E578B">
              <w:rPr>
                <w:rStyle w:val="math-inline"/>
                <w:i/>
                <w:iCs/>
                <w:sz w:val="16"/>
                <w:szCs w:val="16"/>
              </w:rPr>
              <w:t>= 16</w:t>
            </w:r>
            <w:r w:rsidR="004E578B" w:rsidRPr="004E578B">
              <w:rPr>
                <w:i/>
                <w:iCs/>
                <w:sz w:val="16"/>
                <w:szCs w:val="16"/>
              </w:rPr>
              <w:t>)</w:t>
            </w:r>
          </w:p>
        </w:tc>
        <w:tc>
          <w:tcPr>
            <w:tcW w:w="2340" w:type="dxa"/>
            <w:hideMark/>
          </w:tcPr>
          <w:p w14:paraId="16C73467" w14:textId="6539AC4F" w:rsidR="00B95F8E" w:rsidRPr="00A76B19" w:rsidRDefault="007139EA">
            <w:pPr>
              <w:rPr>
                <w:color w:val="1F1F1F"/>
                <w:sz w:val="16"/>
                <w:szCs w:val="16"/>
              </w:rPr>
            </w:pPr>
            <w:r>
              <w:rPr>
                <w:sz w:val="16"/>
                <w:szCs w:val="16"/>
              </w:rPr>
              <w:t xml:space="preserve">Data source:  </w:t>
            </w:r>
            <w:proofErr w:type="spellStart"/>
            <w:r w:rsidR="004C1222">
              <w:rPr>
                <w:color w:val="1F1F1F"/>
                <w:sz w:val="16"/>
                <w:szCs w:val="16"/>
                <w:bdr w:val="none" w:sz="0" w:space="0" w:color="auto" w:frame="1"/>
              </w:rPr>
              <w:t>NADSyS</w:t>
            </w:r>
            <w:proofErr w:type="spellEnd"/>
            <w:r w:rsidR="004C1222">
              <w:rPr>
                <w:color w:val="1F1F1F"/>
                <w:sz w:val="16"/>
                <w:szCs w:val="16"/>
                <w:bdr w:val="none" w:sz="0" w:space="0" w:color="auto" w:frame="1"/>
              </w:rPr>
              <w:t>-National Dengue Surveillance system: National Dengue Control Unit, Ministry of Health Sri Lanka.</w:t>
            </w:r>
          </w:p>
        </w:tc>
      </w:tr>
      <w:tr w:rsidR="004E578B" w:rsidRPr="00A76B19" w14:paraId="73C8BDA3" w14:textId="77777777" w:rsidTr="00B95F8E">
        <w:tc>
          <w:tcPr>
            <w:tcW w:w="1255" w:type="dxa"/>
          </w:tcPr>
          <w:p w14:paraId="696E79CE" w14:textId="77777777" w:rsidR="004E578B" w:rsidRPr="00A76B19" w:rsidRDefault="004E578B">
            <w:pPr>
              <w:rPr>
                <w:color w:val="1F1F1F"/>
                <w:sz w:val="16"/>
                <w:szCs w:val="16"/>
              </w:rPr>
            </w:pPr>
          </w:p>
        </w:tc>
        <w:tc>
          <w:tcPr>
            <w:tcW w:w="1800" w:type="dxa"/>
          </w:tcPr>
          <w:p w14:paraId="4E43CBDF" w14:textId="2942970D" w:rsidR="004E578B" w:rsidRDefault="004E578B">
            <w:pPr>
              <w:rPr>
                <w:color w:val="1F1F1F"/>
                <w:sz w:val="16"/>
                <w:szCs w:val="16"/>
                <w:bdr w:val="none" w:sz="0" w:space="0" w:color="auto" w:frame="1"/>
              </w:rPr>
            </w:pPr>
            <w:r>
              <w:rPr>
                <w:color w:val="1F1F1F"/>
                <w:sz w:val="16"/>
                <w:szCs w:val="16"/>
                <w:bdr w:val="none" w:sz="0" w:space="0" w:color="auto" w:frame="1"/>
              </w:rPr>
              <w:t>Attributable deaths</w:t>
            </w:r>
          </w:p>
        </w:tc>
        <w:tc>
          <w:tcPr>
            <w:tcW w:w="1620" w:type="dxa"/>
          </w:tcPr>
          <w:p w14:paraId="19F10367" w14:textId="7DF0ED22" w:rsidR="004E578B" w:rsidRDefault="002D2BBB">
            <w:pPr>
              <w:rPr>
                <w:color w:val="1F1F1F"/>
                <w:sz w:val="16"/>
                <w:szCs w:val="16"/>
                <w:bdr w:val="none" w:sz="0" w:space="0" w:color="auto" w:frame="1"/>
              </w:rPr>
            </w:pPr>
            <w:r>
              <w:rPr>
                <w:color w:val="1F1F1F"/>
                <w:sz w:val="16"/>
                <w:szCs w:val="16"/>
                <w:bdr w:val="none" w:sz="0" w:space="0" w:color="auto" w:frame="1"/>
              </w:rPr>
              <w:t>Deterministic</w:t>
            </w:r>
          </w:p>
        </w:tc>
        <w:tc>
          <w:tcPr>
            <w:tcW w:w="3330" w:type="dxa"/>
          </w:tcPr>
          <w:p w14:paraId="3F403BF1" w14:textId="77777777" w:rsidR="004E578B" w:rsidRPr="00242100" w:rsidRDefault="004E578B" w:rsidP="004E578B">
            <w:pPr>
              <w:pStyle w:val="NormalWeb"/>
              <w:spacing w:before="0" w:beforeAutospacing="0" w:after="0" w:afterAutospacing="0"/>
              <w:rPr>
                <w:sz w:val="16"/>
                <w:szCs w:val="16"/>
              </w:rPr>
            </w:pPr>
            <w:r w:rsidRPr="00242100">
              <w:rPr>
                <w:sz w:val="16"/>
                <w:szCs w:val="16"/>
              </w:rPr>
              <w:t>Computed explicitly at iteration runtime</w:t>
            </w:r>
          </w:p>
          <w:p w14:paraId="7D02BED4" w14:textId="47FC907F" w:rsidR="004E578B" w:rsidRPr="00242100" w:rsidRDefault="004E578B" w:rsidP="004E578B">
            <w:pPr>
              <w:pStyle w:val="NormalWeb"/>
              <w:spacing w:before="0" w:beforeAutospacing="0" w:after="0" w:afterAutospacing="0"/>
              <w:rPr>
                <w:sz w:val="16"/>
                <w:szCs w:val="16"/>
              </w:rPr>
            </w:pPr>
            <w:r w:rsidRPr="00242100">
              <w:rPr>
                <w:b/>
                <w:bCs/>
                <w:sz w:val="16"/>
                <w:szCs w:val="16"/>
              </w:rPr>
              <w:t>National Macro-Waste Model</w:t>
            </w:r>
          </w:p>
          <w:p w14:paraId="0DA544DF" w14:textId="243D0091" w:rsidR="004E578B" w:rsidRPr="00242100" w:rsidRDefault="00000000" w:rsidP="004E578B">
            <w:pPr>
              <w:rPr>
                <w:sz w:val="16"/>
                <w:szCs w:val="16"/>
              </w:rPr>
            </w:pPr>
            <m:oMathPara>
              <m:oMath>
                <m:sSub>
                  <m:sSubPr>
                    <m:ctrlPr>
                      <w:rPr>
                        <w:rFonts w:ascii="Cambria Math" w:hAnsi="Cambria Math"/>
                        <w:sz w:val="16"/>
                        <w:szCs w:val="16"/>
                      </w:rPr>
                    </m:ctrlPr>
                  </m:sSubPr>
                  <m:e>
                    <m:r>
                      <m:rPr>
                        <m:nor/>
                      </m:rPr>
                      <w:rPr>
                        <w:sz w:val="16"/>
                        <w:szCs w:val="16"/>
                      </w:rPr>
                      <m:t>Deaths</m:t>
                    </m:r>
                  </m:e>
                  <m:sub>
                    <m:r>
                      <m:rPr>
                        <m:nor/>
                      </m:rPr>
                      <w:rPr>
                        <w:sz w:val="16"/>
                        <w:szCs w:val="16"/>
                      </w:rPr>
                      <m:t>attrib</m:t>
                    </m:r>
                    <m:r>
                      <w:rPr>
                        <w:rFonts w:ascii="Cambria Math" w:hAnsi="Cambria Math"/>
                        <w:sz w:val="16"/>
                        <w:szCs w:val="16"/>
                      </w:rPr>
                      <m:t>,i</m:t>
                    </m:r>
                  </m:sub>
                </m:sSub>
                <m:r>
                  <w:rPr>
                    <w:rFonts w:ascii="Cambria Math" w:hAnsi="Cambria Math"/>
                    <w:sz w:val="16"/>
                    <w:szCs w:val="16"/>
                  </w:rPr>
                  <m:t>=A</m:t>
                </m:r>
                <m:sSub>
                  <m:sSubPr>
                    <m:ctrlPr>
                      <w:rPr>
                        <w:rFonts w:ascii="Cambria Math" w:hAnsi="Cambria Math"/>
                        <w:sz w:val="16"/>
                        <w:szCs w:val="16"/>
                      </w:rPr>
                    </m:ctrlPr>
                  </m:sSubPr>
                  <m:e>
                    <m:r>
                      <w:rPr>
                        <w:rFonts w:ascii="Cambria Math" w:hAnsi="Cambria Math"/>
                        <w:sz w:val="16"/>
                        <w:szCs w:val="16"/>
                      </w:rPr>
                      <m:t>F</m:t>
                    </m:r>
                  </m:e>
                  <m:sub>
                    <m:r>
                      <m:rPr>
                        <m:nor/>
                      </m:rPr>
                      <w:rPr>
                        <w:sz w:val="16"/>
                        <w:szCs w:val="16"/>
                      </w:rPr>
                      <m:t>waste</m:t>
                    </m:r>
                    <m:r>
                      <w:rPr>
                        <w:rFonts w:ascii="Cambria Math" w:hAnsi="Cambria Math"/>
                        <w:sz w:val="16"/>
                        <w:szCs w:val="16"/>
                      </w:rPr>
                      <m:t>,i</m:t>
                    </m:r>
                  </m:sub>
                </m:sSub>
                <m:r>
                  <w:rPr>
                    <w:rFonts w:ascii="Cambria Math" w:hAnsi="Cambria Math"/>
                    <w:sz w:val="16"/>
                    <w:szCs w:val="16"/>
                  </w:rPr>
                  <m:t>×</m:t>
                </m:r>
                <m:r>
                  <m:rPr>
                    <m:nor/>
                  </m:rPr>
                  <w:rPr>
                    <w:sz w:val="16"/>
                    <w:szCs w:val="16"/>
                  </w:rPr>
                  <m:t>Poisson</m:t>
                </m:r>
                <m:d>
                  <m:dPr>
                    <m:ctrlPr>
                      <w:rPr>
                        <w:rFonts w:ascii="Cambria Math" w:hAnsi="Cambria Math"/>
                        <w:sz w:val="16"/>
                        <w:szCs w:val="16"/>
                      </w:rPr>
                    </m:ctrlPr>
                  </m:dPr>
                  <m:e>
                    <m:sSub>
                      <m:sSubPr>
                        <m:ctrlPr>
                          <w:rPr>
                            <w:rFonts w:ascii="Cambria Math" w:hAnsi="Cambria Math"/>
                            <w:sz w:val="16"/>
                            <w:szCs w:val="16"/>
                          </w:rPr>
                        </m:ctrlPr>
                      </m:sSubPr>
                      <m:e>
                        <m:r>
                          <m:rPr>
                            <m:nor/>
                          </m:rPr>
                          <w:rPr>
                            <w:sz w:val="16"/>
                            <w:szCs w:val="16"/>
                          </w:rPr>
                          <m:t>Deaths</m:t>
                        </m:r>
                      </m:e>
                      <m:sub>
                        <m:r>
                          <w:rPr>
                            <w:rFonts w:ascii="Cambria Math" w:hAnsi="Cambria Math"/>
                            <w:sz w:val="16"/>
                            <w:szCs w:val="16"/>
                          </w:rPr>
                          <m:t>y,</m:t>
                        </m:r>
                        <m:r>
                          <m:rPr>
                            <m:nor/>
                          </m:rPr>
                          <w:rPr>
                            <w:sz w:val="16"/>
                            <w:szCs w:val="16"/>
                          </w:rPr>
                          <m:t>National</m:t>
                        </m:r>
                      </m:sub>
                    </m:sSub>
                  </m:e>
                </m:d>
                <m:r>
                  <m:rPr>
                    <m:sty m:val="p"/>
                  </m:rPr>
                  <w:rPr>
                    <w:sz w:val="16"/>
                    <w:szCs w:val="16"/>
                  </w:rPr>
                  <w:br/>
                </m:r>
              </m:oMath>
            </m:oMathPara>
          </w:p>
          <w:p w14:paraId="4AE304B8" w14:textId="534B926A" w:rsidR="004E578B" w:rsidRPr="00242100" w:rsidRDefault="004E578B" w:rsidP="004E578B">
            <w:pPr>
              <w:pStyle w:val="NormalWeb"/>
              <w:spacing w:before="0" w:beforeAutospacing="0" w:after="0" w:afterAutospacing="0"/>
              <w:rPr>
                <w:sz w:val="16"/>
                <w:szCs w:val="16"/>
              </w:rPr>
            </w:pPr>
            <w:r w:rsidRPr="00242100">
              <w:rPr>
                <w:b/>
                <w:bCs/>
                <w:sz w:val="16"/>
                <w:szCs w:val="16"/>
              </w:rPr>
              <w:t>Sentinel Pilot Plastic Model:</w:t>
            </w:r>
          </w:p>
          <w:p w14:paraId="4E1C54A4" w14:textId="5BDB0092" w:rsidR="004E578B" w:rsidRPr="00242100" w:rsidRDefault="00000000" w:rsidP="004E578B">
            <w:pPr>
              <w:pStyle w:val="NormalWeb"/>
              <w:spacing w:before="0" w:beforeAutospacing="0" w:after="0" w:afterAutospacing="0"/>
              <w:rPr>
                <w:sz w:val="16"/>
                <w:szCs w:val="16"/>
              </w:rPr>
            </w:pPr>
            <m:oMathPara>
              <m:oMath>
                <m:sSub>
                  <m:sSubPr>
                    <m:ctrlPr>
                      <w:rPr>
                        <w:rFonts w:ascii="Cambria Math" w:hAnsi="Cambria Math"/>
                        <w:sz w:val="16"/>
                        <w:szCs w:val="16"/>
                      </w:rPr>
                    </m:ctrlPr>
                  </m:sSubPr>
                  <m:e>
                    <m:r>
                      <m:rPr>
                        <m:nor/>
                      </m:rPr>
                      <w:rPr>
                        <w:sz w:val="16"/>
                        <w:szCs w:val="16"/>
                      </w:rPr>
                      <m:t>Deaths</m:t>
                    </m:r>
                  </m:e>
                  <m:sub>
                    <m:r>
                      <m:rPr>
                        <m:nor/>
                      </m:rPr>
                      <w:rPr>
                        <w:sz w:val="16"/>
                        <w:szCs w:val="16"/>
                      </w:rPr>
                      <m:t>attrib</m:t>
                    </m:r>
                    <m:r>
                      <w:rPr>
                        <w:rFonts w:ascii="Cambria Math" w:hAnsi="Cambria Math"/>
                        <w:sz w:val="16"/>
                        <w:szCs w:val="16"/>
                      </w:rPr>
                      <m:t>,i</m:t>
                    </m:r>
                  </m:sub>
                </m:sSub>
                <m:r>
                  <w:rPr>
                    <w:rFonts w:ascii="Cambria Math" w:hAnsi="Cambria Math"/>
                    <w:sz w:val="16"/>
                    <w:szCs w:val="16"/>
                  </w:rPr>
                  <m:t>=A</m:t>
                </m:r>
                <m:sSub>
                  <m:sSubPr>
                    <m:ctrlPr>
                      <w:rPr>
                        <w:rFonts w:ascii="Cambria Math" w:hAnsi="Cambria Math"/>
                        <w:sz w:val="16"/>
                        <w:szCs w:val="16"/>
                      </w:rPr>
                    </m:ctrlPr>
                  </m:sSubPr>
                  <m:e>
                    <m:r>
                      <w:rPr>
                        <w:rFonts w:ascii="Cambria Math" w:hAnsi="Cambria Math"/>
                        <w:sz w:val="16"/>
                        <w:szCs w:val="16"/>
                      </w:rPr>
                      <m:t>F</m:t>
                    </m:r>
                  </m:e>
                  <m:sub>
                    <m:r>
                      <m:rPr>
                        <m:nor/>
                      </m:rPr>
                      <w:rPr>
                        <w:sz w:val="16"/>
                        <w:szCs w:val="16"/>
                      </w:rPr>
                      <m:t>plastic</m:t>
                    </m:r>
                    <m:r>
                      <w:rPr>
                        <w:rFonts w:ascii="Cambria Math" w:hAnsi="Cambria Math"/>
                        <w:sz w:val="16"/>
                        <w:szCs w:val="16"/>
                      </w:rPr>
                      <m:t>,i</m:t>
                    </m:r>
                  </m:sub>
                </m:sSub>
                <m:r>
                  <w:rPr>
                    <w:rFonts w:ascii="Cambria Math" w:hAnsi="Cambria Math"/>
                    <w:sz w:val="16"/>
                    <w:szCs w:val="16"/>
                  </w:rPr>
                  <m:t>×</m:t>
                </m:r>
                <m:r>
                  <m:rPr>
                    <m:nor/>
                  </m:rPr>
                  <w:rPr>
                    <w:sz w:val="16"/>
                    <w:szCs w:val="16"/>
                  </w:rPr>
                  <m:t>Poisson</m:t>
                </m:r>
                <m:d>
                  <m:dPr>
                    <m:ctrlPr>
                      <w:rPr>
                        <w:rFonts w:ascii="Cambria Math" w:hAnsi="Cambria Math"/>
                        <w:sz w:val="16"/>
                        <w:szCs w:val="16"/>
                      </w:rPr>
                    </m:ctrlPr>
                  </m:dPr>
                  <m:e>
                    <m:sSub>
                      <m:sSubPr>
                        <m:ctrlPr>
                          <w:rPr>
                            <w:rFonts w:ascii="Cambria Math" w:hAnsi="Cambria Math"/>
                            <w:sz w:val="16"/>
                            <w:szCs w:val="16"/>
                          </w:rPr>
                        </m:ctrlPr>
                      </m:sSubPr>
                      <m:e>
                        <m:r>
                          <m:rPr>
                            <m:nor/>
                          </m:rPr>
                          <w:rPr>
                            <w:sz w:val="16"/>
                            <w:szCs w:val="16"/>
                          </w:rPr>
                          <m:t>Deaths</m:t>
                        </m:r>
                      </m:e>
                      <m:sub>
                        <m:r>
                          <w:rPr>
                            <w:rFonts w:ascii="Cambria Math" w:hAnsi="Cambria Math"/>
                            <w:sz w:val="16"/>
                            <w:szCs w:val="16"/>
                          </w:rPr>
                          <m:t>y,</m:t>
                        </m:r>
                        <m:r>
                          <m:rPr>
                            <m:nor/>
                          </m:rPr>
                          <w:rPr>
                            <w:sz w:val="16"/>
                            <w:szCs w:val="16"/>
                          </w:rPr>
                          <m:t>Pilot</m:t>
                        </m:r>
                      </m:sub>
                    </m:sSub>
                  </m:e>
                </m:d>
              </m:oMath>
            </m:oMathPara>
          </w:p>
        </w:tc>
        <w:tc>
          <w:tcPr>
            <w:tcW w:w="2340" w:type="dxa"/>
          </w:tcPr>
          <w:p w14:paraId="2FE809B2" w14:textId="6E0AA913" w:rsidR="004E578B" w:rsidRPr="00A76B19" w:rsidRDefault="00242100">
            <w:pPr>
              <w:rPr>
                <w:color w:val="1F1F1F"/>
                <w:sz w:val="16"/>
                <w:szCs w:val="16"/>
                <w:bdr w:val="none" w:sz="0" w:space="0" w:color="auto" w:frame="1"/>
              </w:rPr>
            </w:pPr>
            <w:r w:rsidRPr="00242100">
              <w:rPr>
                <w:color w:val="1F1F1F"/>
                <w:sz w:val="16"/>
                <w:szCs w:val="16"/>
                <w:bdr w:val="none" w:sz="0" w:space="0" w:color="auto" w:frame="1"/>
              </w:rPr>
              <w:t>Boundary-</w:t>
            </w:r>
            <w:r>
              <w:rPr>
                <w:color w:val="1F1F1F"/>
                <w:sz w:val="16"/>
                <w:szCs w:val="16"/>
                <w:bdr w:val="none" w:sz="0" w:space="0" w:color="auto" w:frame="1"/>
              </w:rPr>
              <w:t>s</w:t>
            </w:r>
            <w:r w:rsidRPr="00242100">
              <w:rPr>
                <w:color w:val="1F1F1F"/>
                <w:sz w:val="16"/>
                <w:szCs w:val="16"/>
                <w:bdr w:val="none" w:sz="0" w:space="0" w:color="auto" w:frame="1"/>
              </w:rPr>
              <w:t xml:space="preserve">tratified </w:t>
            </w:r>
            <w:r>
              <w:rPr>
                <w:color w:val="1F1F1F"/>
                <w:sz w:val="16"/>
                <w:szCs w:val="16"/>
                <w:bdr w:val="none" w:sz="0" w:space="0" w:color="auto" w:frame="1"/>
              </w:rPr>
              <w:t>c</w:t>
            </w:r>
            <w:r w:rsidRPr="00242100">
              <w:rPr>
                <w:color w:val="1F1F1F"/>
                <w:sz w:val="16"/>
                <w:szCs w:val="16"/>
                <w:bdr w:val="none" w:sz="0" w:space="0" w:color="auto" w:frame="1"/>
              </w:rPr>
              <w:t>ase-</w:t>
            </w:r>
            <w:r>
              <w:rPr>
                <w:color w:val="1F1F1F"/>
                <w:sz w:val="16"/>
                <w:szCs w:val="16"/>
                <w:bdr w:val="none" w:sz="0" w:space="0" w:color="auto" w:frame="1"/>
              </w:rPr>
              <w:t>w</w:t>
            </w:r>
            <w:r w:rsidRPr="00242100">
              <w:rPr>
                <w:color w:val="1F1F1F"/>
                <w:sz w:val="16"/>
                <w:szCs w:val="16"/>
                <w:bdr w:val="none" w:sz="0" w:space="0" w:color="auto" w:frame="1"/>
              </w:rPr>
              <w:t xml:space="preserve">eighted </w:t>
            </w:r>
            <w:r>
              <w:rPr>
                <w:color w:val="1F1F1F"/>
                <w:sz w:val="16"/>
                <w:szCs w:val="16"/>
                <w:bdr w:val="none" w:sz="0" w:space="0" w:color="auto" w:frame="1"/>
              </w:rPr>
              <w:t>d</w:t>
            </w:r>
            <w:r w:rsidRPr="00242100">
              <w:rPr>
                <w:color w:val="1F1F1F"/>
                <w:sz w:val="16"/>
                <w:szCs w:val="16"/>
                <w:bdr w:val="none" w:sz="0" w:space="0" w:color="auto" w:frame="1"/>
              </w:rPr>
              <w:t xml:space="preserve">ownscaling </w:t>
            </w:r>
            <w:r>
              <w:rPr>
                <w:color w:val="1F1F1F"/>
                <w:sz w:val="16"/>
                <w:szCs w:val="16"/>
                <w:bdr w:val="none" w:sz="0" w:space="0" w:color="auto" w:frame="1"/>
              </w:rPr>
              <w:t>f</w:t>
            </w:r>
            <w:r w:rsidRPr="00242100">
              <w:rPr>
                <w:color w:val="1F1F1F"/>
                <w:sz w:val="16"/>
                <w:szCs w:val="16"/>
                <w:bdr w:val="none" w:sz="0" w:space="0" w:color="auto" w:frame="1"/>
              </w:rPr>
              <w:t xml:space="preserve">ramework mapping macro-epidemiological parameters to local </w:t>
            </w:r>
            <w:r>
              <w:rPr>
                <w:color w:val="1F1F1F"/>
                <w:sz w:val="16"/>
                <w:szCs w:val="16"/>
                <w:bdr w:val="none" w:sz="0" w:space="0" w:color="auto" w:frame="1"/>
              </w:rPr>
              <w:t>pilot district boundaries</w:t>
            </w:r>
            <w:r w:rsidRPr="00242100">
              <w:rPr>
                <w:color w:val="1F1F1F"/>
                <w:sz w:val="16"/>
                <w:szCs w:val="16"/>
                <w:bdr w:val="none" w:sz="0" w:space="0" w:color="auto" w:frame="1"/>
              </w:rPr>
              <w:t>.</w:t>
            </w:r>
            <w:r>
              <w:rPr>
                <w:color w:val="1F1F1F"/>
                <w:sz w:val="16"/>
                <w:szCs w:val="16"/>
                <w:bdr w:val="none" w:sz="0" w:space="0" w:color="auto" w:frame="1"/>
              </w:rPr>
              <w:t xml:space="preserve"> Present study. </w:t>
            </w:r>
          </w:p>
        </w:tc>
      </w:tr>
      <w:tr w:rsidR="00B95F8E" w:rsidRPr="00A76B19" w14:paraId="01EE8B7E" w14:textId="77777777" w:rsidTr="00B95F8E">
        <w:tc>
          <w:tcPr>
            <w:tcW w:w="1255" w:type="dxa"/>
            <w:hideMark/>
          </w:tcPr>
          <w:p w14:paraId="62E01E1C" w14:textId="77777777" w:rsidR="00B95F8E" w:rsidRPr="00A76B19" w:rsidRDefault="00B95F8E">
            <w:pPr>
              <w:rPr>
                <w:color w:val="1F1F1F"/>
                <w:sz w:val="16"/>
                <w:szCs w:val="16"/>
              </w:rPr>
            </w:pPr>
          </w:p>
        </w:tc>
        <w:tc>
          <w:tcPr>
            <w:tcW w:w="1800" w:type="dxa"/>
            <w:hideMark/>
          </w:tcPr>
          <w:p w14:paraId="4AF001E5" w14:textId="77777777" w:rsidR="00B95F8E" w:rsidRPr="00A76B19" w:rsidRDefault="00B95F8E">
            <w:pPr>
              <w:rPr>
                <w:color w:val="1F1F1F"/>
                <w:sz w:val="16"/>
                <w:szCs w:val="16"/>
              </w:rPr>
            </w:pPr>
            <w:r w:rsidRPr="00A76B19">
              <w:rPr>
                <w:color w:val="1F1F1F"/>
                <w:sz w:val="16"/>
                <w:szCs w:val="16"/>
                <w:bdr w:val="none" w:sz="0" w:space="0" w:color="auto" w:frame="1"/>
              </w:rPr>
              <w:t>Pediatric vs. Adult Case and Mortality Distribution</w:t>
            </w:r>
          </w:p>
        </w:tc>
        <w:tc>
          <w:tcPr>
            <w:tcW w:w="1620" w:type="dxa"/>
            <w:hideMark/>
          </w:tcPr>
          <w:p w14:paraId="74859357" w14:textId="77777777" w:rsidR="00B95F8E" w:rsidRPr="00A76B19" w:rsidRDefault="00B95F8E">
            <w:pPr>
              <w:rPr>
                <w:color w:val="1F1F1F"/>
                <w:sz w:val="16"/>
                <w:szCs w:val="16"/>
              </w:rPr>
            </w:pPr>
            <w:r w:rsidRPr="00A76B19">
              <w:rPr>
                <w:color w:val="1F1F1F"/>
                <w:sz w:val="16"/>
                <w:szCs w:val="16"/>
                <w:bdr w:val="none" w:sz="0" w:space="0" w:color="auto" w:frame="1"/>
              </w:rPr>
              <w:t>Deterministic fixed shares</w:t>
            </w:r>
          </w:p>
        </w:tc>
        <w:tc>
          <w:tcPr>
            <w:tcW w:w="3330" w:type="dxa"/>
            <w:hideMark/>
          </w:tcPr>
          <w:p w14:paraId="4372790D" w14:textId="5AF01590" w:rsidR="00B95F8E" w:rsidRPr="00A76B19" w:rsidRDefault="00B95F8E">
            <w:pPr>
              <w:pStyle w:val="NormalWeb"/>
              <w:spacing w:before="0" w:beforeAutospacing="0" w:after="0" w:afterAutospacing="0"/>
              <w:rPr>
                <w:color w:val="1F1F1F"/>
                <w:sz w:val="16"/>
                <w:szCs w:val="16"/>
              </w:rPr>
            </w:pPr>
            <w:r w:rsidRPr="00A76B19">
              <w:rPr>
                <w:color w:val="1F1F1F"/>
                <w:sz w:val="16"/>
                <w:szCs w:val="16"/>
              </w:rPr>
              <w:t>Pediatric fraction (</w:t>
            </w:r>
            <m:oMath>
              <m:r>
                <w:rPr>
                  <w:rFonts w:ascii="Cambria Math" w:hAnsi="Cambria Math"/>
                  <w:color w:val="1F1F1F"/>
                  <w:sz w:val="16"/>
                  <w:szCs w:val="16"/>
                </w:rPr>
                <m:t>≤</m:t>
              </m:r>
            </m:oMath>
            <w:r w:rsidRPr="00A76B19">
              <w:rPr>
                <w:rStyle w:val="math-inline"/>
                <w:color w:val="1F1F1F"/>
                <w:sz w:val="16"/>
                <w:szCs w:val="16"/>
                <w:bdr w:val="none" w:sz="0" w:space="0" w:color="auto" w:frame="1"/>
              </w:rPr>
              <w:t>14</w:t>
            </w:r>
            <w:r w:rsidRPr="00A76B19">
              <w:rPr>
                <w:color w:val="1F1F1F"/>
                <w:sz w:val="16"/>
                <w:szCs w:val="16"/>
              </w:rPr>
              <w:t xml:space="preserve"> years): </w:t>
            </w:r>
            <w:r w:rsidRPr="00A76B19">
              <w:rPr>
                <w:b/>
                <w:bCs/>
                <w:color w:val="1F1F1F"/>
                <w:sz w:val="16"/>
                <w:szCs w:val="16"/>
                <w:bdr w:val="none" w:sz="0" w:space="0" w:color="auto" w:frame="1"/>
              </w:rPr>
              <w:t>0.203</w:t>
            </w:r>
          </w:p>
          <w:p w14:paraId="199AB8B9" w14:textId="79EF2887" w:rsidR="00B95F8E" w:rsidRPr="00A76B19" w:rsidRDefault="00B95F8E">
            <w:pPr>
              <w:rPr>
                <w:color w:val="1F1F1F"/>
                <w:sz w:val="16"/>
                <w:szCs w:val="16"/>
              </w:rPr>
            </w:pPr>
          </w:p>
          <w:p w14:paraId="5FAD523E" w14:textId="64D5D23C" w:rsidR="00B95F8E" w:rsidRPr="00A76B19" w:rsidRDefault="00B95F8E">
            <w:pPr>
              <w:pStyle w:val="NormalWeb"/>
              <w:spacing w:before="0" w:beforeAutospacing="0" w:after="0" w:afterAutospacing="0"/>
              <w:rPr>
                <w:color w:val="1F1F1F"/>
                <w:sz w:val="16"/>
                <w:szCs w:val="16"/>
              </w:rPr>
            </w:pPr>
            <w:r w:rsidRPr="00A76B19">
              <w:rPr>
                <w:color w:val="1F1F1F"/>
                <w:sz w:val="16"/>
                <w:szCs w:val="16"/>
              </w:rPr>
              <w:t>Adult fraction (</w:t>
            </w:r>
            <w:r w:rsidRPr="00A76B19">
              <w:rPr>
                <w:rStyle w:val="math-inline"/>
                <w:color w:val="1F1F1F"/>
                <w:sz w:val="16"/>
                <w:szCs w:val="16"/>
                <w:bdr w:val="none" w:sz="0" w:space="0" w:color="auto" w:frame="1"/>
              </w:rPr>
              <w:t>&gt; 14</w:t>
            </w:r>
            <w:r w:rsidRPr="00A76B19">
              <w:rPr>
                <w:color w:val="1F1F1F"/>
                <w:sz w:val="16"/>
                <w:szCs w:val="16"/>
              </w:rPr>
              <w:t xml:space="preserve"> years): </w:t>
            </w:r>
            <w:r w:rsidRPr="00A76B19">
              <w:rPr>
                <w:b/>
                <w:bCs/>
                <w:color w:val="1F1F1F"/>
                <w:sz w:val="16"/>
                <w:szCs w:val="16"/>
                <w:bdr w:val="none" w:sz="0" w:space="0" w:color="auto" w:frame="1"/>
              </w:rPr>
              <w:t>0.797</w:t>
            </w:r>
          </w:p>
        </w:tc>
        <w:tc>
          <w:tcPr>
            <w:tcW w:w="2340" w:type="dxa"/>
            <w:hideMark/>
          </w:tcPr>
          <w:p w14:paraId="173907D7" w14:textId="23133454" w:rsidR="00B95F8E" w:rsidRPr="00A76B19" w:rsidRDefault="007139EA">
            <w:pPr>
              <w:rPr>
                <w:color w:val="1F1F1F"/>
                <w:sz w:val="16"/>
                <w:szCs w:val="16"/>
              </w:rPr>
            </w:pPr>
            <w:r>
              <w:rPr>
                <w:sz w:val="16"/>
                <w:szCs w:val="16"/>
              </w:rPr>
              <w:t xml:space="preserve">Data source:  </w:t>
            </w:r>
            <w:proofErr w:type="spellStart"/>
            <w:r>
              <w:rPr>
                <w:color w:val="1F1F1F"/>
                <w:sz w:val="16"/>
                <w:szCs w:val="16"/>
                <w:bdr w:val="none" w:sz="0" w:space="0" w:color="auto" w:frame="1"/>
              </w:rPr>
              <w:t>NADSyS</w:t>
            </w:r>
            <w:proofErr w:type="spellEnd"/>
            <w:r>
              <w:rPr>
                <w:color w:val="1F1F1F"/>
                <w:sz w:val="16"/>
                <w:szCs w:val="16"/>
                <w:bdr w:val="none" w:sz="0" w:space="0" w:color="auto" w:frame="1"/>
              </w:rPr>
              <w:t>-National Dengue Surveillance system: National Dengue Control Unit, Ministry of Health Sri Lanka.</w:t>
            </w:r>
          </w:p>
        </w:tc>
      </w:tr>
      <w:tr w:rsidR="00B95F8E" w:rsidRPr="00A76B19" w14:paraId="7945B746" w14:textId="77777777" w:rsidTr="00B95F8E">
        <w:tc>
          <w:tcPr>
            <w:tcW w:w="1255" w:type="dxa"/>
            <w:hideMark/>
          </w:tcPr>
          <w:p w14:paraId="3769FFB8" w14:textId="77777777" w:rsidR="00B95F8E" w:rsidRPr="00A76B19" w:rsidRDefault="00B95F8E">
            <w:pPr>
              <w:rPr>
                <w:color w:val="1F1F1F"/>
                <w:sz w:val="16"/>
                <w:szCs w:val="16"/>
              </w:rPr>
            </w:pPr>
            <w:r w:rsidRPr="00A76B19">
              <w:rPr>
                <w:b/>
                <w:bCs/>
                <w:color w:val="1F1F1F"/>
                <w:sz w:val="16"/>
                <w:szCs w:val="16"/>
                <w:bdr w:val="none" w:sz="0" w:space="0" w:color="auto" w:frame="1"/>
              </w:rPr>
              <w:t>Clinical Severity Fractions</w:t>
            </w:r>
          </w:p>
        </w:tc>
        <w:tc>
          <w:tcPr>
            <w:tcW w:w="1800" w:type="dxa"/>
            <w:hideMark/>
          </w:tcPr>
          <w:p w14:paraId="7884105B" w14:textId="77777777" w:rsidR="00B95F8E" w:rsidRPr="00A76B19" w:rsidRDefault="00B95F8E">
            <w:pPr>
              <w:rPr>
                <w:color w:val="1F1F1F"/>
                <w:sz w:val="16"/>
                <w:szCs w:val="16"/>
              </w:rPr>
            </w:pPr>
            <w:r w:rsidRPr="00A76B19">
              <w:rPr>
                <w:color w:val="1F1F1F"/>
                <w:sz w:val="16"/>
                <w:szCs w:val="16"/>
                <w:bdr w:val="none" w:sz="0" w:space="0" w:color="auto" w:frame="1"/>
              </w:rPr>
              <w:t>Pediatric Clinical Cohort Splitting Fractions</w:t>
            </w:r>
          </w:p>
        </w:tc>
        <w:tc>
          <w:tcPr>
            <w:tcW w:w="1620" w:type="dxa"/>
            <w:hideMark/>
          </w:tcPr>
          <w:p w14:paraId="7D747415" w14:textId="77777777" w:rsidR="00B95F8E" w:rsidRPr="00A76B19" w:rsidRDefault="00B95F8E">
            <w:pPr>
              <w:rPr>
                <w:color w:val="1F1F1F"/>
                <w:sz w:val="16"/>
                <w:szCs w:val="16"/>
              </w:rPr>
            </w:pPr>
            <w:r w:rsidRPr="00A76B19">
              <w:rPr>
                <w:color w:val="1F1F1F"/>
                <w:sz w:val="16"/>
                <w:szCs w:val="16"/>
                <w:bdr w:val="none" w:sz="0" w:space="0" w:color="auto" w:frame="1"/>
              </w:rPr>
              <w:t>Deterministic proportions</w:t>
            </w:r>
          </w:p>
        </w:tc>
        <w:tc>
          <w:tcPr>
            <w:tcW w:w="3330" w:type="dxa"/>
            <w:hideMark/>
          </w:tcPr>
          <w:p w14:paraId="5A5F105A" w14:textId="11EDC78A" w:rsidR="00B95F8E" w:rsidRPr="00A76B19" w:rsidRDefault="00B95F8E" w:rsidP="006A7321">
            <w:pPr>
              <w:pStyle w:val="NormalWeb"/>
              <w:spacing w:before="0" w:beforeAutospacing="0" w:after="0" w:afterAutospacing="0"/>
              <w:rPr>
                <w:color w:val="1F1F1F"/>
                <w:sz w:val="16"/>
                <w:szCs w:val="16"/>
              </w:rPr>
            </w:pPr>
            <w:r w:rsidRPr="00A76B19">
              <w:rPr>
                <w:color w:val="1F1F1F"/>
                <w:sz w:val="16"/>
                <w:szCs w:val="16"/>
              </w:rPr>
              <w:t xml:space="preserve">Dengue Fever (DF): </w:t>
            </w:r>
            <w:r w:rsidRPr="00A76B19">
              <w:rPr>
                <w:b/>
                <w:bCs/>
                <w:color w:val="1F1F1F"/>
                <w:sz w:val="16"/>
                <w:szCs w:val="16"/>
                <w:bdr w:val="none" w:sz="0" w:space="0" w:color="auto" w:frame="1"/>
              </w:rPr>
              <w:t>0.650</w:t>
            </w:r>
          </w:p>
          <w:p w14:paraId="6FD8E837" w14:textId="6A0CC2EF" w:rsidR="00B95F8E" w:rsidRPr="00A76B19" w:rsidRDefault="00B95F8E" w:rsidP="006A7321">
            <w:pPr>
              <w:pStyle w:val="NormalWeb"/>
              <w:spacing w:before="0" w:beforeAutospacing="0" w:after="0" w:afterAutospacing="0"/>
              <w:rPr>
                <w:color w:val="1F1F1F"/>
                <w:sz w:val="16"/>
                <w:szCs w:val="16"/>
              </w:rPr>
            </w:pPr>
            <w:r w:rsidRPr="00A76B19">
              <w:rPr>
                <w:color w:val="1F1F1F"/>
                <w:sz w:val="16"/>
                <w:szCs w:val="16"/>
              </w:rPr>
              <w:t xml:space="preserve">Dengue Hemorrhagic Fever (DHF): </w:t>
            </w:r>
            <w:r w:rsidRPr="00A76B19">
              <w:rPr>
                <w:b/>
                <w:bCs/>
                <w:color w:val="1F1F1F"/>
                <w:sz w:val="16"/>
                <w:szCs w:val="16"/>
                <w:bdr w:val="none" w:sz="0" w:space="0" w:color="auto" w:frame="1"/>
              </w:rPr>
              <w:t>0.257</w:t>
            </w:r>
          </w:p>
          <w:p w14:paraId="6F517818" w14:textId="77777777" w:rsidR="00B95F8E" w:rsidRPr="00A76B19" w:rsidRDefault="00B95F8E">
            <w:pPr>
              <w:pStyle w:val="NormalWeb"/>
              <w:spacing w:before="0" w:beforeAutospacing="0" w:after="0" w:afterAutospacing="0"/>
              <w:rPr>
                <w:color w:val="1F1F1F"/>
                <w:sz w:val="16"/>
                <w:szCs w:val="16"/>
              </w:rPr>
            </w:pPr>
            <w:r w:rsidRPr="00A76B19">
              <w:rPr>
                <w:color w:val="1F1F1F"/>
                <w:sz w:val="16"/>
                <w:szCs w:val="16"/>
              </w:rPr>
              <w:t xml:space="preserve">Dengue Shock Syndrome (DSS): </w:t>
            </w:r>
            <w:r w:rsidRPr="00A76B19">
              <w:rPr>
                <w:b/>
                <w:bCs/>
                <w:color w:val="1F1F1F"/>
                <w:sz w:val="16"/>
                <w:szCs w:val="16"/>
                <w:bdr w:val="none" w:sz="0" w:space="0" w:color="auto" w:frame="1"/>
              </w:rPr>
              <w:t>0.093</w:t>
            </w:r>
          </w:p>
        </w:tc>
        <w:tc>
          <w:tcPr>
            <w:tcW w:w="2340" w:type="dxa"/>
            <w:hideMark/>
          </w:tcPr>
          <w:p w14:paraId="23792323" w14:textId="019D278B" w:rsidR="00B95F8E" w:rsidRPr="00A76B19" w:rsidRDefault="006A7321">
            <w:pPr>
              <w:rPr>
                <w:color w:val="1F1F1F"/>
                <w:sz w:val="16"/>
                <w:szCs w:val="16"/>
              </w:rPr>
            </w:pPr>
            <w:r>
              <w:rPr>
                <w:color w:val="1F1F1F"/>
                <w:sz w:val="16"/>
                <w:szCs w:val="16"/>
                <w:bdr w:val="none" w:sz="0" w:space="0" w:color="auto" w:frame="1"/>
              </w:rPr>
              <w:t>Dengue clinical surveillance database, Sri Lanka</w:t>
            </w:r>
          </w:p>
        </w:tc>
      </w:tr>
      <w:tr w:rsidR="00B95F8E" w:rsidRPr="00A76B19" w14:paraId="197EFF83" w14:textId="77777777" w:rsidTr="00B95F8E">
        <w:tc>
          <w:tcPr>
            <w:tcW w:w="1255" w:type="dxa"/>
            <w:hideMark/>
          </w:tcPr>
          <w:p w14:paraId="0294F62A" w14:textId="77777777" w:rsidR="00B95F8E" w:rsidRPr="00A76B19" w:rsidRDefault="00B95F8E">
            <w:pPr>
              <w:rPr>
                <w:color w:val="1F1F1F"/>
                <w:sz w:val="16"/>
                <w:szCs w:val="16"/>
              </w:rPr>
            </w:pPr>
          </w:p>
        </w:tc>
        <w:tc>
          <w:tcPr>
            <w:tcW w:w="1800" w:type="dxa"/>
            <w:hideMark/>
          </w:tcPr>
          <w:p w14:paraId="27B454CB" w14:textId="77777777" w:rsidR="00B95F8E" w:rsidRPr="00A76B19" w:rsidRDefault="00B95F8E">
            <w:pPr>
              <w:rPr>
                <w:color w:val="1F1F1F"/>
                <w:sz w:val="16"/>
                <w:szCs w:val="16"/>
              </w:rPr>
            </w:pPr>
            <w:r w:rsidRPr="00A76B19">
              <w:rPr>
                <w:color w:val="1F1F1F"/>
                <w:sz w:val="16"/>
                <w:szCs w:val="16"/>
                <w:bdr w:val="none" w:sz="0" w:space="0" w:color="auto" w:frame="1"/>
              </w:rPr>
              <w:t>Adult Clinical Cohort Splitting Fractions</w:t>
            </w:r>
          </w:p>
        </w:tc>
        <w:tc>
          <w:tcPr>
            <w:tcW w:w="1620" w:type="dxa"/>
            <w:hideMark/>
          </w:tcPr>
          <w:p w14:paraId="4C25B7AE" w14:textId="77777777" w:rsidR="00B95F8E" w:rsidRPr="00A76B19" w:rsidRDefault="00B95F8E">
            <w:pPr>
              <w:rPr>
                <w:color w:val="1F1F1F"/>
                <w:sz w:val="16"/>
                <w:szCs w:val="16"/>
              </w:rPr>
            </w:pPr>
            <w:r w:rsidRPr="00A76B19">
              <w:rPr>
                <w:color w:val="1F1F1F"/>
                <w:sz w:val="16"/>
                <w:szCs w:val="16"/>
                <w:bdr w:val="none" w:sz="0" w:space="0" w:color="auto" w:frame="1"/>
              </w:rPr>
              <w:t>Deterministic proportions</w:t>
            </w:r>
          </w:p>
        </w:tc>
        <w:tc>
          <w:tcPr>
            <w:tcW w:w="3330" w:type="dxa"/>
            <w:hideMark/>
          </w:tcPr>
          <w:p w14:paraId="69F32E13" w14:textId="279282C7" w:rsidR="00B95F8E" w:rsidRPr="00A76B19" w:rsidRDefault="00B95F8E" w:rsidP="006A7321">
            <w:pPr>
              <w:pStyle w:val="NormalWeb"/>
              <w:spacing w:before="0" w:beforeAutospacing="0" w:after="0" w:afterAutospacing="0"/>
              <w:rPr>
                <w:color w:val="1F1F1F"/>
                <w:sz w:val="16"/>
                <w:szCs w:val="16"/>
              </w:rPr>
            </w:pPr>
            <w:r w:rsidRPr="00A76B19">
              <w:rPr>
                <w:color w:val="1F1F1F"/>
                <w:sz w:val="16"/>
                <w:szCs w:val="16"/>
              </w:rPr>
              <w:t xml:space="preserve">Dengue Fever (DF): </w:t>
            </w:r>
            <w:r w:rsidRPr="00A76B19">
              <w:rPr>
                <w:b/>
                <w:bCs/>
                <w:color w:val="1F1F1F"/>
                <w:sz w:val="16"/>
                <w:szCs w:val="16"/>
                <w:bdr w:val="none" w:sz="0" w:space="0" w:color="auto" w:frame="1"/>
              </w:rPr>
              <w:t>0.736</w:t>
            </w:r>
          </w:p>
          <w:p w14:paraId="51645938" w14:textId="06DAB206" w:rsidR="00B95F8E" w:rsidRPr="00A76B19" w:rsidRDefault="00B95F8E" w:rsidP="006A7321">
            <w:pPr>
              <w:pStyle w:val="NormalWeb"/>
              <w:spacing w:before="0" w:beforeAutospacing="0" w:after="0" w:afterAutospacing="0"/>
              <w:rPr>
                <w:color w:val="1F1F1F"/>
                <w:sz w:val="16"/>
                <w:szCs w:val="16"/>
              </w:rPr>
            </w:pPr>
            <w:r w:rsidRPr="00A76B19">
              <w:rPr>
                <w:color w:val="1F1F1F"/>
                <w:sz w:val="16"/>
                <w:szCs w:val="16"/>
              </w:rPr>
              <w:t xml:space="preserve">Dengue Hemorrhagic Fever (DHF): </w:t>
            </w:r>
            <w:r w:rsidRPr="00A76B19">
              <w:rPr>
                <w:b/>
                <w:bCs/>
                <w:color w:val="1F1F1F"/>
                <w:sz w:val="16"/>
                <w:szCs w:val="16"/>
                <w:bdr w:val="none" w:sz="0" w:space="0" w:color="auto" w:frame="1"/>
              </w:rPr>
              <w:t>0.175</w:t>
            </w:r>
          </w:p>
          <w:p w14:paraId="11BF8C84" w14:textId="77777777" w:rsidR="00B95F8E" w:rsidRPr="00A76B19" w:rsidRDefault="00B95F8E">
            <w:pPr>
              <w:pStyle w:val="NormalWeb"/>
              <w:spacing w:before="0" w:beforeAutospacing="0" w:after="0" w:afterAutospacing="0"/>
              <w:rPr>
                <w:color w:val="1F1F1F"/>
                <w:sz w:val="16"/>
                <w:szCs w:val="16"/>
              </w:rPr>
            </w:pPr>
            <w:r w:rsidRPr="00A76B19">
              <w:rPr>
                <w:color w:val="1F1F1F"/>
                <w:sz w:val="16"/>
                <w:szCs w:val="16"/>
              </w:rPr>
              <w:t xml:space="preserve">Dengue Shock Syndrome (DSS): </w:t>
            </w:r>
            <w:r w:rsidRPr="00A76B19">
              <w:rPr>
                <w:b/>
                <w:bCs/>
                <w:color w:val="1F1F1F"/>
                <w:sz w:val="16"/>
                <w:szCs w:val="16"/>
                <w:bdr w:val="none" w:sz="0" w:space="0" w:color="auto" w:frame="1"/>
              </w:rPr>
              <w:t>0.089</w:t>
            </w:r>
          </w:p>
        </w:tc>
        <w:tc>
          <w:tcPr>
            <w:tcW w:w="2340" w:type="dxa"/>
            <w:hideMark/>
          </w:tcPr>
          <w:p w14:paraId="7C7E6F41" w14:textId="0071658B" w:rsidR="00B95F8E" w:rsidRPr="00A76B19" w:rsidRDefault="006A7321">
            <w:pPr>
              <w:rPr>
                <w:color w:val="1F1F1F"/>
                <w:sz w:val="16"/>
                <w:szCs w:val="16"/>
              </w:rPr>
            </w:pPr>
            <w:r>
              <w:rPr>
                <w:color w:val="1F1F1F"/>
                <w:sz w:val="16"/>
                <w:szCs w:val="16"/>
                <w:bdr w:val="none" w:sz="0" w:space="0" w:color="auto" w:frame="1"/>
              </w:rPr>
              <w:t>Dengue clinical surveillance database, Sri Lanka</w:t>
            </w:r>
          </w:p>
        </w:tc>
      </w:tr>
      <w:tr w:rsidR="00B95F8E" w:rsidRPr="00A76B19" w14:paraId="1FC118FA" w14:textId="77777777" w:rsidTr="00B95F8E">
        <w:tc>
          <w:tcPr>
            <w:tcW w:w="1255" w:type="dxa"/>
            <w:hideMark/>
          </w:tcPr>
          <w:p w14:paraId="381CF179" w14:textId="77777777" w:rsidR="00B95F8E" w:rsidRPr="00A76B19" w:rsidRDefault="00B95F8E">
            <w:pPr>
              <w:rPr>
                <w:color w:val="1F1F1F"/>
                <w:sz w:val="16"/>
                <w:szCs w:val="16"/>
              </w:rPr>
            </w:pPr>
            <w:r w:rsidRPr="00A76B19">
              <w:rPr>
                <w:b/>
                <w:bCs/>
                <w:color w:val="1F1F1F"/>
                <w:sz w:val="16"/>
                <w:szCs w:val="16"/>
                <w:bdr w:val="none" w:sz="0" w:space="0" w:color="auto" w:frame="1"/>
              </w:rPr>
              <w:t>Health System Provider Costs (USD)</w:t>
            </w:r>
          </w:p>
        </w:tc>
        <w:tc>
          <w:tcPr>
            <w:tcW w:w="1800" w:type="dxa"/>
            <w:hideMark/>
          </w:tcPr>
          <w:p w14:paraId="4968813A" w14:textId="77777777" w:rsidR="00B95F8E" w:rsidRPr="00A76B19" w:rsidRDefault="00B95F8E">
            <w:pPr>
              <w:rPr>
                <w:color w:val="1F1F1F"/>
                <w:sz w:val="16"/>
                <w:szCs w:val="16"/>
              </w:rPr>
            </w:pPr>
            <w:r w:rsidRPr="00A76B19">
              <w:rPr>
                <w:color w:val="1F1F1F"/>
                <w:sz w:val="16"/>
                <w:szCs w:val="16"/>
                <w:bdr w:val="none" w:sz="0" w:space="0" w:color="auto" w:frame="1"/>
              </w:rPr>
              <w:t>Ambulatory Outpatient Management Cost</w:t>
            </w:r>
          </w:p>
        </w:tc>
        <w:tc>
          <w:tcPr>
            <w:tcW w:w="1620" w:type="dxa"/>
            <w:hideMark/>
          </w:tcPr>
          <w:p w14:paraId="493278D8" w14:textId="77777777" w:rsidR="00B95F8E" w:rsidRPr="00A76B19" w:rsidRDefault="00B95F8E">
            <w:pPr>
              <w:rPr>
                <w:color w:val="1F1F1F"/>
                <w:sz w:val="16"/>
                <w:szCs w:val="16"/>
              </w:rPr>
            </w:pPr>
            <w:r w:rsidRPr="00A76B19">
              <w:rPr>
                <w:color w:val="1F1F1F"/>
                <w:sz w:val="16"/>
                <w:szCs w:val="16"/>
                <w:bdr w:val="none" w:sz="0" w:space="0" w:color="auto" w:frame="1"/>
              </w:rPr>
              <w:t>Gamma</w:t>
            </w:r>
          </w:p>
        </w:tc>
        <w:tc>
          <w:tcPr>
            <w:tcW w:w="3330" w:type="dxa"/>
            <w:hideMark/>
          </w:tcPr>
          <w:p w14:paraId="3052CA17" w14:textId="5D279210" w:rsidR="00B95F8E" w:rsidRPr="00A76B19" w:rsidRDefault="00B95F8E">
            <w:pPr>
              <w:rPr>
                <w:color w:val="1F1F1F"/>
                <w:sz w:val="16"/>
                <w:szCs w:val="16"/>
              </w:rPr>
            </w:pPr>
            <w:r w:rsidRPr="00A76B19">
              <w:rPr>
                <w:color w:val="1F1F1F"/>
                <w:sz w:val="16"/>
                <w:szCs w:val="16"/>
                <w:bdr w:val="none" w:sz="0" w:space="0" w:color="auto" w:frame="1"/>
              </w:rPr>
              <w:t xml:space="preserve">Mean = </w:t>
            </w:r>
            <w:r w:rsidRPr="00A76B19">
              <w:rPr>
                <w:b/>
                <w:bCs/>
                <w:color w:val="1F1F1F"/>
                <w:sz w:val="16"/>
                <w:szCs w:val="16"/>
                <w:bdr w:val="none" w:sz="0" w:space="0" w:color="auto" w:frame="1"/>
              </w:rPr>
              <w:t>14.47</w:t>
            </w:r>
            <w:r w:rsidRPr="00A76B19">
              <w:rPr>
                <w:color w:val="1F1F1F"/>
                <w:sz w:val="16"/>
                <w:szCs w:val="16"/>
                <w:bdr w:val="none" w:sz="0" w:space="0" w:color="auto" w:frame="1"/>
              </w:rPr>
              <w:t xml:space="preserve">; </w:t>
            </w:r>
            <w:r w:rsidR="006A7321">
              <w:rPr>
                <w:color w:val="1F1F1F"/>
                <w:sz w:val="16"/>
                <w:szCs w:val="16"/>
                <w:bdr w:val="none" w:sz="0" w:space="0" w:color="auto" w:frame="1"/>
              </w:rPr>
              <w:t>Coefficient of Variation (</w:t>
            </w:r>
            <w:r w:rsidRPr="00A76B19">
              <w:rPr>
                <w:color w:val="1F1F1F"/>
                <w:sz w:val="16"/>
                <w:szCs w:val="16"/>
                <w:bdr w:val="none" w:sz="0" w:space="0" w:color="auto" w:frame="1"/>
              </w:rPr>
              <w:t>CV</w:t>
            </w:r>
            <w:r w:rsidR="006A7321">
              <w:rPr>
                <w:color w:val="1F1F1F"/>
                <w:sz w:val="16"/>
                <w:szCs w:val="16"/>
                <w:bdr w:val="none" w:sz="0" w:space="0" w:color="auto" w:frame="1"/>
              </w:rPr>
              <w:t>)</w:t>
            </w:r>
            <w:r w:rsidRPr="00A76B19">
              <w:rPr>
                <w:color w:val="1F1F1F"/>
                <w:sz w:val="16"/>
                <w:szCs w:val="16"/>
                <w:bdr w:val="none" w:sz="0" w:space="0" w:color="auto" w:frame="1"/>
              </w:rPr>
              <w:t xml:space="preserve"> = </w:t>
            </w:r>
            <w:r w:rsidRPr="00A76B19">
              <w:rPr>
                <w:rStyle w:val="math-inline"/>
                <w:color w:val="1F1F1F"/>
                <w:sz w:val="16"/>
                <w:szCs w:val="16"/>
                <w:bdr w:val="none" w:sz="0" w:space="0" w:color="auto" w:frame="1"/>
              </w:rPr>
              <w:t>20%</w:t>
            </w:r>
            <w:r w:rsidRPr="00A76B19">
              <w:rPr>
                <w:color w:val="1F1F1F"/>
                <w:sz w:val="16"/>
                <w:szCs w:val="16"/>
                <w:bdr w:val="none" w:sz="0" w:space="0" w:color="auto" w:frame="1"/>
              </w:rPr>
              <w:t>; stochastic Gamma draw per simulation loop.</w:t>
            </w:r>
          </w:p>
        </w:tc>
        <w:tc>
          <w:tcPr>
            <w:tcW w:w="2340" w:type="dxa"/>
            <w:hideMark/>
          </w:tcPr>
          <w:p w14:paraId="731FA31A" w14:textId="51EC1A71" w:rsidR="00B95F8E" w:rsidRPr="00A76B19" w:rsidRDefault="00B95F8E">
            <w:pPr>
              <w:rPr>
                <w:color w:val="1F1F1F"/>
                <w:sz w:val="16"/>
                <w:szCs w:val="16"/>
              </w:rPr>
            </w:pPr>
            <w:proofErr w:type="spellStart"/>
            <w:r w:rsidRPr="00A76B19">
              <w:rPr>
                <w:color w:val="1F1F1F"/>
                <w:sz w:val="16"/>
                <w:szCs w:val="16"/>
                <w:bdr w:val="none" w:sz="0" w:space="0" w:color="auto" w:frame="1"/>
              </w:rPr>
              <w:t>Thalagala</w:t>
            </w:r>
            <w:proofErr w:type="spellEnd"/>
            <w:r w:rsidRPr="00A76B19">
              <w:rPr>
                <w:color w:val="1F1F1F"/>
                <w:sz w:val="16"/>
                <w:szCs w:val="16"/>
                <w:bdr w:val="none" w:sz="0" w:space="0" w:color="auto" w:frame="1"/>
              </w:rPr>
              <w:t xml:space="preserve"> et al. cost matrices; values local-currency adjusted and inflated to baseline</w:t>
            </w:r>
            <w:sdt>
              <w:sdtPr>
                <w:rPr>
                  <w:color w:val="1F1F1F"/>
                  <w:sz w:val="16"/>
                  <w:szCs w:val="16"/>
                  <w:bdr w:val="none" w:sz="0" w:space="0" w:color="auto" w:frame="1"/>
                  <w:vertAlign w:val="superscript"/>
                </w:rPr>
                <w:tag w:val="MENDELEY_CITATION_v3_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"/>
                <w:id w:val="-820035765"/>
                <w:placeholder>
                  <w:docPart w:val="DefaultPlaceholder_-1854013440"/>
                </w:placeholder>
              </w:sdtPr>
              <w:sdtContent>
                <w:r w:rsidR="00744149" w:rsidRPr="00744149">
                  <w:rPr>
                    <w:color w:val="1F1F1F"/>
                    <w:sz w:val="16"/>
                    <w:szCs w:val="16"/>
                    <w:bdr w:val="none" w:sz="0" w:space="0" w:color="auto" w:frame="1"/>
                    <w:vertAlign w:val="superscript"/>
                  </w:rPr>
                  <w:t>7</w:t>
                </w:r>
              </w:sdtContent>
            </w:sdt>
            <w:r w:rsidRPr="00A76B19">
              <w:rPr>
                <w:color w:val="1F1F1F"/>
                <w:sz w:val="16"/>
                <w:szCs w:val="16"/>
                <w:bdr w:val="none" w:sz="0" w:space="0" w:color="auto" w:frame="1"/>
              </w:rPr>
              <w:t>.</w:t>
            </w:r>
          </w:p>
        </w:tc>
      </w:tr>
      <w:tr w:rsidR="00B95F8E" w:rsidRPr="00A76B19" w14:paraId="483AECF6" w14:textId="77777777" w:rsidTr="00B95F8E">
        <w:tc>
          <w:tcPr>
            <w:tcW w:w="1255" w:type="dxa"/>
            <w:hideMark/>
          </w:tcPr>
          <w:p w14:paraId="4DE80450" w14:textId="77777777" w:rsidR="00B95F8E" w:rsidRPr="00A76B19" w:rsidRDefault="00B95F8E">
            <w:pPr>
              <w:rPr>
                <w:color w:val="1F1F1F"/>
                <w:sz w:val="16"/>
                <w:szCs w:val="16"/>
              </w:rPr>
            </w:pPr>
          </w:p>
        </w:tc>
        <w:tc>
          <w:tcPr>
            <w:tcW w:w="1800" w:type="dxa"/>
            <w:hideMark/>
          </w:tcPr>
          <w:p w14:paraId="58FA5491" w14:textId="77777777" w:rsidR="00B95F8E" w:rsidRPr="00A76B19" w:rsidRDefault="00B95F8E">
            <w:pPr>
              <w:rPr>
                <w:color w:val="1F1F1F"/>
                <w:sz w:val="16"/>
                <w:szCs w:val="16"/>
              </w:rPr>
            </w:pPr>
            <w:r w:rsidRPr="00A76B19">
              <w:rPr>
                <w:color w:val="1F1F1F"/>
                <w:sz w:val="16"/>
                <w:szCs w:val="16"/>
                <w:bdr w:val="none" w:sz="0" w:space="0" w:color="auto" w:frame="1"/>
              </w:rPr>
              <w:t>Pediatric General Ward Admission Cost</w:t>
            </w:r>
          </w:p>
        </w:tc>
        <w:tc>
          <w:tcPr>
            <w:tcW w:w="1620" w:type="dxa"/>
            <w:hideMark/>
          </w:tcPr>
          <w:p w14:paraId="168B20E9" w14:textId="77777777" w:rsidR="00B95F8E" w:rsidRPr="00A76B19" w:rsidRDefault="00B95F8E">
            <w:pPr>
              <w:rPr>
                <w:color w:val="1F1F1F"/>
                <w:sz w:val="16"/>
                <w:szCs w:val="16"/>
              </w:rPr>
            </w:pPr>
            <w:r w:rsidRPr="00A76B19">
              <w:rPr>
                <w:color w:val="1F1F1F"/>
                <w:sz w:val="16"/>
                <w:szCs w:val="16"/>
                <w:bdr w:val="none" w:sz="0" w:space="0" w:color="auto" w:frame="1"/>
              </w:rPr>
              <w:t>Gamma</w:t>
            </w:r>
          </w:p>
        </w:tc>
        <w:tc>
          <w:tcPr>
            <w:tcW w:w="3330" w:type="dxa"/>
            <w:hideMark/>
          </w:tcPr>
          <w:p w14:paraId="727A4323" w14:textId="65C96F6C" w:rsidR="00B95F8E" w:rsidRPr="00A76B19" w:rsidRDefault="00B95F8E">
            <w:pPr>
              <w:rPr>
                <w:color w:val="1F1F1F"/>
                <w:sz w:val="16"/>
                <w:szCs w:val="16"/>
              </w:rPr>
            </w:pPr>
            <w:r w:rsidRPr="00A76B19">
              <w:rPr>
                <w:color w:val="1F1F1F"/>
                <w:sz w:val="16"/>
                <w:szCs w:val="16"/>
                <w:bdr w:val="none" w:sz="0" w:space="0" w:color="auto" w:frame="1"/>
              </w:rPr>
              <w:t xml:space="preserve">Mean = </w:t>
            </w:r>
            <w:r w:rsidRPr="00A76B19">
              <w:rPr>
                <w:b/>
                <w:bCs/>
                <w:color w:val="1F1F1F"/>
                <w:sz w:val="16"/>
                <w:szCs w:val="16"/>
                <w:bdr w:val="none" w:sz="0" w:space="0" w:color="auto" w:frame="1"/>
              </w:rPr>
              <w:t>37.07</w:t>
            </w:r>
            <w:r w:rsidRPr="00A76B19">
              <w:rPr>
                <w:color w:val="1F1F1F"/>
                <w:sz w:val="16"/>
                <w:szCs w:val="16"/>
                <w:bdr w:val="none" w:sz="0" w:space="0" w:color="auto" w:frame="1"/>
              </w:rPr>
              <w:t xml:space="preserve">; CV = </w:t>
            </w:r>
            <w:r w:rsidRPr="00A76B19">
              <w:rPr>
                <w:rStyle w:val="math-inline"/>
                <w:color w:val="1F1F1F"/>
                <w:sz w:val="16"/>
                <w:szCs w:val="16"/>
                <w:bdr w:val="none" w:sz="0" w:space="0" w:color="auto" w:frame="1"/>
              </w:rPr>
              <w:t>20%</w:t>
            </w:r>
            <w:r w:rsidRPr="00A76B19">
              <w:rPr>
                <w:color w:val="1F1F1F"/>
                <w:sz w:val="16"/>
                <w:szCs w:val="16"/>
                <w:bdr w:val="none" w:sz="0" w:space="0" w:color="auto" w:frame="1"/>
              </w:rPr>
              <w:t>; stochastic Gamma draw per simulation loop.</w:t>
            </w:r>
          </w:p>
        </w:tc>
        <w:tc>
          <w:tcPr>
            <w:tcW w:w="2340" w:type="dxa"/>
            <w:hideMark/>
          </w:tcPr>
          <w:p w14:paraId="576E9445" w14:textId="0695C16C" w:rsidR="00B95F8E" w:rsidRPr="00A76B19" w:rsidRDefault="00B95F8E">
            <w:pPr>
              <w:rPr>
                <w:color w:val="1F1F1F"/>
                <w:sz w:val="16"/>
                <w:szCs w:val="16"/>
              </w:rPr>
            </w:pPr>
            <w:proofErr w:type="spellStart"/>
            <w:r w:rsidRPr="00A76B19">
              <w:rPr>
                <w:color w:val="1F1F1F"/>
                <w:sz w:val="16"/>
                <w:szCs w:val="16"/>
                <w:bdr w:val="none" w:sz="0" w:space="0" w:color="auto" w:frame="1"/>
              </w:rPr>
              <w:t>Thalagala</w:t>
            </w:r>
            <w:proofErr w:type="spellEnd"/>
            <w:r w:rsidRPr="00A76B19">
              <w:rPr>
                <w:color w:val="1F1F1F"/>
                <w:sz w:val="16"/>
                <w:szCs w:val="16"/>
                <w:bdr w:val="none" w:sz="0" w:space="0" w:color="auto" w:frame="1"/>
              </w:rPr>
              <w:t xml:space="preserve"> et al. macro-costing model; baseline localized LKR conversion</w:t>
            </w:r>
            <w:sdt>
              <w:sdtPr>
                <w:rPr>
                  <w:color w:val="1F1F1F"/>
                  <w:sz w:val="16"/>
                  <w:szCs w:val="16"/>
                  <w:bdr w:val="none" w:sz="0" w:space="0" w:color="auto" w:frame="1"/>
                  <w:vertAlign w:val="superscript"/>
                </w:rPr>
                <w:tag w:val="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"/>
                <w:id w:val="-525640420"/>
                <w:placeholder>
                  <w:docPart w:val="DefaultPlaceholder_-1854013440"/>
                </w:placeholder>
              </w:sdtPr>
              <w:sdtContent>
                <w:r w:rsidR="00744149" w:rsidRPr="00744149">
                  <w:rPr>
                    <w:color w:val="1F1F1F"/>
                    <w:sz w:val="16"/>
                    <w:szCs w:val="16"/>
                    <w:bdr w:val="none" w:sz="0" w:space="0" w:color="auto" w:frame="1"/>
                    <w:vertAlign w:val="superscript"/>
                  </w:rPr>
                  <w:t>7,8</w:t>
                </w:r>
              </w:sdtContent>
            </w:sdt>
            <w:r w:rsidRPr="00A76B19">
              <w:rPr>
                <w:color w:val="1F1F1F"/>
                <w:sz w:val="16"/>
                <w:szCs w:val="16"/>
                <w:bdr w:val="none" w:sz="0" w:space="0" w:color="auto" w:frame="1"/>
              </w:rPr>
              <w:t>.</w:t>
            </w:r>
          </w:p>
        </w:tc>
      </w:tr>
      <w:tr w:rsidR="00B95F8E" w:rsidRPr="00A76B19" w14:paraId="4681E287" w14:textId="77777777" w:rsidTr="00B95F8E">
        <w:tc>
          <w:tcPr>
            <w:tcW w:w="1255" w:type="dxa"/>
            <w:hideMark/>
          </w:tcPr>
          <w:p w14:paraId="17A187AA" w14:textId="77777777" w:rsidR="00B95F8E" w:rsidRPr="00A76B19" w:rsidRDefault="00B95F8E">
            <w:pPr>
              <w:rPr>
                <w:color w:val="1F1F1F"/>
                <w:sz w:val="16"/>
                <w:szCs w:val="16"/>
              </w:rPr>
            </w:pPr>
          </w:p>
        </w:tc>
        <w:tc>
          <w:tcPr>
            <w:tcW w:w="1800" w:type="dxa"/>
            <w:hideMark/>
          </w:tcPr>
          <w:p w14:paraId="2ADE469F" w14:textId="77777777" w:rsidR="00B95F8E" w:rsidRPr="00A76B19" w:rsidRDefault="00B95F8E">
            <w:pPr>
              <w:rPr>
                <w:color w:val="1F1F1F"/>
                <w:sz w:val="16"/>
                <w:szCs w:val="16"/>
              </w:rPr>
            </w:pPr>
            <w:r w:rsidRPr="00A76B19">
              <w:rPr>
                <w:color w:val="1F1F1F"/>
                <w:sz w:val="16"/>
                <w:szCs w:val="16"/>
                <w:bdr w:val="none" w:sz="0" w:space="0" w:color="auto" w:frame="1"/>
              </w:rPr>
              <w:t>Adult General Ward Admission Cost</w:t>
            </w:r>
          </w:p>
        </w:tc>
        <w:tc>
          <w:tcPr>
            <w:tcW w:w="1620" w:type="dxa"/>
            <w:hideMark/>
          </w:tcPr>
          <w:p w14:paraId="2C480EA4" w14:textId="77777777" w:rsidR="00B95F8E" w:rsidRPr="00A76B19" w:rsidRDefault="00B95F8E">
            <w:pPr>
              <w:rPr>
                <w:color w:val="1F1F1F"/>
                <w:sz w:val="16"/>
                <w:szCs w:val="16"/>
              </w:rPr>
            </w:pPr>
            <w:r w:rsidRPr="00A76B19">
              <w:rPr>
                <w:color w:val="1F1F1F"/>
                <w:sz w:val="16"/>
                <w:szCs w:val="16"/>
                <w:bdr w:val="none" w:sz="0" w:space="0" w:color="auto" w:frame="1"/>
              </w:rPr>
              <w:t>Gamma</w:t>
            </w:r>
          </w:p>
        </w:tc>
        <w:tc>
          <w:tcPr>
            <w:tcW w:w="3330" w:type="dxa"/>
            <w:hideMark/>
          </w:tcPr>
          <w:p w14:paraId="63666AFD" w14:textId="62289AC8" w:rsidR="00B95F8E" w:rsidRPr="00A76B19" w:rsidRDefault="00B95F8E">
            <w:pPr>
              <w:rPr>
                <w:color w:val="1F1F1F"/>
                <w:sz w:val="16"/>
                <w:szCs w:val="16"/>
              </w:rPr>
            </w:pPr>
            <w:r w:rsidRPr="00A76B19">
              <w:rPr>
                <w:color w:val="1F1F1F"/>
                <w:sz w:val="16"/>
                <w:szCs w:val="16"/>
                <w:bdr w:val="none" w:sz="0" w:space="0" w:color="auto" w:frame="1"/>
              </w:rPr>
              <w:t xml:space="preserve">Mean = </w:t>
            </w:r>
            <w:r w:rsidRPr="00A76B19">
              <w:rPr>
                <w:b/>
                <w:bCs/>
                <w:color w:val="1F1F1F"/>
                <w:sz w:val="16"/>
                <w:szCs w:val="16"/>
                <w:bdr w:val="none" w:sz="0" w:space="0" w:color="auto" w:frame="1"/>
              </w:rPr>
              <w:t>33.29</w:t>
            </w:r>
            <w:r w:rsidRPr="00A76B19">
              <w:rPr>
                <w:color w:val="1F1F1F"/>
                <w:sz w:val="16"/>
                <w:szCs w:val="16"/>
                <w:bdr w:val="none" w:sz="0" w:space="0" w:color="auto" w:frame="1"/>
              </w:rPr>
              <w:t xml:space="preserve">; CV = </w:t>
            </w:r>
            <w:r w:rsidRPr="00A76B19">
              <w:rPr>
                <w:rStyle w:val="math-inline"/>
                <w:color w:val="1F1F1F"/>
                <w:sz w:val="16"/>
                <w:szCs w:val="16"/>
                <w:bdr w:val="none" w:sz="0" w:space="0" w:color="auto" w:frame="1"/>
              </w:rPr>
              <w:t>20%</w:t>
            </w:r>
            <w:r w:rsidRPr="00A76B19">
              <w:rPr>
                <w:color w:val="1F1F1F"/>
                <w:sz w:val="16"/>
                <w:szCs w:val="16"/>
                <w:bdr w:val="none" w:sz="0" w:space="0" w:color="auto" w:frame="1"/>
              </w:rPr>
              <w:t>; stochastic Gamma draw per simulation loop.</w:t>
            </w:r>
          </w:p>
        </w:tc>
        <w:tc>
          <w:tcPr>
            <w:tcW w:w="2340" w:type="dxa"/>
            <w:hideMark/>
          </w:tcPr>
          <w:p w14:paraId="6B235BB3" w14:textId="7E69D94F" w:rsidR="00B95F8E" w:rsidRPr="00A76B19" w:rsidRDefault="00B95F8E">
            <w:pPr>
              <w:rPr>
                <w:color w:val="1F1F1F"/>
                <w:sz w:val="16"/>
                <w:szCs w:val="16"/>
              </w:rPr>
            </w:pPr>
            <w:proofErr w:type="spellStart"/>
            <w:r w:rsidRPr="00A76B19">
              <w:rPr>
                <w:color w:val="1F1F1F"/>
                <w:sz w:val="16"/>
                <w:szCs w:val="16"/>
                <w:bdr w:val="none" w:sz="0" w:space="0" w:color="auto" w:frame="1"/>
              </w:rPr>
              <w:t>Thalagala</w:t>
            </w:r>
            <w:proofErr w:type="spellEnd"/>
            <w:r w:rsidRPr="00A76B19">
              <w:rPr>
                <w:color w:val="1F1F1F"/>
                <w:sz w:val="16"/>
                <w:szCs w:val="16"/>
                <w:bdr w:val="none" w:sz="0" w:space="0" w:color="auto" w:frame="1"/>
              </w:rPr>
              <w:t xml:space="preserve"> et al. macro-costing model; baseline localized LKR conversion</w:t>
            </w:r>
            <w:sdt>
              <w:sdtPr>
                <w:rPr>
                  <w:color w:val="1F1F1F"/>
                  <w:sz w:val="16"/>
                  <w:szCs w:val="16"/>
                  <w:bdr w:val="none" w:sz="0" w:space="0" w:color="auto" w:frame="1"/>
                  <w:vertAlign w:val="superscript"/>
                </w:rPr>
                <w:tag w:val="MENDELEY_CITATION_v3_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"/>
                <w:id w:val="1813909097"/>
                <w:placeholder>
                  <w:docPart w:val="DefaultPlaceholder_-1854013440"/>
                </w:placeholder>
              </w:sdtPr>
              <w:sdtContent>
                <w:r w:rsidR="00744149" w:rsidRPr="00744149">
                  <w:rPr>
                    <w:color w:val="1F1F1F"/>
                    <w:sz w:val="16"/>
                    <w:szCs w:val="16"/>
                    <w:bdr w:val="none" w:sz="0" w:space="0" w:color="auto" w:frame="1"/>
                    <w:vertAlign w:val="superscript"/>
                  </w:rPr>
                  <w:t>7</w:t>
                </w:r>
              </w:sdtContent>
            </w:sdt>
            <w:r w:rsidRPr="00A76B19">
              <w:rPr>
                <w:color w:val="1F1F1F"/>
                <w:sz w:val="16"/>
                <w:szCs w:val="16"/>
                <w:bdr w:val="none" w:sz="0" w:space="0" w:color="auto" w:frame="1"/>
              </w:rPr>
              <w:t>.</w:t>
            </w:r>
          </w:p>
        </w:tc>
      </w:tr>
      <w:tr w:rsidR="00B95F8E" w:rsidRPr="00A76B19" w14:paraId="57B2539B" w14:textId="77777777" w:rsidTr="00B95F8E">
        <w:tc>
          <w:tcPr>
            <w:tcW w:w="1255" w:type="dxa"/>
            <w:hideMark/>
          </w:tcPr>
          <w:p w14:paraId="7FDC42A9" w14:textId="77777777" w:rsidR="00B95F8E" w:rsidRPr="00A76B19" w:rsidRDefault="00B95F8E">
            <w:pPr>
              <w:rPr>
                <w:color w:val="1F1F1F"/>
                <w:sz w:val="16"/>
                <w:szCs w:val="16"/>
              </w:rPr>
            </w:pPr>
          </w:p>
        </w:tc>
        <w:tc>
          <w:tcPr>
            <w:tcW w:w="1800" w:type="dxa"/>
            <w:hideMark/>
          </w:tcPr>
          <w:p w14:paraId="3FF643A2" w14:textId="77777777" w:rsidR="00B95F8E" w:rsidRPr="00A76B19" w:rsidRDefault="00B95F8E">
            <w:pPr>
              <w:rPr>
                <w:color w:val="1F1F1F"/>
                <w:sz w:val="16"/>
                <w:szCs w:val="16"/>
              </w:rPr>
            </w:pPr>
            <w:r w:rsidRPr="00A76B19">
              <w:rPr>
                <w:color w:val="1F1F1F"/>
                <w:sz w:val="16"/>
                <w:szCs w:val="16"/>
                <w:bdr w:val="none" w:sz="0" w:space="0" w:color="auto" w:frame="1"/>
              </w:rPr>
              <w:t>Pediatric ICU Management Cost</w:t>
            </w:r>
          </w:p>
        </w:tc>
        <w:tc>
          <w:tcPr>
            <w:tcW w:w="1620" w:type="dxa"/>
            <w:hideMark/>
          </w:tcPr>
          <w:p w14:paraId="658D6974" w14:textId="77777777" w:rsidR="00B95F8E" w:rsidRPr="00A76B19" w:rsidRDefault="00B95F8E">
            <w:pPr>
              <w:rPr>
                <w:color w:val="1F1F1F"/>
                <w:sz w:val="16"/>
                <w:szCs w:val="16"/>
              </w:rPr>
            </w:pPr>
            <w:r w:rsidRPr="00A76B19">
              <w:rPr>
                <w:color w:val="1F1F1F"/>
                <w:sz w:val="16"/>
                <w:szCs w:val="16"/>
                <w:bdr w:val="none" w:sz="0" w:space="0" w:color="auto" w:frame="1"/>
              </w:rPr>
              <w:t>Gamma</w:t>
            </w:r>
          </w:p>
        </w:tc>
        <w:tc>
          <w:tcPr>
            <w:tcW w:w="3330" w:type="dxa"/>
            <w:hideMark/>
          </w:tcPr>
          <w:p w14:paraId="7D136B8B" w14:textId="795C18BB" w:rsidR="00B95F8E" w:rsidRPr="00A76B19" w:rsidRDefault="00B95F8E">
            <w:pPr>
              <w:rPr>
                <w:color w:val="1F1F1F"/>
                <w:sz w:val="16"/>
                <w:szCs w:val="16"/>
              </w:rPr>
            </w:pPr>
            <w:r w:rsidRPr="00A76B19">
              <w:rPr>
                <w:color w:val="1F1F1F"/>
                <w:sz w:val="16"/>
                <w:szCs w:val="16"/>
                <w:bdr w:val="none" w:sz="0" w:space="0" w:color="auto" w:frame="1"/>
              </w:rPr>
              <w:t xml:space="preserve">Mean = </w:t>
            </w:r>
            <w:r w:rsidRPr="00A76B19">
              <w:rPr>
                <w:b/>
                <w:bCs/>
                <w:color w:val="1F1F1F"/>
                <w:sz w:val="16"/>
                <w:szCs w:val="16"/>
                <w:bdr w:val="none" w:sz="0" w:space="0" w:color="auto" w:frame="1"/>
              </w:rPr>
              <w:t>105.00</w:t>
            </w:r>
            <w:r w:rsidRPr="00A76B19">
              <w:rPr>
                <w:color w:val="1F1F1F"/>
                <w:sz w:val="16"/>
                <w:szCs w:val="16"/>
                <w:bdr w:val="none" w:sz="0" w:space="0" w:color="auto" w:frame="1"/>
              </w:rPr>
              <w:t xml:space="preserve">; CV = </w:t>
            </w:r>
            <w:r w:rsidRPr="00A76B19">
              <w:rPr>
                <w:rStyle w:val="math-inline"/>
                <w:color w:val="1F1F1F"/>
                <w:sz w:val="16"/>
                <w:szCs w:val="16"/>
                <w:bdr w:val="none" w:sz="0" w:space="0" w:color="auto" w:frame="1"/>
              </w:rPr>
              <w:t>20%</w:t>
            </w:r>
            <w:r w:rsidRPr="00A76B19">
              <w:rPr>
                <w:color w:val="1F1F1F"/>
                <w:sz w:val="16"/>
                <w:szCs w:val="16"/>
                <w:bdr w:val="none" w:sz="0" w:space="0" w:color="auto" w:frame="1"/>
              </w:rPr>
              <w:t>; stochastic Gamma draw per simulation loop.</w:t>
            </w:r>
          </w:p>
        </w:tc>
        <w:tc>
          <w:tcPr>
            <w:tcW w:w="2340" w:type="dxa"/>
            <w:hideMark/>
          </w:tcPr>
          <w:p w14:paraId="6D119C9E" w14:textId="18E8A974" w:rsidR="00B95F8E" w:rsidRPr="00A76B19" w:rsidRDefault="00B95F8E">
            <w:pPr>
              <w:rPr>
                <w:color w:val="1F1F1F"/>
                <w:sz w:val="16"/>
                <w:szCs w:val="16"/>
              </w:rPr>
            </w:pPr>
            <w:proofErr w:type="spellStart"/>
            <w:r w:rsidRPr="00A76B19">
              <w:rPr>
                <w:color w:val="1F1F1F"/>
                <w:sz w:val="16"/>
                <w:szCs w:val="16"/>
                <w:bdr w:val="none" w:sz="0" w:space="0" w:color="auto" w:frame="1"/>
              </w:rPr>
              <w:t>Thalagala</w:t>
            </w:r>
            <w:proofErr w:type="spellEnd"/>
            <w:r w:rsidRPr="00A76B19">
              <w:rPr>
                <w:color w:val="1F1F1F"/>
                <w:sz w:val="16"/>
                <w:szCs w:val="16"/>
                <w:bdr w:val="none" w:sz="0" w:space="0" w:color="auto" w:frame="1"/>
              </w:rPr>
              <w:t xml:space="preserve"> et al. macro-costing model; baseline localized LKR conversion</w:t>
            </w:r>
            <w:sdt>
              <w:sdtPr>
                <w:rPr>
                  <w:color w:val="1F1F1F"/>
                  <w:sz w:val="16"/>
                  <w:szCs w:val="16"/>
                  <w:bdr w:val="none" w:sz="0" w:space="0" w:color="auto" w:frame="1"/>
                  <w:vertAlign w:val="superscript"/>
                </w:rPr>
                <w:tag w:val="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"/>
                <w:id w:val="721023047"/>
                <w:placeholder>
                  <w:docPart w:val="DefaultPlaceholder_-1854013440"/>
                </w:placeholder>
              </w:sdtPr>
              <w:sdtContent>
                <w:r w:rsidR="00744149" w:rsidRPr="00744149">
                  <w:rPr>
                    <w:color w:val="1F1F1F"/>
                    <w:sz w:val="16"/>
                    <w:szCs w:val="16"/>
                    <w:bdr w:val="none" w:sz="0" w:space="0" w:color="auto" w:frame="1"/>
                    <w:vertAlign w:val="superscript"/>
                  </w:rPr>
                  <w:t>7,8</w:t>
                </w:r>
              </w:sdtContent>
            </w:sdt>
            <w:r w:rsidRPr="00A76B19">
              <w:rPr>
                <w:color w:val="1F1F1F"/>
                <w:sz w:val="16"/>
                <w:szCs w:val="16"/>
                <w:bdr w:val="none" w:sz="0" w:space="0" w:color="auto" w:frame="1"/>
              </w:rPr>
              <w:t>.</w:t>
            </w:r>
          </w:p>
        </w:tc>
      </w:tr>
      <w:tr w:rsidR="00B95F8E" w:rsidRPr="00A76B19" w14:paraId="3BF71ED6" w14:textId="77777777" w:rsidTr="00B95F8E">
        <w:tc>
          <w:tcPr>
            <w:tcW w:w="1255" w:type="dxa"/>
            <w:hideMark/>
          </w:tcPr>
          <w:p w14:paraId="6F3E4509" w14:textId="77777777" w:rsidR="00B95F8E" w:rsidRPr="00A76B19" w:rsidRDefault="00B95F8E">
            <w:pPr>
              <w:rPr>
                <w:color w:val="1F1F1F"/>
                <w:sz w:val="16"/>
                <w:szCs w:val="16"/>
              </w:rPr>
            </w:pPr>
          </w:p>
        </w:tc>
        <w:tc>
          <w:tcPr>
            <w:tcW w:w="1800" w:type="dxa"/>
            <w:hideMark/>
          </w:tcPr>
          <w:p w14:paraId="42EB6168" w14:textId="77777777" w:rsidR="00B95F8E" w:rsidRPr="00A76B19" w:rsidRDefault="00B95F8E">
            <w:pPr>
              <w:rPr>
                <w:color w:val="1F1F1F"/>
                <w:sz w:val="16"/>
                <w:szCs w:val="16"/>
              </w:rPr>
            </w:pPr>
            <w:r w:rsidRPr="00A76B19">
              <w:rPr>
                <w:color w:val="1F1F1F"/>
                <w:sz w:val="16"/>
                <w:szCs w:val="16"/>
                <w:bdr w:val="none" w:sz="0" w:space="0" w:color="auto" w:frame="1"/>
              </w:rPr>
              <w:t>Adult ICU Management Cost</w:t>
            </w:r>
          </w:p>
        </w:tc>
        <w:tc>
          <w:tcPr>
            <w:tcW w:w="1620" w:type="dxa"/>
            <w:hideMark/>
          </w:tcPr>
          <w:p w14:paraId="5B04A547" w14:textId="77777777" w:rsidR="00B95F8E" w:rsidRPr="00A76B19" w:rsidRDefault="00B95F8E">
            <w:pPr>
              <w:rPr>
                <w:color w:val="1F1F1F"/>
                <w:sz w:val="16"/>
                <w:szCs w:val="16"/>
              </w:rPr>
            </w:pPr>
            <w:r w:rsidRPr="00A76B19">
              <w:rPr>
                <w:color w:val="1F1F1F"/>
                <w:sz w:val="16"/>
                <w:szCs w:val="16"/>
                <w:bdr w:val="none" w:sz="0" w:space="0" w:color="auto" w:frame="1"/>
              </w:rPr>
              <w:t>Gamma</w:t>
            </w:r>
          </w:p>
        </w:tc>
        <w:tc>
          <w:tcPr>
            <w:tcW w:w="3330" w:type="dxa"/>
            <w:hideMark/>
          </w:tcPr>
          <w:p w14:paraId="5C456E1B" w14:textId="55E3D036" w:rsidR="00B95F8E" w:rsidRPr="00A76B19" w:rsidRDefault="00B95F8E">
            <w:pPr>
              <w:rPr>
                <w:color w:val="1F1F1F"/>
                <w:sz w:val="16"/>
                <w:szCs w:val="16"/>
              </w:rPr>
            </w:pPr>
            <w:r w:rsidRPr="00A76B19">
              <w:rPr>
                <w:color w:val="1F1F1F"/>
                <w:sz w:val="16"/>
                <w:szCs w:val="16"/>
                <w:bdr w:val="none" w:sz="0" w:space="0" w:color="auto" w:frame="1"/>
              </w:rPr>
              <w:t xml:space="preserve">Mean = </w:t>
            </w:r>
            <w:r w:rsidRPr="00A76B19">
              <w:rPr>
                <w:b/>
                <w:bCs/>
                <w:color w:val="1F1F1F"/>
                <w:sz w:val="16"/>
                <w:szCs w:val="16"/>
                <w:bdr w:val="none" w:sz="0" w:space="0" w:color="auto" w:frame="1"/>
              </w:rPr>
              <w:t>149.31</w:t>
            </w:r>
            <w:r w:rsidRPr="00A76B19">
              <w:rPr>
                <w:color w:val="1F1F1F"/>
                <w:sz w:val="16"/>
                <w:szCs w:val="16"/>
                <w:bdr w:val="none" w:sz="0" w:space="0" w:color="auto" w:frame="1"/>
              </w:rPr>
              <w:t>; CV =</w:t>
            </w:r>
            <w:r w:rsidRPr="00A76B19">
              <w:rPr>
                <w:rStyle w:val="math-inline"/>
                <w:color w:val="1F1F1F"/>
                <w:sz w:val="16"/>
                <w:szCs w:val="16"/>
                <w:bdr w:val="none" w:sz="0" w:space="0" w:color="auto" w:frame="1"/>
              </w:rPr>
              <w:t>20%</w:t>
            </w:r>
            <w:r w:rsidRPr="00A76B19">
              <w:rPr>
                <w:color w:val="1F1F1F"/>
                <w:sz w:val="16"/>
                <w:szCs w:val="16"/>
                <w:bdr w:val="none" w:sz="0" w:space="0" w:color="auto" w:frame="1"/>
              </w:rPr>
              <w:t>; stochastic Gamma draw per simulation loop.</w:t>
            </w:r>
          </w:p>
        </w:tc>
        <w:tc>
          <w:tcPr>
            <w:tcW w:w="2340" w:type="dxa"/>
            <w:hideMark/>
          </w:tcPr>
          <w:p w14:paraId="6E9DEF6D" w14:textId="3F1DFC80" w:rsidR="00B95F8E" w:rsidRPr="00A76B19" w:rsidRDefault="00B95F8E">
            <w:pPr>
              <w:rPr>
                <w:color w:val="1F1F1F"/>
                <w:sz w:val="16"/>
                <w:szCs w:val="16"/>
              </w:rPr>
            </w:pPr>
            <w:proofErr w:type="spellStart"/>
            <w:r w:rsidRPr="00A76B19">
              <w:rPr>
                <w:color w:val="1F1F1F"/>
                <w:sz w:val="16"/>
                <w:szCs w:val="16"/>
                <w:bdr w:val="none" w:sz="0" w:space="0" w:color="auto" w:frame="1"/>
              </w:rPr>
              <w:t>Thalagala</w:t>
            </w:r>
            <w:proofErr w:type="spellEnd"/>
            <w:r w:rsidRPr="00A76B19">
              <w:rPr>
                <w:color w:val="1F1F1F"/>
                <w:sz w:val="16"/>
                <w:szCs w:val="16"/>
                <w:bdr w:val="none" w:sz="0" w:space="0" w:color="auto" w:frame="1"/>
              </w:rPr>
              <w:t xml:space="preserve"> et al. macro-costing model; baseline localized LKR conversion</w:t>
            </w:r>
            <w:sdt>
              <w:sdtPr>
                <w:rPr>
                  <w:color w:val="1F1F1F"/>
                  <w:sz w:val="16"/>
                  <w:szCs w:val="16"/>
                  <w:bdr w:val="none" w:sz="0" w:space="0" w:color="auto" w:frame="1"/>
                  <w:vertAlign w:val="superscript"/>
                </w:rPr>
                <w:tag w:val="MENDELEY_CITATION_v3_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"/>
                <w:id w:val="844749793"/>
                <w:placeholder>
                  <w:docPart w:val="DefaultPlaceholder_-1854013440"/>
                </w:placeholder>
              </w:sdtPr>
              <w:sdtContent>
                <w:r w:rsidR="00744149" w:rsidRPr="00744149">
                  <w:rPr>
                    <w:color w:val="1F1F1F"/>
                    <w:sz w:val="16"/>
                    <w:szCs w:val="16"/>
                    <w:bdr w:val="none" w:sz="0" w:space="0" w:color="auto" w:frame="1"/>
                    <w:vertAlign w:val="superscript"/>
                  </w:rPr>
                  <w:t>7</w:t>
                </w:r>
              </w:sdtContent>
            </w:sdt>
            <w:r w:rsidRPr="00A76B19">
              <w:rPr>
                <w:color w:val="1F1F1F"/>
                <w:sz w:val="16"/>
                <w:szCs w:val="16"/>
                <w:bdr w:val="none" w:sz="0" w:space="0" w:color="auto" w:frame="1"/>
              </w:rPr>
              <w:t>.</w:t>
            </w:r>
          </w:p>
        </w:tc>
      </w:tr>
      <w:tr w:rsidR="00B95F8E" w:rsidRPr="00A76B19" w14:paraId="08EA0251" w14:textId="77777777" w:rsidTr="00B95F8E">
        <w:tc>
          <w:tcPr>
            <w:tcW w:w="1255" w:type="dxa"/>
            <w:hideMark/>
          </w:tcPr>
          <w:p w14:paraId="1266C359" w14:textId="77777777" w:rsidR="00B95F8E" w:rsidRPr="00A76B19" w:rsidRDefault="00B95F8E">
            <w:pPr>
              <w:rPr>
                <w:color w:val="1F1F1F"/>
                <w:sz w:val="16"/>
                <w:szCs w:val="16"/>
              </w:rPr>
            </w:pPr>
          </w:p>
        </w:tc>
        <w:tc>
          <w:tcPr>
            <w:tcW w:w="1800" w:type="dxa"/>
            <w:hideMark/>
          </w:tcPr>
          <w:p w14:paraId="0B60EB60" w14:textId="77777777" w:rsidR="00B95F8E" w:rsidRPr="00A76B19" w:rsidRDefault="00B95F8E">
            <w:pPr>
              <w:rPr>
                <w:color w:val="1F1F1F"/>
                <w:sz w:val="16"/>
                <w:szCs w:val="16"/>
              </w:rPr>
            </w:pPr>
            <w:r w:rsidRPr="00A76B19">
              <w:rPr>
                <w:color w:val="1F1F1F"/>
                <w:sz w:val="16"/>
                <w:szCs w:val="16"/>
                <w:bdr w:val="none" w:sz="0" w:space="0" w:color="auto" w:frame="1"/>
              </w:rPr>
              <w:t>National Preventive Vector Program Expenditure</w:t>
            </w:r>
          </w:p>
        </w:tc>
        <w:tc>
          <w:tcPr>
            <w:tcW w:w="1620" w:type="dxa"/>
            <w:hideMark/>
          </w:tcPr>
          <w:p w14:paraId="203284A3" w14:textId="0181A00F" w:rsidR="00B95F8E" w:rsidRPr="00A76B19" w:rsidRDefault="00803AB3">
            <w:pPr>
              <w:rPr>
                <w:color w:val="1F1F1F"/>
                <w:sz w:val="16"/>
                <w:szCs w:val="16"/>
              </w:rPr>
            </w:pPr>
            <w:r w:rsidRPr="00803AB3">
              <w:rPr>
                <w:color w:val="1F1F1F"/>
                <w:sz w:val="16"/>
                <w:szCs w:val="16"/>
                <w:bdr w:val="none" w:sz="0" w:space="0" w:color="auto" w:frame="1"/>
              </w:rPr>
              <w:t>Deterministic Structural Function</w:t>
            </w:r>
          </w:p>
        </w:tc>
        <w:tc>
          <w:tcPr>
            <w:tcW w:w="3330" w:type="dxa"/>
            <w:hideMark/>
          </w:tcPr>
          <w:p w14:paraId="7810F936" w14:textId="39D0EE64" w:rsidR="00803AB3" w:rsidRPr="00803AB3" w:rsidRDefault="00803AB3" w:rsidP="00803AB3">
            <w:pPr>
              <w:pStyle w:val="NormalWeb"/>
              <w:spacing w:before="0" w:beforeAutospacing="0"/>
              <w:rPr>
                <w:sz w:val="16"/>
                <w:szCs w:val="16"/>
              </w:rPr>
            </w:pPr>
            <w:r w:rsidRPr="00803AB3">
              <w:rPr>
                <w:sz w:val="16"/>
                <w:szCs w:val="16"/>
              </w:rPr>
              <w:t>Computed dynamically per iteration runtime matching the financial tiering matrix:</w:t>
            </w:r>
          </w:p>
          <w:p w14:paraId="6149CD69" w14:textId="5AD034A8" w:rsidR="00803AB3" w:rsidRPr="007836AE" w:rsidRDefault="00000000" w:rsidP="00803AB3">
            <w:pPr>
              <w:rPr>
                <w:sz w:val="16"/>
                <w:szCs w:val="16"/>
              </w:rPr>
            </w:pPr>
            <m:oMathPara>
              <m:oMath>
                <m:sSub>
                  <m:sSubPr>
                    <m:ctrlPr>
                      <w:rPr>
                        <w:rFonts w:ascii="Cambria Math" w:hAnsi="Cambria Math"/>
                        <w:sz w:val="15"/>
                        <w:szCs w:val="15"/>
                      </w:rPr>
                    </m:ctrlPr>
                  </m:sSubPr>
                  <m:e>
                    <m:r>
                      <m:rPr>
                        <m:nor/>
                      </m:rPr>
                      <w:rPr>
                        <w:sz w:val="15"/>
                        <w:szCs w:val="15"/>
                      </w:rPr>
                      <m:t>Program Cost</m:t>
                    </m:r>
                  </m:e>
                  <m:sub>
                    <m:r>
                      <m:rPr>
                        <m:nor/>
                      </m:rPr>
                      <w:rPr>
                        <w:sz w:val="15"/>
                        <w:szCs w:val="15"/>
                      </w:rPr>
                      <m:t>attrib</m:t>
                    </m:r>
                    <m:r>
                      <w:rPr>
                        <w:rFonts w:ascii="Cambria Math" w:hAnsi="Cambria Math"/>
                        <w:sz w:val="15"/>
                        <w:szCs w:val="15"/>
                      </w:rPr>
                      <m:t>,i,y</m:t>
                    </m:r>
                  </m:sub>
                </m:sSub>
                <m:r>
                  <w:rPr>
                    <w:rFonts w:ascii="Cambria Math" w:hAnsi="Cambria Math"/>
                    <w:sz w:val="15"/>
                    <w:szCs w:val="15"/>
                  </w:rPr>
                  <m:t>=</m:t>
                </m:r>
                <m:d>
                  <m:dPr>
                    <m:begChr m:val="["/>
                    <m:endChr m:val="]"/>
                    <m:ctrlPr>
                      <w:rPr>
                        <w:rFonts w:ascii="Cambria Math" w:hAnsi="Cambria Math"/>
                        <w:sz w:val="15"/>
                        <w:szCs w:val="15"/>
                      </w:rPr>
                    </m:ctrlPr>
                  </m:dPr>
                  <m:e>
                    <m:f>
                      <m:fPr>
                        <m:ctrlPr>
                          <w:rPr>
                            <w:rFonts w:ascii="Cambria Math" w:hAnsi="Cambria Math"/>
                            <w:sz w:val="15"/>
                            <w:szCs w:val="15"/>
                          </w:rPr>
                        </m:ctrlPr>
                      </m:fPr>
                      <m:num>
                        <m:sSub>
                          <m:sSubPr>
                            <m:ctrlPr>
                              <w:rPr>
                                <w:rFonts w:ascii="Cambria Math" w:hAnsi="Cambria Math"/>
                                <w:sz w:val="15"/>
                                <w:szCs w:val="15"/>
                              </w:rPr>
                            </m:ctrlPr>
                          </m:sSubPr>
                          <m:e>
                            <m:r>
                              <m:rPr>
                                <m:nor/>
                              </m:rPr>
                              <w:rPr>
                                <w:sz w:val="15"/>
                                <w:szCs w:val="15"/>
                              </w:rPr>
                              <m:t>Operational</m:t>
                            </m:r>
                          </m:e>
                          <m:sub>
                            <m:r>
                              <w:rPr>
                                <w:rFonts w:ascii="Cambria Math" w:hAnsi="Cambria Math"/>
                                <w:sz w:val="15"/>
                                <w:szCs w:val="15"/>
                              </w:rPr>
                              <m:t>y</m:t>
                            </m:r>
                          </m:sub>
                        </m:sSub>
                        <m:r>
                          <w:rPr>
                            <w:rFonts w:ascii="Cambria Math" w:hAnsi="Cambria Math"/>
                            <w:sz w:val="15"/>
                            <w:szCs w:val="15"/>
                          </w:rPr>
                          <m:t>+</m:t>
                        </m:r>
                        <m:sSub>
                          <m:sSubPr>
                            <m:ctrlPr>
                              <w:rPr>
                                <w:rFonts w:ascii="Cambria Math" w:hAnsi="Cambria Math"/>
                                <w:sz w:val="15"/>
                                <w:szCs w:val="15"/>
                              </w:rPr>
                            </m:ctrlPr>
                          </m:sSubPr>
                          <m:e>
                            <m:r>
                              <m:rPr>
                                <m:nor/>
                              </m:rPr>
                              <w:rPr>
                                <w:sz w:val="15"/>
                                <w:szCs w:val="15"/>
                              </w:rPr>
                              <m:t>Labor</m:t>
                            </m:r>
                          </m:e>
                          <m:sub>
                            <m:r>
                              <w:rPr>
                                <w:rFonts w:ascii="Cambria Math" w:hAnsi="Cambria Math"/>
                                <w:sz w:val="15"/>
                                <w:szCs w:val="15"/>
                              </w:rPr>
                              <m:t>y</m:t>
                            </m:r>
                          </m:sub>
                        </m:sSub>
                      </m:num>
                      <m:den>
                        <m:sSub>
                          <m:sSubPr>
                            <m:ctrlPr>
                              <w:rPr>
                                <w:rFonts w:ascii="Cambria Math" w:hAnsi="Cambria Math"/>
                                <w:sz w:val="15"/>
                                <w:szCs w:val="15"/>
                              </w:rPr>
                            </m:ctrlPr>
                          </m:sSubPr>
                          <m:e>
                            <m:r>
                              <m:rPr>
                                <m:nor/>
                              </m:rPr>
                              <w:rPr>
                                <w:sz w:val="15"/>
                                <w:szCs w:val="15"/>
                              </w:rPr>
                              <m:t>USD Rate</m:t>
                            </m:r>
                          </m:e>
                          <m:sub>
                            <m:r>
                              <w:rPr>
                                <w:rFonts w:ascii="Cambria Math" w:hAnsi="Cambria Math"/>
                                <w:sz w:val="15"/>
                                <w:szCs w:val="15"/>
                              </w:rPr>
                              <m:t>y</m:t>
                            </m:r>
                          </m:sub>
                        </m:sSub>
                      </m:den>
                    </m:f>
                  </m:e>
                </m:d>
                <m:r>
                  <w:rPr>
                    <w:rFonts w:ascii="Cambria Math" w:hAnsi="Cambria Math"/>
                    <w:sz w:val="15"/>
                    <w:szCs w:val="15"/>
                  </w:rPr>
                  <m:t>×</m:t>
                </m:r>
                <m:sSub>
                  <m:sSubPr>
                    <m:ctrlPr>
                      <w:rPr>
                        <w:rFonts w:ascii="Cambria Math" w:hAnsi="Cambria Math"/>
                        <w:sz w:val="15"/>
                        <w:szCs w:val="15"/>
                      </w:rPr>
                    </m:ctrlPr>
                  </m:sSubPr>
                  <m:e>
                    <m:bar>
                      <m:barPr>
                        <m:pos m:val="top"/>
                        <m:ctrlPr>
                          <w:rPr>
                            <w:rFonts w:ascii="Cambria Math" w:hAnsi="Cambria Math"/>
                            <w:sz w:val="15"/>
                            <w:szCs w:val="15"/>
                          </w:rPr>
                        </m:ctrlPr>
                      </m:barPr>
                      <m:e>
                        <m:r>
                          <w:rPr>
                            <w:rFonts w:ascii="Cambria Math" w:hAnsi="Cambria Math"/>
                            <w:sz w:val="15"/>
                            <w:szCs w:val="15"/>
                          </w:rPr>
                          <m:t>AF</m:t>
                        </m:r>
                      </m:e>
                    </m:bar>
                  </m:e>
                  <m:sub>
                    <m:r>
                      <w:rPr>
                        <w:rFonts w:ascii="Cambria Math" w:hAnsi="Cambria Math"/>
                        <w:sz w:val="15"/>
                        <w:szCs w:val="15"/>
                      </w:rPr>
                      <m:t>i,y</m:t>
                    </m:r>
                  </m:sub>
                </m:sSub>
                <m:r>
                  <m:rPr>
                    <m:sty m:val="p"/>
                  </m:rPr>
                  <w:rPr>
                    <w:sz w:val="16"/>
                    <w:szCs w:val="16"/>
                  </w:rPr>
                  <w:br/>
                </m:r>
              </m:oMath>
            </m:oMathPara>
            <w:r w:rsidR="00803AB3" w:rsidRPr="007836AE">
              <w:rPr>
                <w:sz w:val="16"/>
                <w:szCs w:val="16"/>
              </w:rPr>
              <w:t>Where components are structurally defined as:</w:t>
            </w:r>
          </w:p>
          <w:p w14:paraId="675A2FF3" w14:textId="0F9BC71F" w:rsidR="00803AB3" w:rsidRPr="007836AE" w:rsidRDefault="00803AB3" w:rsidP="00803AB3">
            <w:pPr>
              <w:rPr>
                <w:sz w:val="16"/>
                <w:szCs w:val="16"/>
              </w:rPr>
            </w:pPr>
          </w:p>
          <w:p w14:paraId="1BA45CA1" w14:textId="2B985FB1" w:rsidR="00803AB3" w:rsidRPr="007836AE" w:rsidRDefault="00000000" w:rsidP="00803AB3">
            <w:pPr>
              <w:rPr>
                <w:sz w:val="16"/>
                <w:szCs w:val="16"/>
              </w:rPr>
            </w:pPr>
            <m:oMathPara>
              <m:oMath>
                <m:sSub>
                  <m:sSubPr>
                    <m:ctrlPr>
                      <w:rPr>
                        <w:rFonts w:ascii="Cambria Math" w:hAnsi="Cambria Math"/>
                        <w:sz w:val="16"/>
                        <w:szCs w:val="16"/>
                      </w:rPr>
                    </m:ctrlPr>
                  </m:sSubPr>
                  <m:e>
                    <m:r>
                      <m:rPr>
                        <m:nor/>
                      </m:rPr>
                      <w:rPr>
                        <w:sz w:val="16"/>
                        <w:szCs w:val="16"/>
                      </w:rPr>
                      <m:t>Operational</m:t>
                    </m:r>
                  </m:e>
                  <m:sub>
                    <m:r>
                      <w:rPr>
                        <w:rFonts w:ascii="Cambria Math" w:hAnsi="Cambria Math"/>
                        <w:sz w:val="16"/>
                        <w:szCs w:val="16"/>
                      </w:rPr>
                      <m:t>y</m:t>
                    </m:r>
                  </m:sub>
                </m:sSub>
                <m:r>
                  <w:rPr>
                    <w:rFonts w:ascii="Cambria Math" w:hAnsi="Cambria Math"/>
                    <w:sz w:val="16"/>
                    <w:szCs w:val="16"/>
                  </w:rPr>
                  <m:t>=</m:t>
                </m:r>
                <m:sSub>
                  <m:sSubPr>
                    <m:ctrlPr>
                      <w:rPr>
                        <w:rFonts w:ascii="Cambria Math" w:hAnsi="Cambria Math"/>
                        <w:sz w:val="16"/>
                        <w:szCs w:val="16"/>
                      </w:rPr>
                    </m:ctrlPr>
                  </m:sSubPr>
                  <m:e>
                    <m:r>
                      <m:rPr>
                        <m:nor/>
                      </m:rPr>
                      <w:rPr>
                        <w:sz w:val="16"/>
                        <w:szCs w:val="16"/>
                      </w:rPr>
                      <m:t>Preventive</m:t>
                    </m:r>
                  </m:e>
                  <m:sub>
                    <m:r>
                      <w:rPr>
                        <w:rFonts w:ascii="Cambria Math" w:hAnsi="Cambria Math"/>
                        <w:sz w:val="16"/>
                        <w:szCs w:val="16"/>
                      </w:rPr>
                      <m:t>y</m:t>
                    </m:r>
                  </m:sub>
                </m:sSub>
                <m:r>
                  <w:rPr>
                    <w:rFonts w:ascii="Cambria Math" w:hAnsi="Cambria Math"/>
                    <w:sz w:val="16"/>
                    <w:szCs w:val="16"/>
                  </w:rPr>
                  <m:t>+</m:t>
                </m:r>
                <m:sSub>
                  <m:sSubPr>
                    <m:ctrlPr>
                      <w:rPr>
                        <w:rFonts w:ascii="Cambria Math" w:hAnsi="Cambria Math"/>
                        <w:sz w:val="16"/>
                        <w:szCs w:val="16"/>
                      </w:rPr>
                    </m:ctrlPr>
                  </m:sSubPr>
                  <m:e>
                    <m:r>
                      <m:rPr>
                        <m:nor/>
                      </m:rPr>
                      <w:rPr>
                        <w:sz w:val="16"/>
                        <w:szCs w:val="16"/>
                      </w:rPr>
                      <m:t>Review</m:t>
                    </m:r>
                  </m:e>
                  <m:sub>
                    <m:r>
                      <w:rPr>
                        <w:rFonts w:ascii="Cambria Math" w:hAnsi="Cambria Math"/>
                        <w:sz w:val="16"/>
                        <w:szCs w:val="16"/>
                      </w:rPr>
                      <m:t>y</m:t>
                    </m:r>
                  </m:sub>
                </m:sSub>
                <m:r>
                  <w:rPr>
                    <w:rFonts w:ascii="Cambria Math" w:hAnsi="Cambria Math"/>
                    <w:sz w:val="16"/>
                    <w:szCs w:val="16"/>
                  </w:rPr>
                  <m:t>+</m:t>
                </m:r>
                <m:d>
                  <m:dPr>
                    <m:ctrlPr>
                      <w:rPr>
                        <w:rFonts w:ascii="Cambria Math" w:hAnsi="Cambria Math"/>
                        <w:sz w:val="16"/>
                        <w:szCs w:val="16"/>
                      </w:rPr>
                    </m:ctrlPr>
                  </m:dPr>
                  <m:e>
                    <m:r>
                      <w:rPr>
                        <w:rFonts w:ascii="Cambria Math" w:hAnsi="Cambria Math"/>
                        <w:sz w:val="16"/>
                        <w:szCs w:val="16"/>
                      </w:rPr>
                      <m:t>0.75×</m:t>
                    </m:r>
                    <m:sSub>
                      <m:sSubPr>
                        <m:ctrlPr>
                          <w:rPr>
                            <w:rFonts w:ascii="Cambria Math" w:hAnsi="Cambria Math"/>
                            <w:sz w:val="16"/>
                            <w:szCs w:val="16"/>
                          </w:rPr>
                        </m:ctrlPr>
                      </m:sSubPr>
                      <m:e>
                        <m:r>
                          <m:rPr>
                            <m:nor/>
                          </m:rPr>
                          <w:rPr>
                            <w:sz w:val="16"/>
                            <w:szCs w:val="16"/>
                          </w:rPr>
                          <m:t>Admin</m:t>
                        </m:r>
                      </m:e>
                      <m:sub>
                        <m:r>
                          <w:rPr>
                            <w:rFonts w:ascii="Cambria Math" w:hAnsi="Cambria Math"/>
                            <w:sz w:val="16"/>
                            <w:szCs w:val="16"/>
                          </w:rPr>
                          <m:t>y</m:t>
                        </m:r>
                      </m:sub>
                    </m:sSub>
                  </m:e>
                </m:d>
              </m:oMath>
            </m:oMathPara>
          </w:p>
          <w:p w14:paraId="74D5BFB8" w14:textId="405B43D6" w:rsidR="00B95F8E" w:rsidRPr="00803AB3" w:rsidRDefault="00000000">
            <w:pPr>
              <w:rPr>
                <w:color w:val="1F1F1F"/>
                <w:sz w:val="16"/>
                <w:szCs w:val="16"/>
              </w:rPr>
            </w:pPr>
            <m:oMathPara>
              <m:oMath>
                <m:sSub>
                  <m:sSubPr>
                    <m:ctrlPr>
                      <w:rPr>
                        <w:rFonts w:ascii="Cambria Math" w:hAnsi="Cambria Math"/>
                        <w:sz w:val="16"/>
                        <w:szCs w:val="16"/>
                      </w:rPr>
                    </m:ctrlPr>
                  </m:sSubPr>
                  <m:e>
                    <m:r>
                      <m:rPr>
                        <m:nor/>
                      </m:rPr>
                      <w:rPr>
                        <w:sz w:val="16"/>
                        <w:szCs w:val="16"/>
                      </w:rPr>
                      <m:t>Labor</m:t>
                    </m:r>
                  </m:e>
                  <m:sub>
                    <m:r>
                      <w:rPr>
                        <w:rFonts w:ascii="Cambria Math" w:hAnsi="Cambria Math"/>
                        <w:sz w:val="16"/>
                        <w:szCs w:val="16"/>
                      </w:rPr>
                      <m:t>2024</m:t>
                    </m:r>
                  </m:sub>
                </m:sSub>
                <m:r>
                  <w:rPr>
                    <w:rFonts w:ascii="Cambria Math" w:hAnsi="Cambria Math"/>
                    <w:sz w:val="16"/>
                    <w:szCs w:val="16"/>
                  </w:rPr>
                  <m:t>=</m:t>
                </m:r>
                <m:r>
                  <m:rPr>
                    <m:nor/>
                  </m:rPr>
                  <w:rPr>
                    <w:sz w:val="16"/>
                    <w:szCs w:val="16"/>
                  </w:rPr>
                  <m:t>Entomologists </m:t>
                </m:r>
                <m:d>
                  <m:dPr>
                    <m:ctrlPr>
                      <w:rPr>
                        <w:rFonts w:ascii="Cambria Math" w:hAnsi="Cambria Math"/>
                        <w:sz w:val="16"/>
                        <w:szCs w:val="16"/>
                      </w:rPr>
                    </m:ctrlPr>
                  </m:dPr>
                  <m:e>
                    <m:r>
                      <w:rPr>
                        <w:rFonts w:ascii="Cambria Math" w:hAnsi="Cambria Math"/>
                        <w:sz w:val="16"/>
                        <w:szCs w:val="16"/>
                      </w:rPr>
                      <m:t>n=28</m:t>
                    </m:r>
                  </m:e>
                </m:d>
                <m:r>
                  <w:rPr>
                    <w:rFonts w:ascii="Cambria Math" w:hAnsi="Cambria Math"/>
                    <w:sz w:val="16"/>
                    <w:szCs w:val="16"/>
                  </w:rPr>
                  <m:t>+</m:t>
                </m:r>
                <m:r>
                  <m:rPr>
                    <m:nor/>
                  </m:rPr>
                  <w:rPr>
                    <w:sz w:val="16"/>
                    <w:szCs w:val="16"/>
                  </w:rPr>
                  <m:t>Officers </m:t>
                </m:r>
                <m:d>
                  <m:dPr>
                    <m:ctrlPr>
                      <w:rPr>
                        <w:rFonts w:ascii="Cambria Math" w:hAnsi="Cambria Math"/>
                        <w:sz w:val="16"/>
                        <w:szCs w:val="16"/>
                      </w:rPr>
                    </m:ctrlPr>
                  </m:dPr>
                  <m:e>
                    <m:r>
                      <w:rPr>
                        <w:rFonts w:ascii="Cambria Math" w:hAnsi="Cambria Math"/>
                        <w:sz w:val="16"/>
                        <w:szCs w:val="16"/>
                      </w:rPr>
                      <m:t>n=158</m:t>
                    </m:r>
                  </m:e>
                </m:d>
                <m:r>
                  <w:rPr>
                    <w:rFonts w:ascii="Cambria Math" w:hAnsi="Cambria Math"/>
                    <w:sz w:val="16"/>
                    <w:szCs w:val="16"/>
                  </w:rPr>
                  <m:t>+</m:t>
                </m:r>
                <m:r>
                  <m:rPr>
                    <m:nor/>
                  </m:rPr>
                  <w:rPr>
                    <w:sz w:val="16"/>
                    <w:szCs w:val="16"/>
                  </w:rPr>
                  <m:t>Field Assistants </m:t>
                </m:r>
                <m:d>
                  <m:dPr>
                    <m:ctrlPr>
                      <w:rPr>
                        <w:rFonts w:ascii="Cambria Math" w:hAnsi="Cambria Math"/>
                        <w:sz w:val="16"/>
                        <w:szCs w:val="16"/>
                      </w:rPr>
                    </m:ctrlPr>
                  </m:dPr>
                  <m:e>
                    <m:r>
                      <w:rPr>
                        <w:rFonts w:ascii="Cambria Math" w:hAnsi="Cambria Math"/>
                        <w:sz w:val="16"/>
                        <w:szCs w:val="16"/>
                      </w:rPr>
                      <m:t>n=667</m:t>
                    </m:r>
                  </m:e>
                </m:d>
              </m:oMath>
            </m:oMathPara>
          </w:p>
        </w:tc>
        <w:tc>
          <w:tcPr>
            <w:tcW w:w="2340" w:type="dxa"/>
            <w:hideMark/>
          </w:tcPr>
          <w:p w14:paraId="4728F273" w14:textId="31622FD7" w:rsidR="00B95F8E" w:rsidRPr="00A76B19" w:rsidRDefault="00803AB3">
            <w:pPr>
              <w:rPr>
                <w:color w:val="1F1F1F"/>
                <w:sz w:val="16"/>
                <w:szCs w:val="16"/>
              </w:rPr>
            </w:pPr>
            <w:r w:rsidRPr="00803AB3">
              <w:rPr>
                <w:color w:val="1F1F1F"/>
                <w:sz w:val="16"/>
                <w:szCs w:val="16"/>
                <w:bdr w:val="none" w:sz="0" w:space="0" w:color="auto" w:frame="1"/>
              </w:rPr>
              <w:t>Integrated Health-System Resource Costing Framework</w:t>
            </w:r>
            <w:sdt>
              <w:sdtPr>
                <w:rPr>
                  <w:color w:val="1F1F1F"/>
                  <w:sz w:val="16"/>
                  <w:szCs w:val="16"/>
                  <w:bdr w:val="none" w:sz="0" w:space="0" w:color="auto" w:frame="1"/>
                  <w:vertAlign w:val="superscript"/>
                </w:rPr>
                <w:tag w:val="MENDELEY_CITATION_v3_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"/>
                <w:id w:val="-934285160"/>
                <w:placeholder>
                  <w:docPart w:val="DefaultPlaceholder_-1854013440"/>
                </w:placeholder>
              </w:sdtPr>
              <w:sdtContent>
                <w:r w:rsidR="00744149" w:rsidRPr="00744149">
                  <w:rPr>
                    <w:color w:val="1F1F1F"/>
                    <w:sz w:val="16"/>
                    <w:szCs w:val="16"/>
                    <w:bdr w:val="none" w:sz="0" w:space="0" w:color="auto" w:frame="1"/>
                    <w:vertAlign w:val="superscript"/>
                  </w:rPr>
                  <w:t>9</w:t>
                </w:r>
              </w:sdtContent>
            </w:sdt>
            <w:r w:rsidRPr="00803AB3">
              <w:rPr>
                <w:color w:val="1F1F1F"/>
                <w:sz w:val="16"/>
                <w:szCs w:val="16"/>
                <w:bdr w:val="none" w:sz="0" w:space="0" w:color="auto" w:frame="1"/>
              </w:rPr>
              <w:t xml:space="preserve">. Base data extracted from the Ministry of Health National Dengue Control Unit Budget Registry </w:t>
            </w:r>
          </w:p>
        </w:tc>
      </w:tr>
      <w:tr w:rsidR="00B95F8E" w:rsidRPr="00A76B19" w14:paraId="65E30762" w14:textId="77777777" w:rsidTr="00B95F8E">
        <w:tc>
          <w:tcPr>
            <w:tcW w:w="1255" w:type="dxa"/>
            <w:hideMark/>
          </w:tcPr>
          <w:p w14:paraId="14679D6B" w14:textId="77777777" w:rsidR="00B95F8E" w:rsidRPr="00A76B19" w:rsidRDefault="00B95F8E">
            <w:pPr>
              <w:rPr>
                <w:color w:val="1F1F1F"/>
                <w:sz w:val="16"/>
                <w:szCs w:val="16"/>
              </w:rPr>
            </w:pPr>
            <w:r w:rsidRPr="00A76B19">
              <w:rPr>
                <w:b/>
                <w:bCs/>
                <w:color w:val="1F1F1F"/>
                <w:sz w:val="16"/>
                <w:szCs w:val="16"/>
                <w:bdr w:val="none" w:sz="0" w:space="0" w:color="auto" w:frame="1"/>
              </w:rPr>
              <w:t>Societal &amp; Macroeconomi</w:t>
            </w:r>
            <w:r w:rsidRPr="00A76B19">
              <w:rPr>
                <w:b/>
                <w:bCs/>
                <w:color w:val="1F1F1F"/>
                <w:sz w:val="16"/>
                <w:szCs w:val="16"/>
                <w:bdr w:val="none" w:sz="0" w:space="0" w:color="auto" w:frame="1"/>
              </w:rPr>
              <w:lastRenderedPageBreak/>
              <w:t>c Cost Parameters</w:t>
            </w:r>
          </w:p>
        </w:tc>
        <w:tc>
          <w:tcPr>
            <w:tcW w:w="1800" w:type="dxa"/>
            <w:hideMark/>
          </w:tcPr>
          <w:p w14:paraId="660EC9FE" w14:textId="582D123D" w:rsidR="00B95F8E" w:rsidRPr="00A76B19" w:rsidRDefault="00B95F8E">
            <w:pPr>
              <w:rPr>
                <w:color w:val="1F1F1F"/>
                <w:sz w:val="16"/>
                <w:szCs w:val="16"/>
              </w:rPr>
            </w:pPr>
            <w:r w:rsidRPr="00A76B19">
              <w:rPr>
                <w:color w:val="1F1F1F"/>
                <w:sz w:val="16"/>
                <w:szCs w:val="16"/>
                <w:bdr w:val="none" w:sz="0" w:space="0" w:color="auto" w:frame="1"/>
              </w:rPr>
              <w:lastRenderedPageBreak/>
              <w:t xml:space="preserve">Household Out-of-Pocket (OOP) </w:t>
            </w:r>
            <w:r w:rsidR="00B15133" w:rsidRPr="00A76B19">
              <w:rPr>
                <w:color w:val="1F1F1F"/>
                <w:sz w:val="16"/>
                <w:szCs w:val="16"/>
                <w:bdr w:val="none" w:sz="0" w:space="0" w:color="auto" w:frame="1"/>
              </w:rPr>
              <w:t>medical expenditure</w:t>
            </w:r>
          </w:p>
        </w:tc>
        <w:tc>
          <w:tcPr>
            <w:tcW w:w="1620" w:type="dxa"/>
            <w:hideMark/>
          </w:tcPr>
          <w:p w14:paraId="6067F0FC" w14:textId="77777777" w:rsidR="00B95F8E" w:rsidRPr="00A76B19" w:rsidRDefault="00B95F8E">
            <w:pPr>
              <w:rPr>
                <w:color w:val="1F1F1F"/>
                <w:sz w:val="16"/>
                <w:szCs w:val="16"/>
              </w:rPr>
            </w:pPr>
            <w:r w:rsidRPr="00A76B19">
              <w:rPr>
                <w:color w:val="1F1F1F"/>
                <w:sz w:val="16"/>
                <w:szCs w:val="16"/>
                <w:bdr w:val="none" w:sz="0" w:space="0" w:color="auto" w:frame="1"/>
              </w:rPr>
              <w:t>Lognormal</w:t>
            </w:r>
          </w:p>
        </w:tc>
        <w:tc>
          <w:tcPr>
            <w:tcW w:w="3330" w:type="dxa"/>
            <w:hideMark/>
          </w:tcPr>
          <w:p w14:paraId="7F7B0AE8" w14:textId="27CA2733" w:rsidR="00B95F8E" w:rsidRPr="00A76B19" w:rsidRDefault="00B95F8E" w:rsidP="00803AB3">
            <w:pPr>
              <w:pStyle w:val="NormalWeb"/>
              <w:spacing w:before="0" w:beforeAutospacing="0" w:after="0" w:afterAutospacing="0"/>
              <w:rPr>
                <w:color w:val="1F1F1F"/>
                <w:sz w:val="16"/>
                <w:szCs w:val="16"/>
              </w:rPr>
            </w:pPr>
            <w:r w:rsidRPr="00A76B19">
              <w:rPr>
                <w:color w:val="1F1F1F"/>
                <w:sz w:val="16"/>
                <w:szCs w:val="16"/>
              </w:rPr>
              <w:t xml:space="preserve">Mean = </w:t>
            </w:r>
            <w:r w:rsidRPr="00A76B19">
              <w:rPr>
                <w:b/>
                <w:bCs/>
                <w:color w:val="1F1F1F"/>
                <w:sz w:val="16"/>
                <w:szCs w:val="16"/>
                <w:bdr w:val="none" w:sz="0" w:space="0" w:color="auto" w:frame="1"/>
              </w:rPr>
              <w:t>23.63</w:t>
            </w:r>
            <w:r w:rsidRPr="00A76B19">
              <w:rPr>
                <w:color w:val="1F1F1F"/>
                <w:sz w:val="16"/>
                <w:szCs w:val="16"/>
              </w:rPr>
              <w:t>; Parameterized using log-scale transformations:</w:t>
            </w:r>
          </w:p>
          <w:p w14:paraId="2E5E643D" w14:textId="71B42A5D" w:rsidR="00B95F8E" w:rsidRPr="00A76B19" w:rsidRDefault="00000000">
            <w:pPr>
              <w:rPr>
                <w:color w:val="1F1F1F"/>
                <w:sz w:val="16"/>
                <w:szCs w:val="16"/>
              </w:rPr>
            </w:pPr>
            <m:oMathPara>
              <m:oMath>
                <m:sSub>
                  <m:sSubPr>
                    <m:ctrlPr>
                      <w:rPr>
                        <w:rFonts w:ascii="Cambria Math" w:hAnsi="Cambria Math"/>
                        <w:color w:val="1F1F1F"/>
                        <w:sz w:val="16"/>
                        <w:szCs w:val="16"/>
                      </w:rPr>
                    </m:ctrlPr>
                  </m:sSubPr>
                  <m:e>
                    <m:r>
                      <w:rPr>
                        <w:rFonts w:ascii="Cambria Math" w:hAnsi="Cambria Math"/>
                        <w:color w:val="1F1F1F"/>
                        <w:sz w:val="16"/>
                        <w:szCs w:val="16"/>
                      </w:rPr>
                      <m:t>μ</m:t>
                    </m:r>
                  </m:e>
                  <m:sub>
                    <m:r>
                      <m:rPr>
                        <m:nor/>
                      </m:rPr>
                      <w:rPr>
                        <w:color w:val="1F1F1F"/>
                        <w:sz w:val="16"/>
                        <w:szCs w:val="16"/>
                      </w:rPr>
                      <m:t>log</m:t>
                    </m:r>
                  </m:sub>
                </m:sSub>
                <m:r>
                  <w:rPr>
                    <w:rFonts w:ascii="Cambria Math" w:hAnsi="Cambria Math"/>
                    <w:color w:val="1F1F1F"/>
                    <w:sz w:val="16"/>
                    <w:szCs w:val="16"/>
                  </w:rPr>
                  <m:t>=2.87,</m:t>
                </m:r>
                <m:r>
                  <w:rPr>
                    <w:rFonts w:ascii="Cambria Math" w:hAnsi="Cambria Math"/>
                    <w:i/>
                    <w:color w:val="1F1F1F"/>
                    <w:sz w:val="16"/>
                    <w:szCs w:val="16"/>
                  </w:rPr>
                  <m:t> </m:t>
                </m:r>
                <m:sSub>
                  <m:sSubPr>
                    <m:ctrlPr>
                      <w:rPr>
                        <w:rFonts w:ascii="Cambria Math" w:hAnsi="Cambria Math"/>
                        <w:color w:val="1F1F1F"/>
                        <w:sz w:val="16"/>
                        <w:szCs w:val="16"/>
                      </w:rPr>
                    </m:ctrlPr>
                  </m:sSubPr>
                  <m:e>
                    <m:r>
                      <w:rPr>
                        <w:rFonts w:ascii="Cambria Math" w:hAnsi="Cambria Math"/>
                        <w:color w:val="1F1F1F"/>
                        <w:sz w:val="16"/>
                        <w:szCs w:val="16"/>
                      </w:rPr>
                      <m:t>σ</m:t>
                    </m:r>
                  </m:e>
                  <m:sub>
                    <m:r>
                      <m:rPr>
                        <m:nor/>
                      </m:rPr>
                      <w:rPr>
                        <w:color w:val="1F1F1F"/>
                        <w:sz w:val="16"/>
                        <w:szCs w:val="16"/>
                      </w:rPr>
                      <m:t>log</m:t>
                    </m:r>
                  </m:sub>
                </m:sSub>
                <m:r>
                  <w:rPr>
                    <w:rFonts w:ascii="Cambria Math" w:hAnsi="Cambria Math"/>
                    <w:color w:val="1F1F1F"/>
                    <w:sz w:val="16"/>
                    <w:szCs w:val="16"/>
                  </w:rPr>
                  <m:t>=0.73</m:t>
                </m:r>
              </m:oMath>
            </m:oMathPara>
          </w:p>
        </w:tc>
        <w:tc>
          <w:tcPr>
            <w:tcW w:w="2340" w:type="dxa"/>
            <w:hideMark/>
          </w:tcPr>
          <w:p w14:paraId="763838AC" w14:textId="661C152B" w:rsidR="00B95F8E" w:rsidRPr="00A76B19" w:rsidRDefault="00B95F8E">
            <w:pPr>
              <w:rPr>
                <w:color w:val="1F1F1F"/>
                <w:sz w:val="16"/>
                <w:szCs w:val="16"/>
              </w:rPr>
            </w:pPr>
            <w:r w:rsidRPr="00A76B19">
              <w:rPr>
                <w:color w:val="1F1F1F"/>
                <w:sz w:val="16"/>
                <w:szCs w:val="16"/>
                <w:bdr w:val="none" w:sz="0" w:space="0" w:color="auto" w:frame="1"/>
              </w:rPr>
              <w:t>Weerasinghe et al. household asset survey data; currency-adjusted</w:t>
            </w:r>
            <w:sdt>
              <w:sdtPr>
                <w:rPr>
                  <w:color w:val="1F1F1F"/>
                  <w:sz w:val="16"/>
                  <w:szCs w:val="16"/>
                  <w:bdr w:val="none" w:sz="0" w:space="0" w:color="auto" w:frame="1"/>
                  <w:vertAlign w:val="superscript"/>
                </w:rPr>
                <w:tag w:val="MENDELEY_CITATION_v3_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"/>
                <w:id w:val="1392614072"/>
                <w:placeholder>
                  <w:docPart w:val="DefaultPlaceholder_-1854013440"/>
                </w:placeholder>
              </w:sdtPr>
              <w:sdtContent>
                <w:r w:rsidR="00744149" w:rsidRPr="00744149">
                  <w:rPr>
                    <w:color w:val="1F1F1F"/>
                    <w:sz w:val="16"/>
                    <w:szCs w:val="16"/>
                    <w:bdr w:val="none" w:sz="0" w:space="0" w:color="auto" w:frame="1"/>
                    <w:vertAlign w:val="superscript"/>
                  </w:rPr>
                  <w:t>10</w:t>
                </w:r>
              </w:sdtContent>
            </w:sdt>
            <w:r w:rsidRPr="00A76B19">
              <w:rPr>
                <w:color w:val="1F1F1F"/>
                <w:sz w:val="16"/>
                <w:szCs w:val="16"/>
                <w:bdr w:val="none" w:sz="0" w:space="0" w:color="auto" w:frame="1"/>
              </w:rPr>
              <w:t>.</w:t>
            </w:r>
          </w:p>
        </w:tc>
      </w:tr>
      <w:tr w:rsidR="00B95F8E" w:rsidRPr="00A76B19" w14:paraId="061A65FE" w14:textId="77777777" w:rsidTr="00B95F8E">
        <w:tc>
          <w:tcPr>
            <w:tcW w:w="1255" w:type="dxa"/>
            <w:hideMark/>
          </w:tcPr>
          <w:p w14:paraId="519F1FD4" w14:textId="77777777" w:rsidR="00B95F8E" w:rsidRPr="00A76B19" w:rsidRDefault="00B95F8E">
            <w:pPr>
              <w:rPr>
                <w:color w:val="1F1F1F"/>
                <w:sz w:val="16"/>
                <w:szCs w:val="16"/>
              </w:rPr>
            </w:pPr>
          </w:p>
        </w:tc>
        <w:tc>
          <w:tcPr>
            <w:tcW w:w="1800" w:type="dxa"/>
            <w:hideMark/>
          </w:tcPr>
          <w:p w14:paraId="6094F110" w14:textId="707305CB" w:rsidR="00B95F8E" w:rsidRPr="00A76B19" w:rsidRDefault="00B95F8E">
            <w:pPr>
              <w:rPr>
                <w:color w:val="1F1F1F"/>
                <w:sz w:val="16"/>
                <w:szCs w:val="16"/>
              </w:rPr>
            </w:pPr>
            <w:r w:rsidRPr="00A76B19">
              <w:rPr>
                <w:color w:val="1F1F1F"/>
                <w:sz w:val="16"/>
                <w:szCs w:val="16"/>
                <w:bdr w:val="none" w:sz="0" w:space="0" w:color="auto" w:frame="1"/>
              </w:rPr>
              <w:t xml:space="preserve">Adult </w:t>
            </w:r>
            <w:r w:rsidR="00B15133" w:rsidRPr="00A76B19">
              <w:rPr>
                <w:color w:val="1F1F1F"/>
                <w:sz w:val="16"/>
                <w:szCs w:val="16"/>
                <w:bdr w:val="none" w:sz="0" w:space="0" w:color="auto" w:frame="1"/>
              </w:rPr>
              <w:t>direct productivity loss (absenteeism)</w:t>
            </w:r>
          </w:p>
        </w:tc>
        <w:tc>
          <w:tcPr>
            <w:tcW w:w="1620" w:type="dxa"/>
            <w:hideMark/>
          </w:tcPr>
          <w:p w14:paraId="4CF0E5FA" w14:textId="77777777" w:rsidR="00B95F8E" w:rsidRPr="00A76B19" w:rsidRDefault="00B95F8E">
            <w:pPr>
              <w:rPr>
                <w:color w:val="1F1F1F"/>
                <w:sz w:val="16"/>
                <w:szCs w:val="16"/>
              </w:rPr>
            </w:pPr>
            <w:r w:rsidRPr="00A76B19">
              <w:rPr>
                <w:color w:val="1F1F1F"/>
                <w:sz w:val="16"/>
                <w:szCs w:val="16"/>
                <w:bdr w:val="none" w:sz="0" w:space="0" w:color="auto" w:frame="1"/>
              </w:rPr>
              <w:t>Lognormal</w:t>
            </w:r>
          </w:p>
        </w:tc>
        <w:tc>
          <w:tcPr>
            <w:tcW w:w="3330" w:type="dxa"/>
            <w:hideMark/>
          </w:tcPr>
          <w:p w14:paraId="128D560B" w14:textId="28602D5F" w:rsidR="00B95F8E" w:rsidRPr="00A76B19" w:rsidRDefault="00B95F8E" w:rsidP="00803AB3">
            <w:pPr>
              <w:pStyle w:val="NormalWeb"/>
              <w:spacing w:before="0" w:beforeAutospacing="0" w:after="0" w:afterAutospacing="0"/>
              <w:rPr>
                <w:color w:val="1F1F1F"/>
                <w:sz w:val="16"/>
                <w:szCs w:val="16"/>
              </w:rPr>
            </w:pPr>
            <w:r w:rsidRPr="00A76B19">
              <w:rPr>
                <w:color w:val="1F1F1F"/>
                <w:sz w:val="16"/>
                <w:szCs w:val="16"/>
              </w:rPr>
              <w:t xml:space="preserve">Mean = </w:t>
            </w:r>
            <w:r w:rsidRPr="00A76B19">
              <w:rPr>
                <w:b/>
                <w:bCs/>
                <w:color w:val="1F1F1F"/>
                <w:sz w:val="16"/>
                <w:szCs w:val="16"/>
                <w:bdr w:val="none" w:sz="0" w:space="0" w:color="auto" w:frame="1"/>
              </w:rPr>
              <w:t>441.02</w:t>
            </w:r>
            <w:r w:rsidRPr="00A76B19">
              <w:rPr>
                <w:color w:val="1F1F1F"/>
                <w:sz w:val="16"/>
                <w:szCs w:val="16"/>
              </w:rPr>
              <w:t>; Parameterized using log-scale transformations:</w:t>
            </w:r>
          </w:p>
          <w:p w14:paraId="532A9765" w14:textId="220802CD" w:rsidR="00B95F8E" w:rsidRPr="00A76B19" w:rsidRDefault="00000000">
            <w:pPr>
              <w:rPr>
                <w:color w:val="1F1F1F"/>
                <w:sz w:val="16"/>
                <w:szCs w:val="16"/>
              </w:rPr>
            </w:pPr>
            <m:oMathPara>
              <m:oMath>
                <m:sSub>
                  <m:sSubPr>
                    <m:ctrlPr>
                      <w:rPr>
                        <w:rFonts w:ascii="Cambria Math" w:hAnsi="Cambria Math"/>
                        <w:color w:val="1F1F1F"/>
                        <w:sz w:val="16"/>
                        <w:szCs w:val="16"/>
                      </w:rPr>
                    </m:ctrlPr>
                  </m:sSubPr>
                  <m:e>
                    <m:r>
                      <w:rPr>
                        <w:rFonts w:ascii="Cambria Math" w:hAnsi="Cambria Math"/>
                        <w:color w:val="1F1F1F"/>
                        <w:sz w:val="16"/>
                        <w:szCs w:val="16"/>
                      </w:rPr>
                      <m:t>μ</m:t>
                    </m:r>
                  </m:e>
                  <m:sub>
                    <m:r>
                      <m:rPr>
                        <m:nor/>
                      </m:rPr>
                      <w:rPr>
                        <w:color w:val="1F1F1F"/>
                        <w:sz w:val="16"/>
                        <w:szCs w:val="16"/>
                      </w:rPr>
                      <m:t>log</m:t>
                    </m:r>
                  </m:sub>
                </m:sSub>
                <m:r>
                  <w:rPr>
                    <w:rFonts w:ascii="Cambria Math" w:hAnsi="Cambria Math"/>
                    <w:color w:val="1F1F1F"/>
                    <w:sz w:val="16"/>
                    <w:szCs w:val="16"/>
                  </w:rPr>
                  <m:t>=5.29,</m:t>
                </m:r>
                <m:r>
                  <w:rPr>
                    <w:rFonts w:ascii="Cambria Math" w:hAnsi="Cambria Math"/>
                    <w:i/>
                    <w:color w:val="1F1F1F"/>
                    <w:sz w:val="16"/>
                    <w:szCs w:val="16"/>
                  </w:rPr>
                  <m:t> </m:t>
                </m:r>
                <m:sSub>
                  <m:sSubPr>
                    <m:ctrlPr>
                      <w:rPr>
                        <w:rFonts w:ascii="Cambria Math" w:hAnsi="Cambria Math"/>
                        <w:color w:val="1F1F1F"/>
                        <w:sz w:val="16"/>
                        <w:szCs w:val="16"/>
                      </w:rPr>
                    </m:ctrlPr>
                  </m:sSubPr>
                  <m:e>
                    <m:r>
                      <w:rPr>
                        <w:rFonts w:ascii="Cambria Math" w:hAnsi="Cambria Math"/>
                        <w:color w:val="1F1F1F"/>
                        <w:sz w:val="16"/>
                        <w:szCs w:val="16"/>
                      </w:rPr>
                      <m:t>σ</m:t>
                    </m:r>
                  </m:e>
                  <m:sub>
                    <m:r>
                      <m:rPr>
                        <m:nor/>
                      </m:rPr>
                      <w:rPr>
                        <w:color w:val="1F1F1F"/>
                        <w:sz w:val="16"/>
                        <w:szCs w:val="16"/>
                      </w:rPr>
                      <m:t>log</m:t>
                    </m:r>
                  </m:sub>
                </m:sSub>
                <m:r>
                  <w:rPr>
                    <w:rFonts w:ascii="Cambria Math" w:hAnsi="Cambria Math"/>
                    <w:color w:val="1F1F1F"/>
                    <w:sz w:val="16"/>
                    <w:szCs w:val="16"/>
                  </w:rPr>
                  <m:t>=1.25</m:t>
                </m:r>
              </m:oMath>
            </m:oMathPara>
          </w:p>
        </w:tc>
        <w:tc>
          <w:tcPr>
            <w:tcW w:w="2340" w:type="dxa"/>
            <w:hideMark/>
          </w:tcPr>
          <w:p w14:paraId="23FEEEC3" w14:textId="18D5BB70" w:rsidR="00B95F8E" w:rsidRPr="00A76B19" w:rsidRDefault="00B95F8E">
            <w:pPr>
              <w:rPr>
                <w:color w:val="1F1F1F"/>
                <w:sz w:val="16"/>
                <w:szCs w:val="16"/>
              </w:rPr>
            </w:pPr>
            <w:r w:rsidRPr="00A76B19">
              <w:rPr>
                <w:color w:val="1F1F1F"/>
                <w:sz w:val="16"/>
                <w:szCs w:val="16"/>
                <w:bdr w:val="none" w:sz="0" w:space="0" w:color="auto" w:frame="1"/>
              </w:rPr>
              <w:t>Weerasinghe et al. household asset survey data; currency-adjusted</w:t>
            </w:r>
            <w:sdt>
              <w:sdtPr>
                <w:rPr>
                  <w:color w:val="1F1F1F"/>
                  <w:sz w:val="16"/>
                  <w:szCs w:val="16"/>
                  <w:bdr w:val="none" w:sz="0" w:space="0" w:color="auto" w:frame="1"/>
                  <w:vertAlign w:val="superscript"/>
                </w:rPr>
                <w:tag w:val="MENDELEY_CITATION_v3_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"/>
                <w:id w:val="520740260"/>
                <w:placeholder>
                  <w:docPart w:val="DefaultPlaceholder_-1854013440"/>
                </w:placeholder>
              </w:sdtPr>
              <w:sdtContent>
                <w:r w:rsidR="00744149" w:rsidRPr="00744149">
                  <w:rPr>
                    <w:color w:val="1F1F1F"/>
                    <w:sz w:val="16"/>
                    <w:szCs w:val="16"/>
                    <w:bdr w:val="none" w:sz="0" w:space="0" w:color="auto" w:frame="1"/>
                    <w:vertAlign w:val="superscript"/>
                  </w:rPr>
                  <w:t>10</w:t>
                </w:r>
              </w:sdtContent>
            </w:sdt>
            <w:r w:rsidRPr="00A76B19">
              <w:rPr>
                <w:color w:val="1F1F1F"/>
                <w:sz w:val="16"/>
                <w:szCs w:val="16"/>
                <w:bdr w:val="none" w:sz="0" w:space="0" w:color="auto" w:frame="1"/>
              </w:rPr>
              <w:t>.</w:t>
            </w:r>
          </w:p>
        </w:tc>
      </w:tr>
      <w:tr w:rsidR="00B95F8E" w:rsidRPr="00A76B19" w14:paraId="635639B9" w14:textId="77777777" w:rsidTr="00B95F8E">
        <w:tc>
          <w:tcPr>
            <w:tcW w:w="1255" w:type="dxa"/>
            <w:hideMark/>
          </w:tcPr>
          <w:p w14:paraId="3DC768C3" w14:textId="77777777" w:rsidR="00B95F8E" w:rsidRPr="00A76B19" w:rsidRDefault="00B95F8E">
            <w:pPr>
              <w:rPr>
                <w:color w:val="1F1F1F"/>
                <w:sz w:val="16"/>
                <w:szCs w:val="16"/>
              </w:rPr>
            </w:pPr>
          </w:p>
        </w:tc>
        <w:tc>
          <w:tcPr>
            <w:tcW w:w="1800" w:type="dxa"/>
            <w:hideMark/>
          </w:tcPr>
          <w:p w14:paraId="260AD01E" w14:textId="0575AC1C" w:rsidR="00B95F8E" w:rsidRPr="00A76B19" w:rsidRDefault="00B95F8E">
            <w:pPr>
              <w:rPr>
                <w:color w:val="1F1F1F"/>
                <w:sz w:val="16"/>
                <w:szCs w:val="16"/>
              </w:rPr>
            </w:pPr>
            <w:r w:rsidRPr="00A76B19">
              <w:rPr>
                <w:color w:val="1F1F1F"/>
                <w:sz w:val="16"/>
                <w:szCs w:val="16"/>
                <w:bdr w:val="none" w:sz="0" w:space="0" w:color="auto" w:frame="1"/>
              </w:rPr>
              <w:t xml:space="preserve">Pediatric </w:t>
            </w:r>
            <w:r w:rsidR="00B15133" w:rsidRPr="00A76B19">
              <w:rPr>
                <w:color w:val="1F1F1F"/>
                <w:sz w:val="16"/>
                <w:szCs w:val="16"/>
                <w:bdr w:val="none" w:sz="0" w:space="0" w:color="auto" w:frame="1"/>
              </w:rPr>
              <w:t>caregiver indirect cost</w:t>
            </w:r>
          </w:p>
        </w:tc>
        <w:tc>
          <w:tcPr>
            <w:tcW w:w="1620" w:type="dxa"/>
            <w:hideMark/>
          </w:tcPr>
          <w:p w14:paraId="07DEC91F" w14:textId="77777777" w:rsidR="00B95F8E" w:rsidRPr="00A76B19" w:rsidRDefault="00B95F8E">
            <w:pPr>
              <w:rPr>
                <w:color w:val="1F1F1F"/>
                <w:sz w:val="16"/>
                <w:szCs w:val="16"/>
              </w:rPr>
            </w:pPr>
            <w:r w:rsidRPr="00A76B19">
              <w:rPr>
                <w:color w:val="1F1F1F"/>
                <w:sz w:val="16"/>
                <w:szCs w:val="16"/>
                <w:bdr w:val="none" w:sz="0" w:space="0" w:color="auto" w:frame="1"/>
              </w:rPr>
              <w:t>Uniform</w:t>
            </w:r>
          </w:p>
        </w:tc>
        <w:tc>
          <w:tcPr>
            <w:tcW w:w="3330" w:type="dxa"/>
            <w:hideMark/>
          </w:tcPr>
          <w:p w14:paraId="08D662E9" w14:textId="3B97EEFE" w:rsidR="00B95F8E" w:rsidRPr="00A76B19" w:rsidRDefault="00B95F8E">
            <w:pPr>
              <w:rPr>
                <w:color w:val="1F1F1F"/>
                <w:sz w:val="16"/>
                <w:szCs w:val="16"/>
              </w:rPr>
            </w:pPr>
            <w:r w:rsidRPr="00A76B19">
              <w:rPr>
                <w:color w:val="1F1F1F"/>
                <w:sz w:val="16"/>
                <w:szCs w:val="16"/>
                <w:bdr w:val="none" w:sz="0" w:space="0" w:color="auto" w:frame="1"/>
              </w:rPr>
              <w:t xml:space="preserve">Minimum bound = </w:t>
            </w:r>
            <w:r w:rsidRPr="00A76B19">
              <w:rPr>
                <w:b/>
                <w:bCs/>
                <w:color w:val="1F1F1F"/>
                <w:sz w:val="16"/>
                <w:szCs w:val="16"/>
                <w:bdr w:val="none" w:sz="0" w:space="0" w:color="auto" w:frame="1"/>
              </w:rPr>
              <w:t>15.00</w:t>
            </w:r>
            <w:r w:rsidRPr="00A76B19">
              <w:rPr>
                <w:color w:val="1F1F1F"/>
                <w:sz w:val="16"/>
                <w:szCs w:val="16"/>
                <w:bdr w:val="none" w:sz="0" w:space="0" w:color="auto" w:frame="1"/>
              </w:rPr>
              <w:t xml:space="preserve">; Maximum bound = </w:t>
            </w:r>
            <w:r w:rsidRPr="00A76B19">
              <w:rPr>
                <w:b/>
                <w:bCs/>
                <w:color w:val="1F1F1F"/>
                <w:sz w:val="16"/>
                <w:szCs w:val="16"/>
                <w:bdr w:val="none" w:sz="0" w:space="0" w:color="auto" w:frame="1"/>
              </w:rPr>
              <w:t>33.00</w:t>
            </w:r>
          </w:p>
        </w:tc>
        <w:tc>
          <w:tcPr>
            <w:tcW w:w="2340" w:type="dxa"/>
            <w:hideMark/>
          </w:tcPr>
          <w:p w14:paraId="239D4469" w14:textId="0B8C105E" w:rsidR="00B95F8E" w:rsidRPr="00A76B19" w:rsidRDefault="00B95F8E">
            <w:pPr>
              <w:rPr>
                <w:color w:val="1F1F1F"/>
                <w:sz w:val="16"/>
                <w:szCs w:val="16"/>
              </w:rPr>
            </w:pPr>
            <w:r w:rsidRPr="00A76B19">
              <w:rPr>
                <w:color w:val="1F1F1F"/>
                <w:sz w:val="16"/>
                <w:szCs w:val="16"/>
                <w:bdr w:val="none" w:sz="0" w:space="0" w:color="auto" w:frame="1"/>
              </w:rPr>
              <w:t>Wickramasinghe et al. caregiver time-valuation profiles</w:t>
            </w:r>
            <w:sdt>
              <w:sdtPr>
                <w:rPr>
                  <w:color w:val="1F1F1F"/>
                  <w:sz w:val="16"/>
                  <w:szCs w:val="16"/>
                  <w:bdr w:val="none" w:sz="0" w:space="0" w:color="auto" w:frame="1"/>
                  <w:vertAlign w:val="superscript"/>
                </w:rPr>
                <w:tag w:val="MENDELEY_CITATION_v3_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"/>
                <w:id w:val="489989892"/>
                <w:placeholder>
                  <w:docPart w:val="DefaultPlaceholder_-1854013440"/>
                </w:placeholder>
              </w:sdtPr>
              <w:sdtContent>
                <w:r w:rsidR="00744149" w:rsidRPr="00744149">
                  <w:rPr>
                    <w:color w:val="1F1F1F"/>
                    <w:sz w:val="16"/>
                    <w:szCs w:val="16"/>
                    <w:bdr w:val="none" w:sz="0" w:space="0" w:color="auto" w:frame="1"/>
                    <w:vertAlign w:val="superscript"/>
                  </w:rPr>
                  <w:t>11</w:t>
                </w:r>
              </w:sdtContent>
            </w:sdt>
            <w:r w:rsidRPr="00A76B19">
              <w:rPr>
                <w:color w:val="1F1F1F"/>
                <w:sz w:val="16"/>
                <w:szCs w:val="16"/>
                <w:bdr w:val="none" w:sz="0" w:space="0" w:color="auto" w:frame="1"/>
              </w:rPr>
              <w:t>.</w:t>
            </w:r>
          </w:p>
        </w:tc>
      </w:tr>
      <w:tr w:rsidR="00B95F8E" w:rsidRPr="00A76B19" w14:paraId="53FC3B5D" w14:textId="77777777" w:rsidTr="00B95F8E">
        <w:tc>
          <w:tcPr>
            <w:tcW w:w="1255" w:type="dxa"/>
            <w:hideMark/>
          </w:tcPr>
          <w:p w14:paraId="7DF15647" w14:textId="77777777" w:rsidR="00B95F8E" w:rsidRPr="00A76B19" w:rsidRDefault="00B95F8E">
            <w:pPr>
              <w:rPr>
                <w:color w:val="1F1F1F"/>
                <w:sz w:val="16"/>
                <w:szCs w:val="16"/>
              </w:rPr>
            </w:pPr>
          </w:p>
        </w:tc>
        <w:tc>
          <w:tcPr>
            <w:tcW w:w="1800" w:type="dxa"/>
            <w:hideMark/>
          </w:tcPr>
          <w:p w14:paraId="2E87ED76" w14:textId="79A91854" w:rsidR="00B95F8E" w:rsidRPr="00A76B19" w:rsidRDefault="00B95F8E">
            <w:pPr>
              <w:rPr>
                <w:color w:val="1F1F1F"/>
                <w:sz w:val="16"/>
                <w:szCs w:val="16"/>
              </w:rPr>
            </w:pPr>
            <w:r w:rsidRPr="00A76B19">
              <w:rPr>
                <w:color w:val="1F1F1F"/>
                <w:sz w:val="16"/>
                <w:szCs w:val="16"/>
                <w:bdr w:val="none" w:sz="0" w:space="0" w:color="auto" w:frame="1"/>
              </w:rPr>
              <w:t xml:space="preserve">Annual </w:t>
            </w:r>
            <w:r w:rsidR="00B15133">
              <w:rPr>
                <w:color w:val="1F1F1F"/>
                <w:sz w:val="16"/>
                <w:szCs w:val="16"/>
                <w:bdr w:val="none" w:sz="0" w:space="0" w:color="auto" w:frame="1"/>
              </w:rPr>
              <w:t>m</w:t>
            </w:r>
            <w:r w:rsidRPr="00A76B19">
              <w:rPr>
                <w:color w:val="1F1F1F"/>
                <w:sz w:val="16"/>
                <w:szCs w:val="16"/>
                <w:bdr w:val="none" w:sz="0" w:space="0" w:color="auto" w:frame="1"/>
              </w:rPr>
              <w:t xml:space="preserve">acroeconomic </w:t>
            </w:r>
            <w:r w:rsidR="00B15133">
              <w:rPr>
                <w:color w:val="1F1F1F"/>
                <w:sz w:val="16"/>
                <w:szCs w:val="16"/>
                <w:bdr w:val="none" w:sz="0" w:space="0" w:color="auto" w:frame="1"/>
              </w:rPr>
              <w:t>p</w:t>
            </w:r>
            <w:r w:rsidRPr="00A76B19">
              <w:rPr>
                <w:color w:val="1F1F1F"/>
                <w:sz w:val="16"/>
                <w:szCs w:val="16"/>
                <w:bdr w:val="none" w:sz="0" w:space="0" w:color="auto" w:frame="1"/>
              </w:rPr>
              <w:t xml:space="preserve">roduct </w:t>
            </w:r>
            <w:r w:rsidR="00B15133">
              <w:rPr>
                <w:color w:val="1F1F1F"/>
                <w:sz w:val="16"/>
                <w:szCs w:val="16"/>
                <w:bdr w:val="none" w:sz="0" w:space="0" w:color="auto" w:frame="1"/>
              </w:rPr>
              <w:t>distribution</w:t>
            </w:r>
          </w:p>
        </w:tc>
        <w:tc>
          <w:tcPr>
            <w:tcW w:w="1620" w:type="dxa"/>
            <w:hideMark/>
          </w:tcPr>
          <w:p w14:paraId="2FAD9186" w14:textId="77777777" w:rsidR="00B95F8E" w:rsidRPr="00A76B19" w:rsidRDefault="00B95F8E">
            <w:pPr>
              <w:rPr>
                <w:color w:val="1F1F1F"/>
                <w:sz w:val="16"/>
                <w:szCs w:val="16"/>
              </w:rPr>
            </w:pPr>
            <w:r w:rsidRPr="00A76B19">
              <w:rPr>
                <w:color w:val="1F1F1F"/>
                <w:sz w:val="16"/>
                <w:szCs w:val="16"/>
                <w:bdr w:val="none" w:sz="0" w:space="0" w:color="auto" w:frame="1"/>
              </w:rPr>
              <w:t>Gamma</w:t>
            </w:r>
          </w:p>
        </w:tc>
        <w:tc>
          <w:tcPr>
            <w:tcW w:w="3330" w:type="dxa"/>
            <w:hideMark/>
          </w:tcPr>
          <w:p w14:paraId="192CCC9B" w14:textId="4226239D" w:rsidR="00B95F8E" w:rsidRPr="00A76B19" w:rsidRDefault="00B95F8E" w:rsidP="00803AB3">
            <w:pPr>
              <w:pStyle w:val="NormalWeb"/>
              <w:spacing w:before="0" w:beforeAutospacing="0" w:after="0" w:afterAutospacing="0"/>
              <w:rPr>
                <w:color w:val="1F1F1F"/>
                <w:sz w:val="16"/>
                <w:szCs w:val="16"/>
              </w:rPr>
            </w:pPr>
            <w:r w:rsidRPr="00A76B19">
              <w:rPr>
                <w:color w:val="1F1F1F"/>
                <w:sz w:val="16"/>
                <w:szCs w:val="16"/>
              </w:rPr>
              <w:t>Year-specific Gross Domestic Product (GDP) per capita:</w:t>
            </w:r>
          </w:p>
          <w:p w14:paraId="5A8F6EC3" w14:textId="4C3122D0" w:rsidR="00B95F8E" w:rsidRPr="00A76B19" w:rsidRDefault="00B95F8E" w:rsidP="00803AB3">
            <w:pPr>
              <w:pStyle w:val="NormalWeb"/>
              <w:spacing w:before="0" w:beforeAutospacing="0" w:after="0" w:afterAutospacing="0"/>
              <w:rPr>
                <w:color w:val="1F1F1F"/>
                <w:sz w:val="16"/>
                <w:szCs w:val="16"/>
              </w:rPr>
            </w:pPr>
            <w:r w:rsidRPr="00A76B19">
              <w:rPr>
                <w:color w:val="1F1F1F"/>
                <w:sz w:val="16"/>
                <w:szCs w:val="16"/>
              </w:rPr>
              <w:t xml:space="preserve">2024 Baseline Mean = </w:t>
            </w:r>
            <w:r w:rsidRPr="00A76B19">
              <w:rPr>
                <w:b/>
                <w:bCs/>
                <w:color w:val="1F1F1F"/>
                <w:sz w:val="16"/>
                <w:szCs w:val="16"/>
                <w:bdr w:val="none" w:sz="0" w:space="0" w:color="auto" w:frame="1"/>
              </w:rPr>
              <w:t>4,516.00</w:t>
            </w:r>
          </w:p>
          <w:p w14:paraId="4CB1C18F" w14:textId="7A3F2698" w:rsidR="00B95F8E" w:rsidRPr="00A76B19" w:rsidRDefault="00B95F8E" w:rsidP="007836AE">
            <w:pPr>
              <w:pStyle w:val="NormalWeb"/>
              <w:spacing w:before="0" w:beforeAutospacing="0" w:after="0" w:afterAutospacing="0"/>
              <w:rPr>
                <w:color w:val="1F1F1F"/>
                <w:sz w:val="16"/>
                <w:szCs w:val="16"/>
              </w:rPr>
            </w:pPr>
            <w:r w:rsidRPr="00A76B19">
              <w:rPr>
                <w:color w:val="1F1F1F"/>
                <w:sz w:val="16"/>
                <w:szCs w:val="16"/>
              </w:rPr>
              <w:t xml:space="preserve">2025 Baseline Mean = </w:t>
            </w:r>
            <w:r w:rsidRPr="00A76B19">
              <w:rPr>
                <w:b/>
                <w:bCs/>
                <w:color w:val="1F1F1F"/>
                <w:sz w:val="16"/>
                <w:szCs w:val="16"/>
                <w:bdr w:val="none" w:sz="0" w:space="0" w:color="auto" w:frame="1"/>
              </w:rPr>
              <w:t>4,753.00</w:t>
            </w:r>
          </w:p>
          <w:p w14:paraId="5A5B64DD" w14:textId="77777777" w:rsidR="00B95F8E" w:rsidRPr="00A76B19" w:rsidRDefault="00B95F8E">
            <w:pPr>
              <w:pStyle w:val="NormalWeb"/>
              <w:spacing w:before="0" w:beforeAutospacing="0" w:after="0" w:afterAutospacing="0"/>
              <w:rPr>
                <w:color w:val="1F1F1F"/>
                <w:sz w:val="16"/>
                <w:szCs w:val="16"/>
              </w:rPr>
            </w:pPr>
            <w:r w:rsidRPr="00A76B19">
              <w:rPr>
                <w:i/>
                <w:iCs/>
                <w:color w:val="1F1F1F"/>
                <w:sz w:val="16"/>
                <w:szCs w:val="16"/>
                <w:bdr w:val="none" w:sz="0" w:space="0" w:color="auto" w:frame="1"/>
              </w:rPr>
              <w:t>(CV = 10% across both intervals)</w:t>
            </w:r>
          </w:p>
        </w:tc>
        <w:tc>
          <w:tcPr>
            <w:tcW w:w="2340" w:type="dxa"/>
            <w:hideMark/>
          </w:tcPr>
          <w:p w14:paraId="7F394AEC" w14:textId="57681F3C" w:rsidR="00B95F8E" w:rsidRPr="00A76B19" w:rsidRDefault="00B95F8E">
            <w:pPr>
              <w:rPr>
                <w:color w:val="1F1F1F"/>
                <w:sz w:val="16"/>
                <w:szCs w:val="16"/>
              </w:rPr>
            </w:pPr>
            <w:r w:rsidRPr="00A76B19">
              <w:rPr>
                <w:color w:val="1F1F1F"/>
                <w:sz w:val="16"/>
                <w:szCs w:val="16"/>
                <w:bdr w:val="none" w:sz="0" w:space="0" w:color="auto" w:frame="1"/>
              </w:rPr>
              <w:t>Central Bank of Sri Lanka Economic Intelligence Reports</w:t>
            </w:r>
            <w:sdt>
              <w:sdtPr>
                <w:rPr>
                  <w:color w:val="1F1F1F"/>
                  <w:sz w:val="16"/>
                  <w:szCs w:val="16"/>
                  <w:bdr w:val="none" w:sz="0" w:space="0" w:color="auto" w:frame="1"/>
                  <w:vertAlign w:val="superscript"/>
                </w:rPr>
                <w:tag w:val="MENDELEY_CITATION_v3_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"/>
                <w:id w:val="704217284"/>
                <w:placeholder>
                  <w:docPart w:val="DefaultPlaceholder_-1854013440"/>
                </w:placeholder>
              </w:sdtPr>
              <w:sdtContent>
                <w:r w:rsidR="00744149" w:rsidRPr="00744149">
                  <w:rPr>
                    <w:color w:val="1F1F1F"/>
                    <w:sz w:val="16"/>
                    <w:szCs w:val="16"/>
                    <w:bdr w:val="none" w:sz="0" w:space="0" w:color="auto" w:frame="1"/>
                    <w:vertAlign w:val="superscript"/>
                  </w:rPr>
                  <w:t>12</w:t>
                </w:r>
              </w:sdtContent>
            </w:sdt>
            <w:r w:rsidRPr="00A76B19">
              <w:rPr>
                <w:color w:val="1F1F1F"/>
                <w:sz w:val="16"/>
                <w:szCs w:val="16"/>
                <w:bdr w:val="none" w:sz="0" w:space="0" w:color="auto" w:frame="1"/>
              </w:rPr>
              <w:t>.</w:t>
            </w:r>
          </w:p>
        </w:tc>
      </w:tr>
      <w:tr w:rsidR="00B95F8E" w:rsidRPr="00A76B19" w14:paraId="77267D42" w14:textId="77777777" w:rsidTr="00B95F8E">
        <w:tc>
          <w:tcPr>
            <w:tcW w:w="1255" w:type="dxa"/>
            <w:hideMark/>
          </w:tcPr>
          <w:p w14:paraId="0E7E53C0" w14:textId="77777777" w:rsidR="00B95F8E" w:rsidRPr="00A76B19" w:rsidRDefault="00B95F8E">
            <w:pPr>
              <w:rPr>
                <w:color w:val="1F1F1F"/>
                <w:sz w:val="16"/>
                <w:szCs w:val="16"/>
              </w:rPr>
            </w:pPr>
            <w:r w:rsidRPr="00A76B19">
              <w:rPr>
                <w:b/>
                <w:bCs/>
                <w:color w:val="1F1F1F"/>
                <w:sz w:val="16"/>
                <w:szCs w:val="16"/>
                <w:bdr w:val="none" w:sz="0" w:space="0" w:color="auto" w:frame="1"/>
              </w:rPr>
              <w:t>Health Outcome Parameters</w:t>
            </w:r>
          </w:p>
        </w:tc>
        <w:tc>
          <w:tcPr>
            <w:tcW w:w="1800" w:type="dxa"/>
            <w:hideMark/>
          </w:tcPr>
          <w:p w14:paraId="1F5FB4FC" w14:textId="77777777" w:rsidR="00B95F8E" w:rsidRPr="00A76B19" w:rsidRDefault="00B95F8E">
            <w:pPr>
              <w:rPr>
                <w:color w:val="1F1F1F"/>
                <w:sz w:val="16"/>
                <w:szCs w:val="16"/>
              </w:rPr>
            </w:pPr>
            <w:r w:rsidRPr="00A76B19">
              <w:rPr>
                <w:color w:val="1F1F1F"/>
                <w:sz w:val="16"/>
                <w:szCs w:val="16"/>
                <w:bdr w:val="none" w:sz="0" w:space="0" w:color="auto" w:frame="1"/>
              </w:rPr>
              <w:t>DALY Disability Weight (Ambulatory Outpatient)</w:t>
            </w:r>
          </w:p>
        </w:tc>
        <w:tc>
          <w:tcPr>
            <w:tcW w:w="1620" w:type="dxa"/>
            <w:hideMark/>
          </w:tcPr>
          <w:p w14:paraId="35AEDEEB" w14:textId="77777777" w:rsidR="00B95F8E" w:rsidRPr="00A76B19" w:rsidRDefault="00B95F8E">
            <w:pPr>
              <w:rPr>
                <w:color w:val="1F1F1F"/>
                <w:sz w:val="16"/>
                <w:szCs w:val="16"/>
              </w:rPr>
            </w:pPr>
            <w:r w:rsidRPr="00A76B19">
              <w:rPr>
                <w:color w:val="1F1F1F"/>
                <w:sz w:val="16"/>
                <w:szCs w:val="16"/>
                <w:bdr w:val="none" w:sz="0" w:space="0" w:color="auto" w:frame="1"/>
              </w:rPr>
              <w:t>Normal (left-truncated at 0)</w:t>
            </w:r>
          </w:p>
        </w:tc>
        <w:tc>
          <w:tcPr>
            <w:tcW w:w="3330" w:type="dxa"/>
            <w:hideMark/>
          </w:tcPr>
          <w:p w14:paraId="10AAC021" w14:textId="77777777" w:rsidR="00B95F8E" w:rsidRPr="00A76B19" w:rsidRDefault="00B95F8E">
            <w:pPr>
              <w:rPr>
                <w:color w:val="1F1F1F"/>
                <w:sz w:val="16"/>
                <w:szCs w:val="16"/>
              </w:rPr>
            </w:pPr>
            <w:r w:rsidRPr="00A76B19">
              <w:rPr>
                <w:color w:val="1F1F1F"/>
                <w:sz w:val="16"/>
                <w:szCs w:val="16"/>
                <w:bdr w:val="none" w:sz="0" w:space="0" w:color="auto" w:frame="1"/>
              </w:rPr>
              <w:t xml:space="preserve">Mean = </w:t>
            </w:r>
            <w:r w:rsidRPr="00A76B19">
              <w:rPr>
                <w:b/>
                <w:bCs/>
                <w:color w:val="1F1F1F"/>
                <w:sz w:val="16"/>
                <w:szCs w:val="16"/>
                <w:bdr w:val="none" w:sz="0" w:space="0" w:color="auto" w:frame="1"/>
              </w:rPr>
              <w:t>0.032</w:t>
            </w:r>
            <w:r w:rsidRPr="00A76B19">
              <w:rPr>
                <w:color w:val="1F1F1F"/>
                <w:sz w:val="16"/>
                <w:szCs w:val="16"/>
                <w:bdr w:val="none" w:sz="0" w:space="0" w:color="auto" w:frame="1"/>
              </w:rPr>
              <w:t xml:space="preserve">; SD = </w:t>
            </w:r>
            <w:r w:rsidRPr="00A76B19">
              <w:rPr>
                <w:b/>
                <w:bCs/>
                <w:color w:val="1F1F1F"/>
                <w:sz w:val="16"/>
                <w:szCs w:val="16"/>
                <w:bdr w:val="none" w:sz="0" w:space="0" w:color="auto" w:frame="1"/>
              </w:rPr>
              <w:t>0.006</w:t>
            </w:r>
          </w:p>
        </w:tc>
        <w:tc>
          <w:tcPr>
            <w:tcW w:w="2340" w:type="dxa"/>
            <w:hideMark/>
          </w:tcPr>
          <w:p w14:paraId="019974E7" w14:textId="3D6B435D" w:rsidR="00B95F8E" w:rsidRPr="00A76B19" w:rsidRDefault="00B95F8E">
            <w:pPr>
              <w:rPr>
                <w:color w:val="1F1F1F"/>
                <w:sz w:val="16"/>
                <w:szCs w:val="16"/>
              </w:rPr>
            </w:pPr>
            <w:r w:rsidRPr="00A76B19">
              <w:rPr>
                <w:color w:val="1F1F1F"/>
                <w:sz w:val="16"/>
                <w:szCs w:val="16"/>
                <w:bdr w:val="none" w:sz="0" w:space="0" w:color="auto" w:frame="1"/>
              </w:rPr>
              <w:t>Zeng et al. standard weights</w:t>
            </w:r>
            <w:sdt>
              <w:sdtPr>
                <w:rPr>
                  <w:color w:val="1F1F1F"/>
                  <w:sz w:val="16"/>
                  <w:szCs w:val="16"/>
                  <w:bdr w:val="none" w:sz="0" w:space="0" w:color="auto" w:frame="1"/>
                  <w:vertAlign w:val="superscript"/>
                </w:rPr>
                <w:tag w:val="MENDELEY_CITATION_v3_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"/>
                <w:id w:val="1717230419"/>
                <w:placeholder>
                  <w:docPart w:val="DefaultPlaceholder_-1854013440"/>
                </w:placeholder>
              </w:sdtPr>
              <w:sdtContent>
                <w:r w:rsidR="00744149" w:rsidRPr="00744149">
                  <w:rPr>
                    <w:color w:val="1F1F1F"/>
                    <w:sz w:val="16"/>
                    <w:szCs w:val="16"/>
                    <w:bdr w:val="none" w:sz="0" w:space="0" w:color="auto" w:frame="1"/>
                    <w:vertAlign w:val="superscript"/>
                  </w:rPr>
                  <w:t>13</w:t>
                </w:r>
              </w:sdtContent>
            </w:sdt>
            <w:r w:rsidRPr="00A76B19">
              <w:rPr>
                <w:color w:val="1F1F1F"/>
                <w:sz w:val="16"/>
                <w:szCs w:val="16"/>
                <w:bdr w:val="none" w:sz="0" w:space="0" w:color="auto" w:frame="1"/>
              </w:rPr>
              <w:t>.</w:t>
            </w:r>
          </w:p>
        </w:tc>
      </w:tr>
      <w:tr w:rsidR="00B95F8E" w:rsidRPr="00A76B19" w14:paraId="791316C8" w14:textId="77777777" w:rsidTr="00B95F8E">
        <w:tc>
          <w:tcPr>
            <w:tcW w:w="1255" w:type="dxa"/>
            <w:hideMark/>
          </w:tcPr>
          <w:p w14:paraId="1AA047CA" w14:textId="77777777" w:rsidR="00B95F8E" w:rsidRPr="00A76B19" w:rsidRDefault="00B95F8E">
            <w:pPr>
              <w:rPr>
                <w:color w:val="1F1F1F"/>
                <w:sz w:val="16"/>
                <w:szCs w:val="16"/>
              </w:rPr>
            </w:pPr>
          </w:p>
        </w:tc>
        <w:tc>
          <w:tcPr>
            <w:tcW w:w="1800" w:type="dxa"/>
            <w:hideMark/>
          </w:tcPr>
          <w:p w14:paraId="11EEC429" w14:textId="77777777" w:rsidR="00B95F8E" w:rsidRPr="00A76B19" w:rsidRDefault="00B95F8E">
            <w:pPr>
              <w:rPr>
                <w:color w:val="1F1F1F"/>
                <w:sz w:val="16"/>
                <w:szCs w:val="16"/>
              </w:rPr>
            </w:pPr>
            <w:r w:rsidRPr="00A76B19">
              <w:rPr>
                <w:color w:val="1F1F1F"/>
                <w:sz w:val="16"/>
                <w:szCs w:val="16"/>
                <w:bdr w:val="none" w:sz="0" w:space="0" w:color="auto" w:frame="1"/>
              </w:rPr>
              <w:t>DALY Disability Weight (Hospitalized Inpatient)</w:t>
            </w:r>
          </w:p>
        </w:tc>
        <w:tc>
          <w:tcPr>
            <w:tcW w:w="1620" w:type="dxa"/>
            <w:hideMark/>
          </w:tcPr>
          <w:p w14:paraId="0FE82014" w14:textId="77777777" w:rsidR="00B95F8E" w:rsidRPr="00A76B19" w:rsidRDefault="00B95F8E">
            <w:pPr>
              <w:rPr>
                <w:color w:val="1F1F1F"/>
                <w:sz w:val="16"/>
                <w:szCs w:val="16"/>
              </w:rPr>
            </w:pPr>
            <w:r w:rsidRPr="00A76B19">
              <w:rPr>
                <w:color w:val="1F1F1F"/>
                <w:sz w:val="16"/>
                <w:szCs w:val="16"/>
                <w:bdr w:val="none" w:sz="0" w:space="0" w:color="auto" w:frame="1"/>
              </w:rPr>
              <w:t>Normal (left-truncated at 0)</w:t>
            </w:r>
          </w:p>
        </w:tc>
        <w:tc>
          <w:tcPr>
            <w:tcW w:w="3330" w:type="dxa"/>
            <w:hideMark/>
          </w:tcPr>
          <w:p w14:paraId="5723682B" w14:textId="77777777" w:rsidR="00B95F8E" w:rsidRPr="00A76B19" w:rsidRDefault="00B95F8E">
            <w:pPr>
              <w:rPr>
                <w:color w:val="1F1F1F"/>
                <w:sz w:val="16"/>
                <w:szCs w:val="16"/>
              </w:rPr>
            </w:pPr>
            <w:r w:rsidRPr="00A76B19">
              <w:rPr>
                <w:color w:val="1F1F1F"/>
                <w:sz w:val="16"/>
                <w:szCs w:val="16"/>
                <w:bdr w:val="none" w:sz="0" w:space="0" w:color="auto" w:frame="1"/>
              </w:rPr>
              <w:t xml:space="preserve">Mean = </w:t>
            </w:r>
            <w:r w:rsidRPr="00A76B19">
              <w:rPr>
                <w:b/>
                <w:bCs/>
                <w:color w:val="1F1F1F"/>
                <w:sz w:val="16"/>
                <w:szCs w:val="16"/>
                <w:bdr w:val="none" w:sz="0" w:space="0" w:color="auto" w:frame="1"/>
              </w:rPr>
              <w:t>0.036</w:t>
            </w:r>
            <w:r w:rsidRPr="00A76B19">
              <w:rPr>
                <w:color w:val="1F1F1F"/>
                <w:sz w:val="16"/>
                <w:szCs w:val="16"/>
                <w:bdr w:val="none" w:sz="0" w:space="0" w:color="auto" w:frame="1"/>
              </w:rPr>
              <w:t xml:space="preserve">; SD = </w:t>
            </w:r>
            <w:r w:rsidRPr="00A76B19">
              <w:rPr>
                <w:b/>
                <w:bCs/>
                <w:color w:val="1F1F1F"/>
                <w:sz w:val="16"/>
                <w:szCs w:val="16"/>
                <w:bdr w:val="none" w:sz="0" w:space="0" w:color="auto" w:frame="1"/>
              </w:rPr>
              <w:t>0.007</w:t>
            </w:r>
          </w:p>
        </w:tc>
        <w:tc>
          <w:tcPr>
            <w:tcW w:w="2340" w:type="dxa"/>
            <w:hideMark/>
          </w:tcPr>
          <w:p w14:paraId="04602FB6" w14:textId="15EA7C10" w:rsidR="00B95F8E" w:rsidRPr="00A76B19" w:rsidRDefault="00B95F8E">
            <w:pPr>
              <w:rPr>
                <w:color w:val="1F1F1F"/>
                <w:sz w:val="16"/>
                <w:szCs w:val="16"/>
              </w:rPr>
            </w:pPr>
            <w:r w:rsidRPr="00A76B19">
              <w:rPr>
                <w:color w:val="1F1F1F"/>
                <w:sz w:val="16"/>
                <w:szCs w:val="16"/>
                <w:bdr w:val="none" w:sz="0" w:space="0" w:color="auto" w:frame="1"/>
              </w:rPr>
              <w:t>Zeng et al. standard weights</w:t>
            </w:r>
            <w:sdt>
              <w:sdtPr>
                <w:rPr>
                  <w:color w:val="1F1F1F"/>
                  <w:sz w:val="16"/>
                  <w:szCs w:val="16"/>
                  <w:bdr w:val="none" w:sz="0" w:space="0" w:color="auto" w:frame="1"/>
                  <w:vertAlign w:val="superscript"/>
                </w:rPr>
                <w:tag w:val="MENDELEY_CITATION_v3_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"/>
                <w:id w:val="1695800258"/>
                <w:placeholder>
                  <w:docPart w:val="DefaultPlaceholder_-1854013440"/>
                </w:placeholder>
              </w:sdtPr>
              <w:sdtContent>
                <w:r w:rsidR="00744149" w:rsidRPr="00744149">
                  <w:rPr>
                    <w:color w:val="1F1F1F"/>
                    <w:sz w:val="16"/>
                    <w:szCs w:val="16"/>
                    <w:bdr w:val="none" w:sz="0" w:space="0" w:color="auto" w:frame="1"/>
                    <w:vertAlign w:val="superscript"/>
                  </w:rPr>
                  <w:t>13</w:t>
                </w:r>
              </w:sdtContent>
            </w:sdt>
            <w:r w:rsidRPr="00A76B19">
              <w:rPr>
                <w:color w:val="1F1F1F"/>
                <w:sz w:val="16"/>
                <w:szCs w:val="16"/>
                <w:bdr w:val="none" w:sz="0" w:space="0" w:color="auto" w:frame="1"/>
              </w:rPr>
              <w:t>.</w:t>
            </w:r>
          </w:p>
        </w:tc>
      </w:tr>
      <w:tr w:rsidR="00B95F8E" w:rsidRPr="00A76B19" w14:paraId="283E476E" w14:textId="77777777" w:rsidTr="00B95F8E">
        <w:tc>
          <w:tcPr>
            <w:tcW w:w="1255" w:type="dxa"/>
            <w:hideMark/>
          </w:tcPr>
          <w:p w14:paraId="6C5DE34D" w14:textId="77777777" w:rsidR="00B95F8E" w:rsidRPr="00A76B19" w:rsidRDefault="00B95F8E">
            <w:pPr>
              <w:rPr>
                <w:color w:val="1F1F1F"/>
                <w:sz w:val="16"/>
                <w:szCs w:val="16"/>
              </w:rPr>
            </w:pPr>
          </w:p>
        </w:tc>
        <w:tc>
          <w:tcPr>
            <w:tcW w:w="1800" w:type="dxa"/>
            <w:hideMark/>
          </w:tcPr>
          <w:p w14:paraId="68E5E958" w14:textId="77777777" w:rsidR="00B95F8E" w:rsidRPr="00A76B19" w:rsidRDefault="00B95F8E">
            <w:pPr>
              <w:rPr>
                <w:color w:val="1F1F1F"/>
                <w:sz w:val="16"/>
                <w:szCs w:val="16"/>
              </w:rPr>
            </w:pPr>
            <w:r w:rsidRPr="00A76B19">
              <w:rPr>
                <w:color w:val="1F1F1F"/>
                <w:sz w:val="16"/>
                <w:szCs w:val="16"/>
                <w:bdr w:val="none" w:sz="0" w:space="0" w:color="auto" w:frame="1"/>
              </w:rPr>
              <w:t>Acute Infection Clinical Duration</w:t>
            </w:r>
          </w:p>
        </w:tc>
        <w:tc>
          <w:tcPr>
            <w:tcW w:w="1620" w:type="dxa"/>
            <w:hideMark/>
          </w:tcPr>
          <w:p w14:paraId="5735D638" w14:textId="77777777" w:rsidR="00B95F8E" w:rsidRPr="00A76B19" w:rsidRDefault="00B95F8E">
            <w:pPr>
              <w:rPr>
                <w:color w:val="1F1F1F"/>
                <w:sz w:val="16"/>
                <w:szCs w:val="16"/>
              </w:rPr>
            </w:pPr>
            <w:r w:rsidRPr="00A76B19">
              <w:rPr>
                <w:color w:val="1F1F1F"/>
                <w:sz w:val="16"/>
                <w:szCs w:val="16"/>
                <w:bdr w:val="none" w:sz="0" w:space="0" w:color="auto" w:frame="1"/>
              </w:rPr>
              <w:t>Deterministic fixed fraction</w:t>
            </w:r>
          </w:p>
        </w:tc>
        <w:tc>
          <w:tcPr>
            <w:tcW w:w="3330" w:type="dxa"/>
            <w:hideMark/>
          </w:tcPr>
          <w:p w14:paraId="7D2832E3" w14:textId="291B7E76" w:rsidR="00B95F8E" w:rsidRPr="00A76B19" w:rsidRDefault="00B95F8E" w:rsidP="00803AB3">
            <w:pPr>
              <w:pStyle w:val="NormalWeb"/>
              <w:spacing w:before="0" w:beforeAutospacing="0" w:after="0" w:afterAutospacing="0"/>
              <w:rPr>
                <w:color w:val="1F1F1F"/>
                <w:sz w:val="16"/>
                <w:szCs w:val="16"/>
              </w:rPr>
            </w:pPr>
            <w:r w:rsidRPr="00A76B19">
              <w:rPr>
                <w:color w:val="1F1F1F"/>
                <w:sz w:val="16"/>
                <w:szCs w:val="16"/>
              </w:rPr>
              <w:t>Calculated uniformly as:</w:t>
            </w:r>
          </w:p>
          <w:p w14:paraId="0A35284D" w14:textId="4AEE021B" w:rsidR="00B95F8E" w:rsidRPr="00A76B19" w:rsidRDefault="00803AB3">
            <w:pPr>
              <w:rPr>
                <w:color w:val="1F1F1F"/>
                <w:sz w:val="16"/>
                <w:szCs w:val="16"/>
              </w:rPr>
            </w:pPr>
            <m:oMathPara>
              <m:oMath>
                <m:r>
                  <w:rPr>
                    <w:rFonts w:ascii="Cambria Math" w:hAnsi="Cambria Math"/>
                    <w:color w:val="1F1F1F"/>
                    <w:sz w:val="16"/>
                    <w:szCs w:val="16"/>
                  </w:rPr>
                  <m:t>t=</m:t>
                </m:r>
                <m:f>
                  <m:fPr>
                    <m:ctrlPr>
                      <w:rPr>
                        <w:rFonts w:ascii="Cambria Math" w:hAnsi="Cambria Math"/>
                        <w:color w:val="1F1F1F"/>
                        <w:sz w:val="16"/>
                        <w:szCs w:val="16"/>
                      </w:rPr>
                    </m:ctrlPr>
                  </m:fPr>
                  <m:num>
                    <m:r>
                      <w:rPr>
                        <w:rFonts w:ascii="Cambria Math" w:hAnsi="Cambria Math"/>
                        <w:color w:val="1F1F1F"/>
                        <w:sz w:val="16"/>
                        <w:szCs w:val="16"/>
                      </w:rPr>
                      <m:t>14</m:t>
                    </m:r>
                    <m:r>
                      <m:rPr>
                        <m:nor/>
                      </m:rPr>
                      <w:rPr>
                        <w:color w:val="1F1F1F"/>
                        <w:sz w:val="16"/>
                        <w:szCs w:val="16"/>
                      </w:rPr>
                      <m:t> days</m:t>
                    </m:r>
                  </m:num>
                  <m:den>
                    <m:r>
                      <w:rPr>
                        <w:rFonts w:ascii="Cambria Math" w:hAnsi="Cambria Math"/>
                        <w:color w:val="1F1F1F"/>
                        <w:sz w:val="16"/>
                        <w:szCs w:val="16"/>
                      </w:rPr>
                      <m:t>365.25</m:t>
                    </m:r>
                    <m:r>
                      <m:rPr>
                        <m:nor/>
                      </m:rPr>
                      <w:rPr>
                        <w:color w:val="1F1F1F"/>
                        <w:sz w:val="16"/>
                        <w:szCs w:val="16"/>
                      </w:rPr>
                      <m:t> days</m:t>
                    </m:r>
                  </m:den>
                </m:f>
                <m:r>
                  <w:rPr>
                    <w:rFonts w:ascii="Cambria Math" w:hAnsi="Cambria Math"/>
                    <w:color w:val="1F1F1F"/>
                    <w:sz w:val="16"/>
                    <w:szCs w:val="16"/>
                  </w:rPr>
                  <m:t>≈</m:t>
                </m:r>
                <m:r>
                  <m:rPr>
                    <m:sty m:val="b"/>
                  </m:rPr>
                  <w:rPr>
                    <w:rFonts w:ascii="Cambria Math" w:hAnsi="Cambria Math"/>
                    <w:color w:val="1F1F1F"/>
                    <w:sz w:val="16"/>
                    <w:szCs w:val="16"/>
                  </w:rPr>
                  <m:t>0.0383</m:t>
                </m:r>
                <m:r>
                  <m:rPr>
                    <m:nor/>
                  </m:rPr>
                  <w:rPr>
                    <w:color w:val="1F1F1F"/>
                    <w:sz w:val="16"/>
                    <w:szCs w:val="16"/>
                  </w:rPr>
                  <m:t> years</m:t>
                </m:r>
              </m:oMath>
            </m:oMathPara>
          </w:p>
        </w:tc>
        <w:tc>
          <w:tcPr>
            <w:tcW w:w="2340" w:type="dxa"/>
            <w:hideMark/>
          </w:tcPr>
          <w:p w14:paraId="3457D2C9" w14:textId="57BBD34B" w:rsidR="00B95F8E" w:rsidRPr="00A76B19" w:rsidRDefault="00B95F8E">
            <w:pPr>
              <w:rPr>
                <w:color w:val="1F1F1F"/>
                <w:sz w:val="16"/>
                <w:szCs w:val="16"/>
              </w:rPr>
            </w:pPr>
            <w:r w:rsidRPr="00A76B19">
              <w:rPr>
                <w:color w:val="1F1F1F"/>
                <w:sz w:val="16"/>
                <w:szCs w:val="16"/>
                <w:bdr w:val="none" w:sz="0" w:space="0" w:color="auto" w:frame="1"/>
              </w:rPr>
              <w:t>Clinical consensus duration vectors for acute multi-phase dengue</w:t>
            </w:r>
            <w:sdt>
              <w:sdtPr>
                <w:rPr>
                  <w:color w:val="1F1F1F"/>
                  <w:sz w:val="16"/>
                  <w:szCs w:val="16"/>
                  <w:bdr w:val="none" w:sz="0" w:space="0" w:color="auto" w:frame="1"/>
                  <w:vertAlign w:val="superscript"/>
                </w:rPr>
                <w:tag w:val="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"/>
                <w:id w:val="-1460343012"/>
                <w:placeholder>
                  <w:docPart w:val="DefaultPlaceholder_-1854013440"/>
                </w:placeholder>
              </w:sdtPr>
              <w:sdtContent>
                <w:r w:rsidR="00744149" w:rsidRPr="00744149">
                  <w:rPr>
                    <w:color w:val="1F1F1F"/>
                    <w:sz w:val="16"/>
                    <w:szCs w:val="16"/>
                    <w:bdr w:val="none" w:sz="0" w:space="0" w:color="auto" w:frame="1"/>
                    <w:vertAlign w:val="superscript"/>
                  </w:rPr>
                  <w:t>14,15</w:t>
                </w:r>
              </w:sdtContent>
            </w:sdt>
            <w:r w:rsidRPr="00A76B19">
              <w:rPr>
                <w:color w:val="1F1F1F"/>
                <w:sz w:val="16"/>
                <w:szCs w:val="16"/>
                <w:bdr w:val="none" w:sz="0" w:space="0" w:color="auto" w:frame="1"/>
              </w:rPr>
              <w:t>.</w:t>
            </w:r>
          </w:p>
        </w:tc>
      </w:tr>
      <w:tr w:rsidR="00B95F8E" w:rsidRPr="00A76B19" w14:paraId="763B3273" w14:textId="77777777" w:rsidTr="00B95F8E">
        <w:tc>
          <w:tcPr>
            <w:tcW w:w="1255" w:type="dxa"/>
            <w:hideMark/>
          </w:tcPr>
          <w:p w14:paraId="78471BB4" w14:textId="77777777" w:rsidR="00B95F8E" w:rsidRPr="00A76B19" w:rsidRDefault="00B95F8E">
            <w:pPr>
              <w:rPr>
                <w:color w:val="1F1F1F"/>
                <w:sz w:val="16"/>
                <w:szCs w:val="16"/>
              </w:rPr>
            </w:pPr>
          </w:p>
        </w:tc>
        <w:tc>
          <w:tcPr>
            <w:tcW w:w="1800" w:type="dxa"/>
            <w:hideMark/>
          </w:tcPr>
          <w:p w14:paraId="5AFEB2F0" w14:textId="77777777" w:rsidR="00B95F8E" w:rsidRPr="00A76B19" w:rsidRDefault="00B95F8E">
            <w:pPr>
              <w:rPr>
                <w:color w:val="1F1F1F"/>
                <w:sz w:val="16"/>
                <w:szCs w:val="16"/>
              </w:rPr>
            </w:pPr>
            <w:r w:rsidRPr="00A76B19">
              <w:rPr>
                <w:color w:val="1F1F1F"/>
                <w:sz w:val="16"/>
                <w:szCs w:val="16"/>
                <w:bdr w:val="none" w:sz="0" w:space="0" w:color="auto" w:frame="1"/>
              </w:rPr>
              <w:t>Social Policy Parameters</w:t>
            </w:r>
          </w:p>
        </w:tc>
        <w:tc>
          <w:tcPr>
            <w:tcW w:w="1620" w:type="dxa"/>
            <w:hideMark/>
          </w:tcPr>
          <w:p w14:paraId="78238643" w14:textId="77777777" w:rsidR="00B95F8E" w:rsidRPr="00A76B19" w:rsidRDefault="00B95F8E">
            <w:pPr>
              <w:rPr>
                <w:color w:val="1F1F1F"/>
                <w:sz w:val="16"/>
                <w:szCs w:val="16"/>
              </w:rPr>
            </w:pPr>
            <w:r w:rsidRPr="00A76B19">
              <w:rPr>
                <w:color w:val="1F1F1F"/>
                <w:sz w:val="16"/>
                <w:szCs w:val="16"/>
                <w:bdr w:val="none" w:sz="0" w:space="0" w:color="auto" w:frame="1"/>
              </w:rPr>
              <w:t>Alternative Deterministic Scenarios</w:t>
            </w:r>
          </w:p>
        </w:tc>
        <w:tc>
          <w:tcPr>
            <w:tcW w:w="3330" w:type="dxa"/>
            <w:hideMark/>
          </w:tcPr>
          <w:p w14:paraId="65FF5BF8" w14:textId="0F4B071D" w:rsidR="00B95F8E" w:rsidRPr="00A76B19" w:rsidRDefault="00B95F8E" w:rsidP="00803AB3">
            <w:pPr>
              <w:pStyle w:val="NormalWeb"/>
              <w:spacing w:before="0" w:beforeAutospacing="0" w:after="0" w:afterAutospacing="0"/>
              <w:rPr>
                <w:color w:val="1F1F1F"/>
                <w:sz w:val="16"/>
                <w:szCs w:val="16"/>
              </w:rPr>
            </w:pPr>
            <w:r w:rsidRPr="00A76B19">
              <w:rPr>
                <w:b/>
                <w:bCs/>
                <w:color w:val="1F1F1F"/>
                <w:sz w:val="16"/>
                <w:szCs w:val="16"/>
                <w:bdr w:val="none" w:sz="0" w:space="0" w:color="auto" w:frame="1"/>
              </w:rPr>
              <w:t>Retirement Age Horizonal Boundaries:</w:t>
            </w:r>
            <w:r w:rsidRPr="00A76B19">
              <w:rPr>
                <w:color w:val="1F1F1F"/>
                <w:sz w:val="16"/>
                <w:szCs w:val="16"/>
              </w:rPr>
              <w:t xml:space="preserve"> 60 years vs. 65 years.</w:t>
            </w:r>
          </w:p>
          <w:p w14:paraId="10781928" w14:textId="77777777" w:rsidR="00B95F8E" w:rsidRPr="00A76B19" w:rsidRDefault="00B95F8E">
            <w:pPr>
              <w:pStyle w:val="NormalWeb"/>
              <w:spacing w:before="0" w:beforeAutospacing="0" w:after="0" w:afterAutospacing="0"/>
              <w:rPr>
                <w:color w:val="1F1F1F"/>
                <w:sz w:val="16"/>
                <w:szCs w:val="16"/>
              </w:rPr>
            </w:pPr>
            <w:r w:rsidRPr="00A76B19">
              <w:rPr>
                <w:b/>
                <w:bCs/>
                <w:color w:val="1F1F1F"/>
                <w:sz w:val="16"/>
                <w:szCs w:val="16"/>
                <w:bdr w:val="none" w:sz="0" w:space="0" w:color="auto" w:frame="1"/>
              </w:rPr>
              <w:t>Social Discount Rates:</w:t>
            </w:r>
            <w:r w:rsidRPr="00A76B19">
              <w:rPr>
                <w:color w:val="1F1F1F"/>
                <w:sz w:val="16"/>
                <w:szCs w:val="16"/>
              </w:rPr>
              <w:t xml:space="preserve"> 3.5% (Main Policy Model), 0.0% (Undiscounted), 5.0% (Sensitivity Boundary).</w:t>
            </w:r>
          </w:p>
        </w:tc>
        <w:tc>
          <w:tcPr>
            <w:tcW w:w="2340" w:type="dxa"/>
            <w:hideMark/>
          </w:tcPr>
          <w:p w14:paraId="6A69C1C2" w14:textId="7816854D" w:rsidR="00B95F8E" w:rsidRPr="00A76B19" w:rsidRDefault="00B95F8E">
            <w:pPr>
              <w:rPr>
                <w:color w:val="1F1F1F"/>
                <w:sz w:val="16"/>
                <w:szCs w:val="16"/>
              </w:rPr>
            </w:pPr>
            <w:r w:rsidRPr="00A76B19">
              <w:rPr>
                <w:color w:val="1F1F1F"/>
                <w:sz w:val="16"/>
                <w:szCs w:val="16"/>
                <w:bdr w:val="none" w:sz="0" w:space="0" w:color="auto" w:frame="1"/>
              </w:rPr>
              <w:t>Regional and international health economics guideline frameworks</w:t>
            </w:r>
            <w:sdt>
              <w:sdtPr>
                <w:rPr>
                  <w:color w:val="1F1F1F"/>
                  <w:sz w:val="16"/>
                  <w:szCs w:val="16"/>
                  <w:bdr w:val="none" w:sz="0" w:space="0" w:color="auto" w:frame="1"/>
                  <w:vertAlign w:val="superscript"/>
                </w:rPr>
                <w:tag w:val="MENDELEY_CITATION_v3_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"/>
                <w:id w:val="-684438527"/>
                <w:placeholder>
                  <w:docPart w:val="DefaultPlaceholder_-1854013440"/>
                </w:placeholder>
              </w:sdtPr>
              <w:sdtContent>
                <w:r w:rsidR="00744149" w:rsidRPr="00744149">
                  <w:rPr>
                    <w:color w:val="1F1F1F"/>
                    <w:sz w:val="16"/>
                    <w:szCs w:val="16"/>
                    <w:bdr w:val="none" w:sz="0" w:space="0" w:color="auto" w:frame="1"/>
                    <w:vertAlign w:val="superscript"/>
                  </w:rPr>
                  <w:t>16</w:t>
                </w:r>
              </w:sdtContent>
            </w:sdt>
            <w:r w:rsidRPr="00A76B19">
              <w:rPr>
                <w:color w:val="1F1F1F"/>
                <w:sz w:val="16"/>
                <w:szCs w:val="16"/>
                <w:bdr w:val="none" w:sz="0" w:space="0" w:color="auto" w:frame="1"/>
              </w:rPr>
              <w:t>.</w:t>
            </w:r>
          </w:p>
        </w:tc>
      </w:tr>
    </w:tbl>
    <w:p w14:paraId="0EE98E69" w14:textId="77777777" w:rsidR="00B95F8E" w:rsidRDefault="00B95F8E">
      <w:pPr>
        <w:rPr>
          <w:b/>
          <w:bCs/>
        </w:rPr>
      </w:pPr>
    </w:p>
    <w:p w14:paraId="43C483F1" w14:textId="77777777" w:rsidR="00B95F8E" w:rsidRPr="00B95F8E" w:rsidRDefault="00B95F8E">
      <w:pPr>
        <w:rPr>
          <w:b/>
          <w:bCs/>
        </w:rPr>
      </w:pPr>
    </w:p>
    <w:p w14:paraId="7DF6D4EE" w14:textId="017B3673" w:rsidR="00B70C01" w:rsidRPr="004E6BA5" w:rsidRDefault="00B70C01" w:rsidP="004E6BA5">
      <w:pPr>
        <w:pStyle w:val="Heading2"/>
        <w:rPr>
          <w:rFonts w:ascii="Times New Roman" w:hAnsi="Times New Roman" w:cs="Times New Roman"/>
          <w:b/>
          <w:bCs/>
          <w:color w:val="auto"/>
          <w:sz w:val="24"/>
          <w:szCs w:val="24"/>
        </w:rPr>
      </w:pPr>
      <w:bookmarkStart w:id="18" w:name="_Toc235161898"/>
      <w:r w:rsidRPr="004E6BA5">
        <w:rPr>
          <w:rFonts w:ascii="Times New Roman" w:hAnsi="Times New Roman" w:cs="Times New Roman"/>
          <w:b/>
          <w:bCs/>
          <w:color w:val="auto"/>
          <w:sz w:val="24"/>
          <w:szCs w:val="24"/>
        </w:rPr>
        <w:t xml:space="preserve">Hierarchical </w:t>
      </w:r>
      <w:r w:rsidR="00661CEF" w:rsidRPr="004E6BA5">
        <w:rPr>
          <w:rFonts w:ascii="Times New Roman" w:hAnsi="Times New Roman" w:cs="Times New Roman"/>
          <w:b/>
          <w:bCs/>
          <w:color w:val="auto"/>
          <w:sz w:val="24"/>
          <w:szCs w:val="24"/>
        </w:rPr>
        <w:t>s</w:t>
      </w:r>
      <w:r w:rsidRPr="004E6BA5">
        <w:rPr>
          <w:rFonts w:ascii="Times New Roman" w:hAnsi="Times New Roman" w:cs="Times New Roman"/>
          <w:b/>
          <w:bCs/>
          <w:color w:val="auto"/>
          <w:sz w:val="24"/>
          <w:szCs w:val="24"/>
        </w:rPr>
        <w:t>urrogate-to-</w:t>
      </w:r>
      <w:r w:rsidR="00661CEF" w:rsidRPr="004E6BA5">
        <w:rPr>
          <w:rFonts w:ascii="Times New Roman" w:hAnsi="Times New Roman" w:cs="Times New Roman"/>
          <w:b/>
          <w:bCs/>
          <w:color w:val="auto"/>
          <w:sz w:val="24"/>
          <w:szCs w:val="24"/>
        </w:rPr>
        <w:t>s</w:t>
      </w:r>
      <w:r w:rsidRPr="004E6BA5">
        <w:rPr>
          <w:rFonts w:ascii="Times New Roman" w:hAnsi="Times New Roman" w:cs="Times New Roman"/>
          <w:b/>
          <w:bCs/>
          <w:color w:val="auto"/>
          <w:sz w:val="24"/>
          <w:szCs w:val="24"/>
        </w:rPr>
        <w:t xml:space="preserve">pecific </w:t>
      </w:r>
      <w:r w:rsidR="00661CEF" w:rsidRPr="004E6BA5">
        <w:rPr>
          <w:rFonts w:ascii="Times New Roman" w:hAnsi="Times New Roman" w:cs="Times New Roman"/>
          <w:b/>
          <w:bCs/>
          <w:color w:val="auto"/>
          <w:sz w:val="24"/>
          <w:szCs w:val="24"/>
        </w:rPr>
        <w:t>population a</w:t>
      </w:r>
      <w:r w:rsidRPr="004E6BA5">
        <w:rPr>
          <w:rFonts w:ascii="Times New Roman" w:hAnsi="Times New Roman" w:cs="Times New Roman"/>
          <w:b/>
          <w:bCs/>
          <w:color w:val="auto"/>
          <w:sz w:val="24"/>
          <w:szCs w:val="24"/>
        </w:rPr>
        <w:t xml:space="preserve">ttribution </w:t>
      </w:r>
      <w:r w:rsidR="0021409F" w:rsidRPr="004E6BA5">
        <w:rPr>
          <w:rFonts w:ascii="Times New Roman" w:hAnsi="Times New Roman" w:cs="Times New Roman"/>
          <w:b/>
          <w:bCs/>
          <w:color w:val="auto"/>
          <w:sz w:val="24"/>
          <w:szCs w:val="24"/>
        </w:rPr>
        <w:t>f</w:t>
      </w:r>
      <w:r w:rsidRPr="004E6BA5">
        <w:rPr>
          <w:rFonts w:ascii="Times New Roman" w:hAnsi="Times New Roman" w:cs="Times New Roman"/>
          <w:b/>
          <w:bCs/>
          <w:color w:val="auto"/>
          <w:sz w:val="24"/>
          <w:szCs w:val="24"/>
        </w:rPr>
        <w:t>ramework</w:t>
      </w:r>
      <w:bookmarkEnd w:id="18"/>
      <w:r w:rsidR="00A16BF5">
        <w:rPr>
          <w:rFonts w:ascii="Times New Roman" w:hAnsi="Times New Roman" w:cs="Times New Roman"/>
          <w:b/>
          <w:bCs/>
          <w:color w:val="auto"/>
          <w:sz w:val="24"/>
          <w:szCs w:val="24"/>
        </w:rPr>
        <w:t xml:space="preserve"> to estimate the dengue burden attributable to plastic habitats </w:t>
      </w:r>
    </w:p>
    <w:p w14:paraId="0153AE84" w14:textId="7359DEB8" w:rsidR="00B70C01" w:rsidRPr="00B70C01" w:rsidRDefault="00B70C01" w:rsidP="00B70C01">
      <w:pPr>
        <w:spacing w:before="100" w:beforeAutospacing="1" w:after="100" w:afterAutospacing="1"/>
        <w:jc w:val="both"/>
      </w:pPr>
      <w:r w:rsidRPr="00B70C01">
        <w:t xml:space="preserve">To estimate the </w:t>
      </w:r>
      <w:r w:rsidR="00A16BF5">
        <w:t xml:space="preserve">dengue </w:t>
      </w:r>
      <w:r w:rsidRPr="00B70C01">
        <w:t xml:space="preserve">burden attributable to discarded plastic waste, we implemented a hierarchical </w:t>
      </w:r>
      <w:r w:rsidR="00661CEF">
        <w:t>s</w:t>
      </w:r>
      <w:r w:rsidRPr="00B70C01">
        <w:t>urrogate-to-</w:t>
      </w:r>
      <w:r w:rsidR="00661CEF">
        <w:t>s</w:t>
      </w:r>
      <w:r w:rsidRPr="00B70C01">
        <w:t xml:space="preserve">pecific </w:t>
      </w:r>
      <w:r w:rsidR="00661CEF" w:rsidRPr="00661CEF">
        <w:t>population attribution framework</w:t>
      </w:r>
      <w:r w:rsidRPr="00B70C01">
        <w:t xml:space="preserve">. In the first stage, dengue burden attributable to waste-associated mosquito breeding habitats was estimated using the </w:t>
      </w:r>
      <w:r w:rsidR="00A16BF5">
        <w:t>Waste-Specific</w:t>
      </w:r>
      <w:r w:rsidRPr="00B70C01">
        <w:t xml:space="preserve"> </w:t>
      </w:r>
      <w:proofErr w:type="spellStart"/>
      <w:r w:rsidRPr="00B70C01">
        <w:t>Breteau</w:t>
      </w:r>
      <w:proofErr w:type="spellEnd"/>
      <w:r w:rsidRPr="00B70C01">
        <w:t xml:space="preserve"> Index (</w:t>
      </w:r>
      <m:oMath>
        <m:r>
          <w:rPr>
            <w:rFonts w:ascii="Cambria Math" w:hAnsi="Cambria Math"/>
          </w:rPr>
          <m:t>B</m:t>
        </m:r>
        <m:sSub>
          <m:sSubPr>
            <m:ctrlPr>
              <w:rPr>
                <w:rFonts w:ascii="Cambria Math" w:hAnsi="Cambria Math"/>
              </w:rPr>
            </m:ctrlPr>
          </m:sSubPr>
          <m:e>
            <m:r>
              <w:rPr>
                <w:rFonts w:ascii="Cambria Math" w:hAnsi="Cambria Math"/>
              </w:rPr>
              <m:t>I</m:t>
            </m:r>
          </m:e>
          <m:sub>
            <m:r>
              <w:rPr>
                <w:rFonts w:ascii="Cambria Math" w:hAnsi="Cambria Math"/>
              </w:rPr>
              <m:t>waste</m:t>
            </m:r>
          </m:sub>
        </m:sSub>
      </m:oMath>
      <w:r w:rsidRPr="00B70C01">
        <w:t xml:space="preserve">), which served as the epidemiologically validated exposure surrogate linking </w:t>
      </w:r>
      <w:r w:rsidR="00A16BF5">
        <w:t>non-biodegradable</w:t>
      </w:r>
      <w:r w:rsidRPr="00B70C01">
        <w:t xml:space="preserve"> waste accumulation to dengue transmission. Distributed lag non-linear models (DLNMs) were fitted to estimate the exposure–response relationship between </w:t>
      </w:r>
      <m:oMath>
        <m:r>
          <w:rPr>
            <w:rFonts w:ascii="Cambria Math" w:hAnsi="Cambria Math"/>
          </w:rPr>
          <m:t>B</m:t>
        </m:r>
        <m:sSub>
          <m:sSubPr>
            <m:ctrlPr>
              <w:rPr>
                <w:rFonts w:ascii="Cambria Math" w:hAnsi="Cambria Math"/>
              </w:rPr>
            </m:ctrlPr>
          </m:sSubPr>
          <m:e>
            <m:r>
              <w:rPr>
                <w:rFonts w:ascii="Cambria Math" w:hAnsi="Cambria Math"/>
              </w:rPr>
              <m:t>I</m:t>
            </m:r>
          </m:e>
          <m:sub>
            <m:r>
              <w:rPr>
                <w:rFonts w:ascii="Cambria Math" w:hAnsi="Cambria Math"/>
              </w:rPr>
              <m:t>waste</m:t>
            </m:r>
          </m:sub>
        </m:sSub>
      </m:oMath>
      <w:r>
        <w:t xml:space="preserve"> and dengue</w:t>
      </w:r>
      <w:r w:rsidRPr="00B70C01">
        <w:t xml:space="preserve"> incidence, and attributable fractions were derived from </w:t>
      </w:r>
      <w:r w:rsidR="00A16BF5">
        <w:t>the</w:t>
      </w:r>
      <w:r w:rsidRPr="00B70C01">
        <w:t xml:space="preserve"> relative risks as:</w:t>
      </w:r>
    </w:p>
    <w:p w14:paraId="291CB9A8" w14:textId="77777777" w:rsidR="00B70C01" w:rsidRDefault="00000000" w:rsidP="00B70C01">
      <w:pPr>
        <w:spacing w:before="100" w:beforeAutospacing="1" w:after="100" w:afterAutospacing="1"/>
      </w:pPr>
      <m:oMathPara>
        <m:oMath>
          <m:d>
            <m:dPr>
              <m:begChr m:val="["/>
              <m:endChr m:val="]"/>
              <m:ctrlPr>
                <w:rPr>
                  <w:rFonts w:ascii="Cambria Math" w:hAnsi="Cambria Math"/>
                </w:rPr>
              </m:ctrlPr>
            </m:dPr>
            <m:e>
              <m:r>
                <w:rPr>
                  <w:rFonts w:ascii="Cambria Math" w:hAnsi="Cambria Math"/>
                </w:rPr>
                <m:t>A</m:t>
              </m:r>
              <m:sSub>
                <m:sSubPr>
                  <m:ctrlPr>
                    <w:rPr>
                      <w:rFonts w:ascii="Cambria Math" w:hAnsi="Cambria Math"/>
                    </w:rPr>
                  </m:ctrlPr>
                </m:sSubPr>
                <m:e>
                  <m:r>
                    <w:rPr>
                      <w:rFonts w:ascii="Cambria Math" w:hAnsi="Cambria Math"/>
                    </w:rPr>
                    <m:t>F</m:t>
                  </m:r>
                </m:e>
                <m:sub>
                  <m:r>
                    <w:rPr>
                      <w:rFonts w:ascii="Cambria Math" w:hAnsi="Cambria Math"/>
                    </w:rPr>
                    <m:t>waste</m:t>
                  </m:r>
                </m:sub>
              </m:sSub>
              <m:r>
                <w:rPr>
                  <w:rFonts w:ascii="Cambria Math" w:hAnsi="Cambria Math"/>
                </w:rPr>
                <m:t>=</m:t>
              </m:r>
              <m:f>
                <m:fPr>
                  <m:ctrlPr>
                    <w:rPr>
                      <w:rFonts w:ascii="Cambria Math" w:hAnsi="Cambria Math"/>
                    </w:rPr>
                  </m:ctrlPr>
                </m:fPr>
                <m:num>
                  <m:r>
                    <w:rPr>
                      <w:rFonts w:ascii="Cambria Math" w:hAnsi="Cambria Math"/>
                    </w:rPr>
                    <m:t>RR-1</m:t>
                  </m:r>
                </m:num>
                <m:den>
                  <m:r>
                    <w:rPr>
                      <w:rFonts w:ascii="Cambria Math" w:hAnsi="Cambria Math"/>
                    </w:rPr>
                    <m:t>RR</m:t>
                  </m:r>
                </m:den>
              </m:f>
            </m:e>
          </m:d>
        </m:oMath>
      </m:oMathPara>
    </w:p>
    <w:p w14:paraId="6EC83E70" w14:textId="15F89ABE" w:rsidR="00B70C01" w:rsidRPr="00B70C01" w:rsidRDefault="00B70C01" w:rsidP="00B70C01">
      <w:pPr>
        <w:spacing w:before="100" w:beforeAutospacing="1" w:after="100" w:afterAutospacing="1"/>
      </w:pPr>
      <w:r w:rsidRPr="00B70C01">
        <w:t xml:space="preserve">where RR denotes the cumulative relative risk associated with a given </w:t>
      </w:r>
      <m:oMath>
        <m:r>
          <w:rPr>
            <w:rFonts w:ascii="Cambria Math" w:hAnsi="Cambria Math"/>
          </w:rPr>
          <m:t>B</m:t>
        </m:r>
        <m:sSub>
          <m:sSubPr>
            <m:ctrlPr>
              <w:rPr>
                <w:rFonts w:ascii="Cambria Math" w:hAnsi="Cambria Math"/>
              </w:rPr>
            </m:ctrlPr>
          </m:sSubPr>
          <m:e>
            <m:r>
              <w:rPr>
                <w:rFonts w:ascii="Cambria Math" w:hAnsi="Cambria Math"/>
              </w:rPr>
              <m:t>I</m:t>
            </m:r>
          </m:e>
          <m:sub>
            <m:r>
              <w:rPr>
                <w:rFonts w:ascii="Cambria Math" w:hAnsi="Cambria Math"/>
              </w:rPr>
              <m:t>waste</m:t>
            </m:r>
          </m:sub>
        </m:sSub>
      </m:oMath>
      <w:r>
        <w:t xml:space="preserve"> </w:t>
      </w:r>
      <w:r w:rsidRPr="00B70C01">
        <w:t>exposure level.</w:t>
      </w:r>
    </w:p>
    <w:p w14:paraId="131049E8" w14:textId="77777777" w:rsidR="00B70C01" w:rsidRPr="00B70C01" w:rsidRDefault="00B70C01" w:rsidP="00B70C01">
      <w:pPr>
        <w:spacing w:before="100" w:beforeAutospacing="1" w:after="100" w:afterAutospacing="1"/>
      </w:pPr>
      <w:r w:rsidRPr="00B70C01">
        <w:t>Parameter uncertainty from the DLNM was propagated through 5,000 Monte Carlo simulations by drawing coefficient vectors from a multivariate normal distribution:</w:t>
      </w:r>
    </w:p>
    <w:p w14:paraId="35CA23EB" w14:textId="26D0AF13" w:rsidR="00B70C01" w:rsidRDefault="00000000" w:rsidP="00B70C01">
      <w:pPr>
        <w:spacing w:before="100" w:beforeAutospacing="1" w:after="100" w:afterAutospacing="1"/>
        <w:jc w:val="center"/>
      </w:pPr>
      <m:oMathPara>
        <m:oMath>
          <m:d>
            <m:dPr>
              <m:begChr m:val="["/>
              <m:endChr m:val="]"/>
              <m:ctrlPr>
                <w:rPr>
                  <w:rFonts w:ascii="Cambria Math" w:hAnsi="Cambria Math"/>
                </w:rPr>
              </m:ctrlPr>
            </m:dPr>
            <m:e>
              <m:r>
                <m:rPr>
                  <m:sty m:val="bi"/>
                </m:rPr>
                <w:rPr>
                  <w:rFonts w:ascii="Cambria Math" w:hAnsi="Cambria Math"/>
                </w:rPr>
                <m:t>β</m:t>
              </m:r>
              <m:r>
                <w:rPr>
                  <w:rFonts w:ascii="Cambria Math" w:hAnsi="Cambria Math"/>
                </w:rPr>
                <m:t>∼MVN</m:t>
              </m:r>
              <m:d>
                <m:dPr>
                  <m:ctrlPr>
                    <w:rPr>
                      <w:rFonts w:ascii="Cambria Math" w:hAnsi="Cambria Math"/>
                    </w:rPr>
                  </m:ctrlPr>
                </m:dPr>
                <m:e>
                  <m:acc>
                    <m:accPr>
                      <m:chr m:val="ˆ"/>
                      <m:ctrlPr>
                        <w:rPr>
                          <w:rFonts w:ascii="Cambria Math" w:hAnsi="Cambria Math"/>
                        </w:rPr>
                      </m:ctrlPr>
                    </m:accPr>
                    <m:e>
                      <m:r>
                        <m:rPr>
                          <m:sty m:val="bi"/>
                        </m:rPr>
                        <w:rPr>
                          <w:rFonts w:ascii="Cambria Math" w:hAnsi="Cambria Math"/>
                        </w:rPr>
                        <m:t>β</m:t>
                      </m:r>
                    </m:e>
                  </m:acc>
                  <m:r>
                    <w:rPr>
                      <w:rFonts w:ascii="Cambria Math" w:hAnsi="Cambria Math"/>
                    </w:rPr>
                    <m:t>,Σ</m:t>
                  </m:r>
                </m:e>
              </m:d>
            </m:e>
          </m:d>
        </m:oMath>
      </m:oMathPara>
    </w:p>
    <w:p w14:paraId="7F4147CC" w14:textId="450C4DDF" w:rsidR="00B70C01" w:rsidRPr="00B70C01" w:rsidRDefault="00B70C01" w:rsidP="00B70C01">
      <w:pPr>
        <w:spacing w:before="100" w:beforeAutospacing="1" w:after="100" w:afterAutospacing="1"/>
      </w:pPr>
      <w:r w:rsidRPr="00B70C01">
        <w:t xml:space="preserve">where </w:t>
      </w:r>
      <m:oMath>
        <m:d>
          <m:dPr>
            <m:ctrlPr>
              <w:rPr>
                <w:rFonts w:ascii="Cambria Math" w:hAnsi="Cambria Math"/>
              </w:rPr>
            </m:ctrlPr>
          </m:dPr>
          <m:e>
            <m:acc>
              <m:accPr>
                <m:chr m:val="ˆ"/>
                <m:ctrlPr>
                  <w:rPr>
                    <w:rFonts w:ascii="Cambria Math" w:hAnsi="Cambria Math"/>
                  </w:rPr>
                </m:ctrlPr>
              </m:accPr>
              <m:e>
                <m:r>
                  <m:rPr>
                    <m:sty m:val="bi"/>
                  </m:rPr>
                  <w:rPr>
                    <w:rFonts w:ascii="Cambria Math" w:hAnsi="Cambria Math"/>
                  </w:rPr>
                  <m:t>β</m:t>
                </m:r>
              </m:e>
            </m:acc>
          </m:e>
        </m:d>
      </m:oMath>
      <w:r>
        <w:t xml:space="preserve"> </w:t>
      </w:r>
      <w:r w:rsidRPr="00B70C01">
        <w:t>represents the estimated meta-analytic coefficient vector and (</w:t>
      </w:r>
      <m:oMath>
        <m:r>
          <w:rPr>
            <w:rFonts w:ascii="Cambria Math" w:hAnsi="Cambria Math"/>
          </w:rPr>
          <m:t>Σ</m:t>
        </m:r>
      </m:oMath>
      <w:r w:rsidRPr="00B70C01">
        <w:t>) its variance-covariance matrix.</w:t>
      </w:r>
    </w:p>
    <w:p w14:paraId="066C4916" w14:textId="4EC78BAC" w:rsidR="00B70C01" w:rsidRPr="00B70C01" w:rsidRDefault="00B70C01" w:rsidP="00B70C01">
      <w:pPr>
        <w:spacing w:before="100" w:beforeAutospacing="1" w:after="100" w:afterAutospacing="1"/>
      </w:pPr>
      <w:r w:rsidRPr="00B70C01">
        <w:lastRenderedPageBreak/>
        <w:t xml:space="preserve">In the second stage, waste-attributable burden was partitioned into plastic-specific burden using the plastic-associated </w:t>
      </w:r>
      <w:proofErr w:type="spellStart"/>
      <w:r w:rsidRPr="00B70C01">
        <w:t>Breteau</w:t>
      </w:r>
      <w:proofErr w:type="spellEnd"/>
      <w:r w:rsidRPr="00B70C01">
        <w:t xml:space="preserve"> Index (</w:t>
      </w:r>
      <m:oMath>
        <m:r>
          <w:rPr>
            <w:rFonts w:ascii="Cambria Math" w:hAnsi="Cambria Math"/>
          </w:rPr>
          <m:t>B</m:t>
        </m:r>
        <m:sSub>
          <m:sSubPr>
            <m:ctrlPr>
              <w:rPr>
                <w:rFonts w:ascii="Cambria Math" w:hAnsi="Cambria Math"/>
              </w:rPr>
            </m:ctrlPr>
          </m:sSubPr>
          <m:e>
            <m:r>
              <w:rPr>
                <w:rFonts w:ascii="Cambria Math" w:hAnsi="Cambria Math"/>
              </w:rPr>
              <m:t>I</m:t>
            </m:r>
          </m:e>
          <m:sub>
            <m:r>
              <w:rPr>
                <w:rFonts w:ascii="Cambria Math" w:hAnsi="Cambria Math"/>
              </w:rPr>
              <m:t>plastics</m:t>
            </m:r>
          </m:sub>
        </m:sSub>
      </m:oMath>
      <w:r w:rsidRPr="00B70C01">
        <w:t>), derived from dedicated entomological surveillance conducted across eight sentinel districts. The proportional contribution of plastic breeding habitats was estimated as:</w:t>
      </w:r>
    </w:p>
    <w:p w14:paraId="004F8022" w14:textId="7CF21F6B" w:rsidR="00B70C01" w:rsidRPr="00B70C01" w:rsidRDefault="00000000" w:rsidP="00B70C01">
      <w:pPr>
        <w:spacing w:before="100" w:beforeAutospacing="1" w:after="100" w:afterAutospacing="1"/>
      </w:pPr>
      <m:oMathPara>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ω</m:t>
                  </m:r>
                </m:e>
                <m:sub>
                  <m:r>
                    <w:rPr>
                      <w:rFonts w:ascii="Cambria Math" w:hAnsi="Cambria Math"/>
                    </w:rPr>
                    <m:t>plastic,i</m:t>
                  </m:r>
                </m:sub>
              </m:sSub>
              <m:f>
                <m:fPr>
                  <m:ctrlPr>
                    <w:rPr>
                      <w:rFonts w:ascii="Cambria Math" w:hAnsi="Cambria Math"/>
                    </w:rPr>
                  </m:ctrlPr>
                </m:fPr>
                <m:num>
                  <m:sSub>
                    <m:sSubPr>
                      <m:ctrlPr>
                        <w:rPr>
                          <w:rFonts w:ascii="Cambria Math" w:hAnsi="Cambria Math"/>
                        </w:rPr>
                      </m:ctrlPr>
                    </m:sSubPr>
                    <m:e>
                      <m:r>
                        <m:rPr>
                          <m:nor/>
                        </m:rPr>
                        <m:t>Plastic habitats</m:t>
                      </m:r>
                      <m:r>
                        <m:rPr>
                          <m:nor/>
                        </m:rPr>
                        <w:rPr>
                          <w:rFonts w:ascii="Cambria Math"/>
                        </w:rPr>
                        <m:t xml:space="preserve"> infested with </m:t>
                      </m:r>
                      <m:r>
                        <m:rPr>
                          <m:nor/>
                        </m:rPr>
                        <w:rPr>
                          <w:rFonts w:ascii="Cambria Math"/>
                          <w:i/>
                          <w:iCs/>
                        </w:rPr>
                        <m:t>Aedes</m:t>
                      </m:r>
                      <m:r>
                        <m:rPr>
                          <m:nor/>
                        </m:rPr>
                        <w:rPr>
                          <w:rFonts w:ascii="Cambria Math"/>
                        </w:rPr>
                        <m:t xml:space="preserve"> larvae</m:t>
                      </m:r>
                    </m:e>
                    <m:sub>
                      <m:r>
                        <w:rPr>
                          <w:rFonts w:ascii="Cambria Math" w:hAnsi="Cambria Math"/>
                        </w:rPr>
                        <m:t>i</m:t>
                      </m:r>
                    </m:sub>
                  </m:sSub>
                </m:num>
                <m:den>
                  <m:sSub>
                    <m:sSubPr>
                      <m:ctrlPr>
                        <w:rPr>
                          <w:rFonts w:ascii="Cambria Math" w:hAnsi="Cambria Math"/>
                        </w:rPr>
                      </m:ctrlPr>
                    </m:sSubPr>
                    <m:e>
                      <m:r>
                        <m:rPr>
                          <m:nor/>
                        </m:rPr>
                        <m:t>All </m:t>
                      </m:r>
                      <m:r>
                        <m:rPr>
                          <m:nor/>
                        </m:rPr>
                        <w:rPr>
                          <w:rFonts w:ascii="Cambria Math"/>
                        </w:rPr>
                        <m:t xml:space="preserve">non-degradable </m:t>
                      </m:r>
                      <m:r>
                        <m:rPr>
                          <m:nor/>
                        </m:rPr>
                        <m:t>waste-</m:t>
                      </m:r>
                      <m:r>
                        <m:rPr>
                          <m:nor/>
                        </m:rPr>
                        <w:rPr>
                          <w:rFonts w:ascii="Cambria Math"/>
                        </w:rPr>
                        <m:t xml:space="preserve">related habitats </m:t>
                      </m:r>
                      <m:r>
                        <m:rPr>
                          <m:nor/>
                        </m:rPr>
                        <m:t xml:space="preserve">infested with </m:t>
                      </m:r>
                      <m:r>
                        <m:rPr>
                          <m:nor/>
                        </m:rPr>
                        <w:rPr>
                          <w:i/>
                          <w:iCs/>
                        </w:rPr>
                        <m:t>Aedes</m:t>
                      </m:r>
                      <m:r>
                        <m:rPr>
                          <m:nor/>
                        </m:rPr>
                        <m:t xml:space="preserve"> larvae</m:t>
                      </m:r>
                    </m:e>
                    <m:sub>
                      <m:r>
                        <w:rPr>
                          <w:rFonts w:ascii="Cambria Math" w:hAnsi="Cambria Math"/>
                        </w:rPr>
                        <m:t>i</m:t>
                      </m:r>
                    </m:sub>
                  </m:sSub>
                </m:den>
              </m:f>
            </m:e>
          </m:d>
        </m:oMath>
      </m:oMathPara>
    </w:p>
    <w:p w14:paraId="3BEB614F" w14:textId="18D3617C" w:rsidR="00B70C01" w:rsidRPr="00B70C01" w:rsidRDefault="00B70C01" w:rsidP="00B70C01">
      <w:pPr>
        <w:spacing w:before="100" w:beforeAutospacing="1" w:after="100" w:afterAutospacing="1"/>
      </w:pPr>
      <w:r w:rsidRPr="00B70C01">
        <w:t>and plastic-attributable fractions were calculated as:</w:t>
      </w:r>
    </w:p>
    <w:p w14:paraId="7284B185" w14:textId="45A3EEDD" w:rsidR="00B70C01" w:rsidRPr="00B70C01" w:rsidRDefault="00000000" w:rsidP="00B70C01">
      <w:pPr>
        <w:spacing w:before="100" w:beforeAutospacing="1" w:after="100" w:afterAutospacing="1"/>
      </w:pPr>
      <m:oMathPara>
        <m:oMath>
          <m:d>
            <m:dPr>
              <m:begChr m:val="["/>
              <m:endChr m:val="]"/>
              <m:ctrlPr>
                <w:rPr>
                  <w:rFonts w:ascii="Cambria Math" w:hAnsi="Cambria Math"/>
                </w:rPr>
              </m:ctrlPr>
            </m:dPr>
            <m:e>
              <m:r>
                <w:rPr>
                  <w:rFonts w:ascii="Cambria Math" w:hAnsi="Cambria Math"/>
                </w:rPr>
                <m:t>A</m:t>
              </m:r>
              <m:sSub>
                <m:sSubPr>
                  <m:ctrlPr>
                    <w:rPr>
                      <w:rFonts w:ascii="Cambria Math" w:hAnsi="Cambria Math"/>
                    </w:rPr>
                  </m:ctrlPr>
                </m:sSubPr>
                <m:e>
                  <m:r>
                    <w:rPr>
                      <w:rFonts w:ascii="Cambria Math" w:hAnsi="Cambria Math"/>
                    </w:rPr>
                    <m:t>F</m:t>
                  </m:r>
                </m:e>
                <m:sub>
                  <m:r>
                    <w:rPr>
                      <w:rFonts w:ascii="Cambria Math" w:hAnsi="Cambria Math"/>
                    </w:rPr>
                    <m:t>plastic,i</m:t>
                  </m:r>
                </m:sub>
              </m:sSub>
              <m:r>
                <w:rPr>
                  <w:rFonts w:ascii="Cambria Math" w:hAnsi="Cambria Math"/>
                </w:rPr>
                <m:t xml:space="preserve"> = A</m:t>
              </m:r>
              <m:sSub>
                <m:sSubPr>
                  <m:ctrlPr>
                    <w:rPr>
                      <w:rFonts w:ascii="Cambria Math" w:hAnsi="Cambria Math"/>
                    </w:rPr>
                  </m:ctrlPr>
                </m:sSubPr>
                <m:e>
                  <m:r>
                    <w:rPr>
                      <w:rFonts w:ascii="Cambria Math" w:hAnsi="Cambria Math"/>
                    </w:rPr>
                    <m:t>F</m:t>
                  </m:r>
                </m:e>
                <m:sub>
                  <m:r>
                    <w:rPr>
                      <w:rFonts w:ascii="Cambria Math" w:hAnsi="Cambria Math"/>
                    </w:rPr>
                    <m:t>waste,i</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plastic,i</m:t>
                  </m:r>
                </m:sub>
              </m:sSub>
            </m:e>
          </m:d>
        </m:oMath>
      </m:oMathPara>
    </w:p>
    <w:p w14:paraId="49BDBAB2" w14:textId="5B2861DE" w:rsidR="00B70C01" w:rsidRPr="00B70C01" w:rsidRDefault="00B70C01" w:rsidP="00B70C01">
      <w:pPr>
        <w:spacing w:before="100" w:beforeAutospacing="1" w:after="100" w:afterAutospacing="1"/>
      </w:pPr>
      <w:r w:rsidRPr="00B70C01">
        <w:t xml:space="preserve">where </w:t>
      </w:r>
      <m:oMath>
        <m:d>
          <m:dPr>
            <m:ctrlPr>
              <w:rPr>
                <w:rFonts w:ascii="Cambria Math" w:hAnsi="Cambria Math"/>
              </w:rPr>
            </m:ctrlPr>
          </m:dPr>
          <m:e>
            <m:sSub>
              <m:sSubPr>
                <m:ctrlPr>
                  <w:rPr>
                    <w:rFonts w:ascii="Cambria Math" w:hAnsi="Cambria Math"/>
                  </w:rPr>
                </m:ctrlPr>
              </m:sSubPr>
              <m:e>
                <m:r>
                  <w:rPr>
                    <w:rFonts w:ascii="Cambria Math" w:hAnsi="Cambria Math"/>
                  </w:rPr>
                  <m:t>ω</m:t>
                </m:r>
              </m:e>
              <m:sub>
                <m:r>
                  <w:rPr>
                    <w:rFonts w:ascii="Cambria Math" w:hAnsi="Cambria Math"/>
                  </w:rPr>
                  <m:t>plastic,i</m:t>
                </m:r>
              </m:sub>
            </m:sSub>
          </m:e>
        </m:d>
      </m:oMath>
      <w:r w:rsidR="00006EBA">
        <w:t xml:space="preserve"> </w:t>
      </w:r>
      <w:r w:rsidRPr="00B70C01">
        <w:t>was modeled probabilistically using Beta distributions parameterized from observed plastic and non-plastic larval habitat counts</w:t>
      </w:r>
      <w:r w:rsidR="00B15133">
        <w:t xml:space="preserve"> in </w:t>
      </w:r>
      <w:proofErr w:type="spellStart"/>
      <w:r w:rsidR="00B15133" w:rsidRPr="00B15133">
        <w:rPr>
          <w:i/>
          <w:iCs/>
        </w:rPr>
        <w:t>i</w:t>
      </w:r>
      <w:proofErr w:type="spellEnd"/>
      <w:r w:rsidR="00B15133">
        <w:t xml:space="preserve"> district</w:t>
      </w:r>
      <w:r w:rsidRPr="00B70C01">
        <w:t>.</w:t>
      </w:r>
    </w:p>
    <w:p w14:paraId="0EB01223" w14:textId="705DA9C3" w:rsidR="00B70C01" w:rsidRPr="004E6BA5" w:rsidRDefault="00B70C01" w:rsidP="004E6BA5">
      <w:pPr>
        <w:pStyle w:val="Heading3"/>
        <w:rPr>
          <w:rFonts w:ascii="Times New Roman" w:hAnsi="Times New Roman" w:cs="Times New Roman"/>
          <w:b/>
          <w:bCs/>
          <w:color w:val="auto"/>
          <w:sz w:val="24"/>
          <w:szCs w:val="24"/>
        </w:rPr>
      </w:pPr>
      <w:bookmarkStart w:id="19" w:name="_Toc235161899"/>
      <w:r w:rsidRPr="004E6BA5">
        <w:rPr>
          <w:rFonts w:ascii="Times New Roman" w:hAnsi="Times New Roman" w:cs="Times New Roman"/>
          <w:b/>
          <w:bCs/>
          <w:color w:val="auto"/>
          <w:sz w:val="24"/>
          <w:szCs w:val="24"/>
        </w:rPr>
        <w:t xml:space="preserve">Estimation of </w:t>
      </w:r>
      <w:r w:rsidR="00177424" w:rsidRPr="004E6BA5">
        <w:rPr>
          <w:rFonts w:ascii="Times New Roman" w:hAnsi="Times New Roman" w:cs="Times New Roman"/>
          <w:b/>
          <w:bCs/>
          <w:color w:val="auto"/>
          <w:sz w:val="24"/>
          <w:szCs w:val="24"/>
        </w:rPr>
        <w:t>attributable cases and deaths</w:t>
      </w:r>
      <w:bookmarkEnd w:id="19"/>
    </w:p>
    <w:p w14:paraId="13B48988" w14:textId="77777777" w:rsidR="00B70C01" w:rsidRPr="00B70C01" w:rsidRDefault="00B70C01" w:rsidP="00B70C01">
      <w:pPr>
        <w:spacing w:before="100" w:beforeAutospacing="1" w:after="100" w:afterAutospacing="1"/>
      </w:pPr>
      <w:r w:rsidRPr="00B70C01">
        <w:t>For each simulation iteration, attributable dengue cases were estimated as:</w:t>
      </w:r>
    </w:p>
    <w:p w14:paraId="3FCB136A" w14:textId="6CB4994E" w:rsidR="00006EBA" w:rsidRDefault="00000000" w:rsidP="00006EBA">
      <w:pPr>
        <w:spacing w:before="100" w:beforeAutospacing="1" w:after="100" w:afterAutospacing="1"/>
        <w:jc w:val="center"/>
      </w:pPr>
      <m:oMathPara>
        <m:oMath>
          <m:d>
            <m:dPr>
              <m:begChr m:val="["/>
              <m:endChr m:val="]"/>
              <m:ctrlPr>
                <w:rPr>
                  <w:rFonts w:ascii="Cambria Math" w:hAnsi="Cambria Math"/>
                </w:rPr>
              </m:ctrlPr>
            </m:dPr>
            <m:e>
              <m:r>
                <w:rPr>
                  <w:rFonts w:ascii="Cambria Math" w:hAnsi="Cambria Math"/>
                </w:rPr>
                <m:t>A</m:t>
              </m:r>
              <m:sSub>
                <m:sSubPr>
                  <m:ctrlPr>
                    <w:rPr>
                      <w:rFonts w:ascii="Cambria Math" w:hAnsi="Cambria Math"/>
                    </w:rPr>
                  </m:ctrlPr>
                </m:sSubPr>
                <m:e>
                  <m:r>
                    <w:rPr>
                      <w:rFonts w:ascii="Cambria Math" w:hAnsi="Cambria Math"/>
                    </w:rPr>
                    <m:t>N</m:t>
                  </m:r>
                </m:e>
                <m:sub>
                  <m:r>
                    <w:rPr>
                      <w:rFonts w:ascii="Cambria Math" w:hAnsi="Cambria Math"/>
                    </w:rPr>
                    <m:t>i</m:t>
                  </m:r>
                </m:sub>
              </m:sSub>
              <m:r>
                <w:rPr>
                  <w:rFonts w:ascii="Cambria Math" w:hAnsi="Cambria Math"/>
                </w:rPr>
                <m:t>=A</m:t>
              </m:r>
              <m:sSub>
                <m:sSubPr>
                  <m:ctrlPr>
                    <w:rPr>
                      <w:rFonts w:ascii="Cambria Math" w:hAnsi="Cambria Math"/>
                    </w:rPr>
                  </m:ctrlPr>
                </m:sSubPr>
                <m:e>
                  <m:r>
                    <w:rPr>
                      <w:rFonts w:ascii="Cambria Math" w:hAnsi="Cambria Math"/>
                    </w:rPr>
                    <m:t>F</m:t>
                  </m:r>
                </m:e>
                <m:sub>
                  <m:r>
                    <w:rPr>
                      <w:rFonts w:ascii="Cambria Math" w:hAnsi="Cambria Math"/>
                    </w:rPr>
                    <m:t>i</m:t>
                  </m:r>
                </m:sub>
              </m:sSub>
              <m:r>
                <w:rPr>
                  <w:rFonts w:ascii="Cambria Math" w:hAnsi="Cambria Math"/>
                </w:rPr>
                <m:t>×Case</m:t>
              </m:r>
              <m:sSub>
                <m:sSubPr>
                  <m:ctrlPr>
                    <w:rPr>
                      <w:rFonts w:ascii="Cambria Math" w:hAnsi="Cambria Math"/>
                    </w:rPr>
                  </m:ctrlPr>
                </m:sSubPr>
                <m:e>
                  <m:r>
                    <w:rPr>
                      <w:rFonts w:ascii="Cambria Math" w:hAnsi="Cambria Math"/>
                    </w:rPr>
                    <m:t>s</m:t>
                  </m:r>
                </m:e>
                <m:sub>
                  <m:r>
                    <w:rPr>
                      <w:rFonts w:ascii="Cambria Math" w:hAnsi="Cambria Math"/>
                    </w:rPr>
                    <m:t>i</m:t>
                  </m:r>
                </m:sub>
              </m:sSub>
            </m:e>
          </m:d>
        </m:oMath>
      </m:oMathPara>
    </w:p>
    <w:p w14:paraId="58BEDCE2" w14:textId="4F38807B" w:rsidR="00B70C01" w:rsidRPr="00B70C01" w:rsidRDefault="00B70C01" w:rsidP="00B70C01">
      <w:pPr>
        <w:spacing w:before="100" w:beforeAutospacing="1" w:after="100" w:afterAutospacing="1"/>
      </w:pPr>
      <w:r w:rsidRPr="00B70C01">
        <w:t>where (</w:t>
      </w:r>
      <m:oMath>
        <m:r>
          <w:rPr>
            <w:rFonts w:ascii="Cambria Math" w:hAnsi="Cambria Math"/>
          </w:rPr>
          <m:t>A</m:t>
        </m:r>
        <m:sSub>
          <m:sSubPr>
            <m:ctrlPr>
              <w:rPr>
                <w:rFonts w:ascii="Cambria Math" w:hAnsi="Cambria Math"/>
              </w:rPr>
            </m:ctrlPr>
          </m:sSubPr>
          <m:e>
            <m:r>
              <w:rPr>
                <w:rFonts w:ascii="Cambria Math" w:hAnsi="Cambria Math"/>
              </w:rPr>
              <m:t>N</m:t>
            </m:r>
          </m:e>
          <m:sub>
            <m:r>
              <w:rPr>
                <w:rFonts w:ascii="Cambria Math" w:hAnsi="Cambria Math"/>
              </w:rPr>
              <m:t>i</m:t>
            </m:r>
          </m:sub>
        </m:sSub>
      </m:oMath>
      <w:r w:rsidRPr="00B70C01">
        <w:t xml:space="preserve">) represented either the waste-attributable fraction or plastic-attributable fraction depending on </w:t>
      </w:r>
      <w:r w:rsidR="00B15133">
        <w:t xml:space="preserve">district </w:t>
      </w:r>
      <w:proofErr w:type="spellStart"/>
      <w:r w:rsidR="00B15133" w:rsidRPr="00B15133">
        <w:rPr>
          <w:i/>
          <w:iCs/>
        </w:rPr>
        <w:t>i</w:t>
      </w:r>
      <w:proofErr w:type="spellEnd"/>
      <w:r w:rsidRPr="00B70C01">
        <w:t>.</w:t>
      </w:r>
    </w:p>
    <w:p w14:paraId="2D2CB4A7" w14:textId="77777777" w:rsidR="00B70C01" w:rsidRPr="00B70C01" w:rsidRDefault="00B70C01" w:rsidP="00B70C01">
      <w:pPr>
        <w:spacing w:before="100" w:beforeAutospacing="1" w:after="100" w:afterAutospacing="1"/>
      </w:pPr>
      <w:r w:rsidRPr="00B70C01">
        <w:t>Observed annual dengue deaths were modeled using Poisson distributions to reflect stochastic uncertainty around reported mortality:</w:t>
      </w:r>
    </w:p>
    <w:p w14:paraId="5E657574" w14:textId="05676356" w:rsidR="00006EBA" w:rsidRDefault="00000000" w:rsidP="00006EBA">
      <w:pPr>
        <w:spacing w:before="100" w:beforeAutospacing="1" w:after="100" w:afterAutospacing="1"/>
        <w:jc w:val="center"/>
      </w:pPr>
      <m:oMathPara>
        <m:oMath>
          <m:d>
            <m:dPr>
              <m:begChr m:val="["/>
              <m:endChr m:val="]"/>
              <m:ctrlPr>
                <w:rPr>
                  <w:rFonts w:ascii="Cambria Math" w:hAnsi="Cambria Math"/>
                </w:rPr>
              </m:ctrlPr>
            </m:dPr>
            <m:e>
              <m:r>
                <w:rPr>
                  <w:rFonts w:ascii="Cambria Math" w:hAnsi="Cambria Math"/>
                </w:rPr>
                <m:t>Death</m:t>
              </m:r>
              <m:sSub>
                <m:sSubPr>
                  <m:ctrlPr>
                    <w:rPr>
                      <w:rFonts w:ascii="Cambria Math" w:hAnsi="Cambria Math"/>
                    </w:rPr>
                  </m:ctrlPr>
                </m:sSubPr>
                <m:e>
                  <m:r>
                    <w:rPr>
                      <w:rFonts w:ascii="Cambria Math" w:hAnsi="Cambria Math"/>
                    </w:rPr>
                    <m:t>s</m:t>
                  </m:r>
                </m:e>
                <m:sub>
                  <m:r>
                    <w:rPr>
                      <w:rFonts w:ascii="Cambria Math" w:hAnsi="Cambria Math"/>
                    </w:rPr>
                    <m:t>y</m:t>
                  </m:r>
                </m:sub>
              </m:sSub>
              <m:r>
                <w:rPr>
                  <w:rFonts w:ascii="Cambria Math" w:hAnsi="Cambria Math"/>
                </w:rPr>
                <m:t>∼Poisson</m:t>
              </m:r>
              <m:d>
                <m:dPr>
                  <m:ctrlPr>
                    <w:rPr>
                      <w:rFonts w:ascii="Cambria Math" w:hAnsi="Cambria Math"/>
                    </w:rPr>
                  </m:ctrlPr>
                </m:dPr>
                <m:e>
                  <m:sSub>
                    <m:sSubPr>
                      <m:ctrlPr>
                        <w:rPr>
                          <w:rFonts w:ascii="Cambria Math" w:hAnsi="Cambria Math"/>
                        </w:rPr>
                      </m:ctrlPr>
                    </m:sSubPr>
                    <m:e>
                      <m:r>
                        <w:rPr>
                          <w:rFonts w:ascii="Cambria Math" w:hAnsi="Cambria Math"/>
                        </w:rPr>
                        <m:t>λ</m:t>
                      </m:r>
                    </m:e>
                    <m:sub>
                      <m:r>
                        <w:rPr>
                          <w:rFonts w:ascii="Cambria Math" w:hAnsi="Cambria Math"/>
                        </w:rPr>
                        <m:t>y</m:t>
                      </m:r>
                    </m:sub>
                  </m:sSub>
                </m:e>
              </m:d>
            </m:e>
          </m:d>
        </m:oMath>
      </m:oMathPara>
    </w:p>
    <w:p w14:paraId="580F6FB7" w14:textId="0CAA8971" w:rsidR="00B70C01" w:rsidRPr="00B70C01" w:rsidRDefault="00B70C01" w:rsidP="00B70C01">
      <w:pPr>
        <w:spacing w:before="100" w:beforeAutospacing="1" w:after="100" w:afterAutospacing="1"/>
      </w:pPr>
      <w:r w:rsidRPr="00B70C01">
        <w:t>where (</w:t>
      </w:r>
      <m:oMath>
        <m:sSub>
          <m:sSubPr>
            <m:ctrlPr>
              <w:rPr>
                <w:rFonts w:ascii="Cambria Math" w:hAnsi="Cambria Math"/>
              </w:rPr>
            </m:ctrlPr>
          </m:sSubPr>
          <m:e>
            <m:r>
              <w:rPr>
                <w:rFonts w:ascii="Cambria Math" w:hAnsi="Cambria Math"/>
              </w:rPr>
              <m:t>λ</m:t>
            </m:r>
          </m:e>
          <m:sub>
            <m:r>
              <w:rPr>
                <w:rFonts w:ascii="Cambria Math" w:hAnsi="Cambria Math"/>
              </w:rPr>
              <m:t>y</m:t>
            </m:r>
          </m:sub>
        </m:sSub>
      </m:oMath>
      <w:r w:rsidRPr="00B70C01">
        <w:t>) corresponded to nationally observed annual dengue deaths for each year. Attributable deaths were subsequently estimated as:</w:t>
      </w:r>
    </w:p>
    <w:p w14:paraId="70F6EC0E" w14:textId="69C5B974" w:rsidR="00006EBA" w:rsidRPr="00006EBA" w:rsidRDefault="00000000" w:rsidP="00B70C01">
      <w:pPr>
        <w:spacing w:before="100" w:beforeAutospacing="1" w:after="100" w:afterAutospacing="1"/>
      </w:pPr>
      <m:oMathPara>
        <m:oMath>
          <m:d>
            <m:dPr>
              <m:begChr m:val="["/>
              <m:endChr m:val="]"/>
              <m:ctrlPr>
                <w:rPr>
                  <w:rFonts w:ascii="Cambria Math" w:hAnsi="Cambria Math"/>
                </w:rPr>
              </m:ctrlPr>
            </m:dPr>
            <m:e>
              <m:r>
                <w:rPr>
                  <w:rFonts w:ascii="Cambria Math" w:hAnsi="Cambria Math"/>
                </w:rPr>
                <m:t>Death</m:t>
              </m:r>
              <m:sSub>
                <m:sSubPr>
                  <m:ctrlPr>
                    <w:rPr>
                      <w:rFonts w:ascii="Cambria Math" w:hAnsi="Cambria Math"/>
                    </w:rPr>
                  </m:ctrlPr>
                </m:sSubPr>
                <m:e>
                  <m:r>
                    <w:rPr>
                      <w:rFonts w:ascii="Cambria Math" w:hAnsi="Cambria Math"/>
                    </w:rPr>
                    <m:t>s</m:t>
                  </m:r>
                </m:e>
                <m:sub>
                  <m:r>
                    <w:rPr>
                      <w:rFonts w:ascii="Cambria Math" w:hAnsi="Cambria Math"/>
                    </w:rPr>
                    <m:t>attrib,i</m:t>
                  </m:r>
                </m:sub>
              </m:sSub>
              <m:r>
                <w:rPr>
                  <w:rFonts w:ascii="Cambria Math" w:hAnsi="Cambria Math"/>
                </w:rPr>
                <m:t xml:space="preserve"> = A</m:t>
              </m:r>
              <m:sSub>
                <m:sSubPr>
                  <m:ctrlPr>
                    <w:rPr>
                      <w:rFonts w:ascii="Cambria Math" w:hAnsi="Cambria Math"/>
                    </w:rPr>
                  </m:ctrlPr>
                </m:sSubPr>
                <m:e>
                  <m:r>
                    <w:rPr>
                      <w:rFonts w:ascii="Cambria Math" w:hAnsi="Cambria Math"/>
                    </w:rPr>
                    <m:t>F</m:t>
                  </m:r>
                </m:e>
                <m:sub>
                  <m:r>
                    <w:rPr>
                      <w:rFonts w:ascii="Cambria Math" w:hAnsi="Cambria Math"/>
                    </w:rPr>
                    <m:t>i</m:t>
                  </m:r>
                </m:sub>
              </m:sSub>
              <m:r>
                <w:rPr>
                  <w:rFonts w:ascii="Cambria Math" w:hAnsi="Cambria Math"/>
                </w:rPr>
                <m:t>×Death</m:t>
              </m:r>
              <m:sSub>
                <m:sSubPr>
                  <m:ctrlPr>
                    <w:rPr>
                      <w:rFonts w:ascii="Cambria Math" w:hAnsi="Cambria Math"/>
                    </w:rPr>
                  </m:ctrlPr>
                </m:sSubPr>
                <m:e>
                  <m:r>
                    <w:rPr>
                      <w:rFonts w:ascii="Cambria Math" w:hAnsi="Cambria Math"/>
                    </w:rPr>
                    <m:t>s</m:t>
                  </m:r>
                </m:e>
                <m:sub>
                  <m:r>
                    <w:rPr>
                      <w:rFonts w:ascii="Cambria Math" w:hAnsi="Cambria Math"/>
                    </w:rPr>
                    <m:t>y</m:t>
                  </m:r>
                </m:sub>
              </m:sSub>
            </m:e>
          </m:d>
        </m:oMath>
      </m:oMathPara>
    </w:p>
    <w:p w14:paraId="27F6FF42" w14:textId="3553F551" w:rsidR="00B70C01" w:rsidRPr="00B70C01" w:rsidRDefault="00B70C01" w:rsidP="00B70C01">
      <w:pPr>
        <w:spacing w:before="100" w:beforeAutospacing="1" w:after="100" w:afterAutospacing="1"/>
      </w:pPr>
      <w:r w:rsidRPr="00B70C01">
        <w:t>reflecting the assumption that the attributable fraction for mortality is proportional to the attributable fraction estimated for incident disease in the absence of exposure-specific mortality data.</w:t>
      </w:r>
    </w:p>
    <w:p w14:paraId="49AB3D39" w14:textId="77777777" w:rsidR="00B70C01" w:rsidRPr="00B70C01" w:rsidRDefault="00B70C01" w:rsidP="00B70C01">
      <w:pPr>
        <w:spacing w:before="100" w:beforeAutospacing="1" w:after="100" w:afterAutospacing="1"/>
      </w:pPr>
      <w:r w:rsidRPr="00B70C01">
        <w:t>Age-specific distributions of reported dengue deaths obtained from national surveillance records were incorporated to allocate attributable mortality across age strata. This enabled estimation of age-specific years of life lost and productivity losses associated with premature mortality.</w:t>
      </w:r>
    </w:p>
    <w:p w14:paraId="4958A107" w14:textId="6E385BFC" w:rsidR="00B70C01" w:rsidRPr="00B70C01" w:rsidRDefault="00B70C01" w:rsidP="00B70C01">
      <w:pPr>
        <w:spacing w:before="100" w:beforeAutospacing="1" w:after="100" w:afterAutospacing="1"/>
        <w:outlineLvl w:val="3"/>
        <w:rPr>
          <w:b/>
          <w:bCs/>
        </w:rPr>
      </w:pPr>
      <w:r w:rsidRPr="00B70C01">
        <w:rPr>
          <w:b/>
          <w:bCs/>
        </w:rPr>
        <w:t xml:space="preserve">Clinical </w:t>
      </w:r>
      <w:r w:rsidR="00DF3EF5" w:rsidRPr="00B70C01">
        <w:rPr>
          <w:b/>
          <w:bCs/>
        </w:rPr>
        <w:t>severity stratification</w:t>
      </w:r>
    </w:p>
    <w:p w14:paraId="682663E8" w14:textId="77777777" w:rsidR="00B70C01" w:rsidRPr="00B70C01" w:rsidRDefault="00B70C01" w:rsidP="00006EBA">
      <w:pPr>
        <w:spacing w:before="100" w:beforeAutospacing="1" w:after="100" w:afterAutospacing="1"/>
        <w:jc w:val="both"/>
      </w:pPr>
      <w:r w:rsidRPr="00B70C01">
        <w:lastRenderedPageBreak/>
        <w:t>Hospitalized dengue cases were stratified by age and disease severity to capture differential healthcare resource utilization. Based on national surveillance data, 25% of attributable dengue cases were classified as hospitalized and 75% as ambulatory.</w:t>
      </w:r>
    </w:p>
    <w:p w14:paraId="23D3975F" w14:textId="77777777" w:rsidR="00B70C01" w:rsidRPr="00B70C01" w:rsidRDefault="00B70C01" w:rsidP="00006EBA">
      <w:pPr>
        <w:spacing w:before="100" w:beforeAutospacing="1" w:after="100" w:afterAutospacing="1"/>
        <w:jc w:val="both"/>
      </w:pPr>
      <w:r w:rsidRPr="00B70C01">
        <w:t>Hospitalized pediatric and adult cohorts were further divided into dengue fever (DF), dengue hemorrhagic fever (DHF), and dengue shock syndrome (DSS) using empirically observed severity distributions. Pediatric cases were allocated as 65.0% DF, 25.7% DHF, and 9.3% DSS, whereas adult cases were allocated as 73.6% DF, 17.5% DHF, and 8.9% DSS. These severity categories determined the corresponding ward-based and intensive care unit (ICU) treatment costs applied within each simulation iteration.</w:t>
      </w:r>
    </w:p>
    <w:p w14:paraId="0762D40F" w14:textId="0C5D4B25" w:rsidR="00B70C01" w:rsidRPr="00B70C01" w:rsidRDefault="00B70C01" w:rsidP="00B70C01">
      <w:pPr>
        <w:spacing w:before="100" w:beforeAutospacing="1" w:after="100" w:afterAutospacing="1"/>
        <w:outlineLvl w:val="3"/>
        <w:rPr>
          <w:b/>
          <w:bCs/>
        </w:rPr>
      </w:pPr>
      <w:r w:rsidRPr="00B70C01">
        <w:rPr>
          <w:b/>
          <w:bCs/>
        </w:rPr>
        <w:t xml:space="preserve">Direct </w:t>
      </w:r>
      <w:r w:rsidR="00DF3EF5" w:rsidRPr="00B70C01">
        <w:rPr>
          <w:b/>
          <w:bCs/>
        </w:rPr>
        <w:t>healthcare costs</w:t>
      </w:r>
    </w:p>
    <w:p w14:paraId="756DEDEE" w14:textId="77777777" w:rsidR="00B70C01" w:rsidRPr="00B70C01" w:rsidRDefault="00B70C01" w:rsidP="00B70C01">
      <w:pPr>
        <w:spacing w:before="100" w:beforeAutospacing="1" w:after="100" w:afterAutospacing="1"/>
      </w:pPr>
      <w:r w:rsidRPr="00B70C01">
        <w:t>Provider costs included outpatient management, general ward admissions, and ICU admissions. Cost estimates were derived from Sri Lankan dengue costing studies and updated to 2024 values using inflation-adjusted currency conversions. All healthcare costs were modeled using Gamma distributions:</w:t>
      </w:r>
    </w:p>
    <w:p w14:paraId="6D7AC9F9" w14:textId="77777777" w:rsidR="00DF3EF5" w:rsidRDefault="00000000" w:rsidP="00B70C01">
      <w:pPr>
        <w:spacing w:before="100" w:beforeAutospacing="1" w:after="100" w:afterAutospacing="1"/>
      </w:pPr>
      <m:oMathPara>
        <m:oMath>
          <m:d>
            <m:dPr>
              <m:begChr m:val="["/>
              <m:endChr m:val="]"/>
              <m:ctrlPr>
                <w:rPr>
                  <w:rFonts w:ascii="Cambria Math" w:hAnsi="Cambria Math"/>
                </w:rPr>
              </m:ctrlPr>
            </m:dPr>
            <m:e>
              <m:r>
                <w:rPr>
                  <w:rFonts w:ascii="Cambria Math" w:hAnsi="Cambria Math"/>
                </w:rPr>
                <m:t>Cost∼Gamma</m:t>
              </m:r>
              <m:d>
                <m:dPr>
                  <m:ctrlPr>
                    <w:rPr>
                      <w:rFonts w:ascii="Cambria Math" w:hAnsi="Cambria Math"/>
                    </w:rPr>
                  </m:ctrlPr>
                </m:dPr>
                <m:e>
                  <m:r>
                    <w:rPr>
                      <w:rFonts w:ascii="Cambria Math" w:hAnsi="Cambria Math"/>
                    </w:rPr>
                    <m:t>shape,scale</m:t>
                  </m:r>
                </m:e>
              </m:d>
            </m:e>
          </m:d>
        </m:oMath>
      </m:oMathPara>
    </w:p>
    <w:p w14:paraId="6349C313" w14:textId="0911085F" w:rsidR="00B70C01" w:rsidRPr="00B70C01" w:rsidRDefault="00B70C01" w:rsidP="00B70C01">
      <w:pPr>
        <w:spacing w:before="100" w:beforeAutospacing="1" w:after="100" w:afterAutospacing="1"/>
      </w:pPr>
      <w:r w:rsidRPr="00B70C01">
        <w:t>with coefficients of variation fixed at 20% to reflect uncertainty around resource utilization and costing estimates.</w:t>
      </w:r>
    </w:p>
    <w:p w14:paraId="1FCD9DE6" w14:textId="77777777" w:rsidR="00B70C01" w:rsidRPr="00B70C01" w:rsidRDefault="00B70C01" w:rsidP="00B70C01">
      <w:pPr>
        <w:spacing w:before="100" w:beforeAutospacing="1" w:after="100" w:afterAutospacing="1"/>
      </w:pPr>
      <w:r w:rsidRPr="00B70C01">
        <w:t>Total provider costs were estimated by summing severity-specific expenditures across ambulatory, ward-based, and ICU-managed patients.</w:t>
      </w:r>
    </w:p>
    <w:p w14:paraId="2E2F4CE8" w14:textId="77777777" w:rsidR="00B70C01" w:rsidRPr="00B70C01" w:rsidRDefault="00B70C01" w:rsidP="00B70C01">
      <w:pPr>
        <w:spacing w:before="100" w:beforeAutospacing="1" w:after="100" w:afterAutospacing="1"/>
        <w:outlineLvl w:val="3"/>
        <w:rPr>
          <w:b/>
          <w:bCs/>
        </w:rPr>
      </w:pPr>
      <w:r w:rsidRPr="00B70C01">
        <w:rPr>
          <w:b/>
          <w:bCs/>
        </w:rPr>
        <w:t>National Dengue Prevention Program Costs</w:t>
      </w:r>
    </w:p>
    <w:p w14:paraId="67A63DA4" w14:textId="77777777" w:rsidR="00B70C01" w:rsidRPr="00B70C01" w:rsidRDefault="00B70C01" w:rsidP="00B70C01">
      <w:pPr>
        <w:spacing w:before="100" w:beforeAutospacing="1" w:after="100" w:afterAutospacing="1"/>
      </w:pPr>
      <w:r w:rsidRPr="00B70C01">
        <w:t>In addition to treatment-related expenditures, the analysis incorporated annual national dengue prevention and vector-control expenditures. These included operational costs, administrative expenditures, outbreak review activities, entomological surveillance, and personnel salaries for entomologists, public health officers, and field assistants.</w:t>
      </w:r>
    </w:p>
    <w:p w14:paraId="6F97A2DA" w14:textId="77777777" w:rsidR="00B70C01" w:rsidRPr="00B70C01" w:rsidRDefault="00B70C01" w:rsidP="00B70C01">
      <w:pPr>
        <w:spacing w:before="100" w:beforeAutospacing="1" w:after="100" w:afterAutospacing="1"/>
      </w:pPr>
      <w:r w:rsidRPr="00B70C01">
        <w:t>Annual attributable program costs were estimated as:</w:t>
      </w:r>
    </w:p>
    <w:p w14:paraId="04039B49" w14:textId="55BA9255" w:rsidR="00DF3EF5" w:rsidRPr="00DF3EF5" w:rsidRDefault="00000000" w:rsidP="00B70C01">
      <w:pPr>
        <w:spacing w:before="100" w:beforeAutospacing="1" w:after="100" w:afterAutospacing="1"/>
      </w:pPr>
      <m:oMathPara>
        <m:oMath>
          <m:d>
            <m:dPr>
              <m:begChr m:val="["/>
              <m:endChr m:val="]"/>
              <m:ctrlPr>
                <w:rPr>
                  <w:rFonts w:ascii="Cambria Math" w:hAnsi="Cambria Math"/>
                </w:rPr>
              </m:ctrlPr>
            </m:dPr>
            <m:e>
              <m:r>
                <w:rPr>
                  <w:rFonts w:ascii="Cambria Math" w:hAnsi="Cambria Math"/>
                </w:rPr>
                <m:t>ProgramCos</m:t>
              </m:r>
              <m:sSub>
                <m:sSubPr>
                  <m:ctrlPr>
                    <w:rPr>
                      <w:rFonts w:ascii="Cambria Math" w:hAnsi="Cambria Math"/>
                    </w:rPr>
                  </m:ctrlPr>
                </m:sSubPr>
                <m:e>
                  <m:r>
                    <w:rPr>
                      <w:rFonts w:ascii="Cambria Math" w:hAnsi="Cambria Math"/>
                    </w:rPr>
                    <m:t>t</m:t>
                  </m:r>
                </m:e>
                <m:sub>
                  <m:r>
                    <w:rPr>
                      <w:rFonts w:ascii="Cambria Math" w:hAnsi="Cambria Math"/>
                    </w:rPr>
                    <m:t>attrib</m:t>
                  </m:r>
                </m:sub>
              </m:sSub>
              <m:r>
                <w:rPr>
                  <w:rFonts w:ascii="Cambria Math" w:hAnsi="Cambria Math"/>
                </w:rPr>
                <m:t xml:space="preserve"> = ProgramCos</m:t>
              </m:r>
              <m:sSub>
                <m:sSubPr>
                  <m:ctrlPr>
                    <w:rPr>
                      <w:rFonts w:ascii="Cambria Math" w:hAnsi="Cambria Math"/>
                    </w:rPr>
                  </m:ctrlPr>
                </m:sSubPr>
                <m:e>
                  <m:r>
                    <w:rPr>
                      <w:rFonts w:ascii="Cambria Math" w:hAnsi="Cambria Math"/>
                    </w:rPr>
                    <m:t>t</m:t>
                  </m:r>
                </m:e>
                <m:sub>
                  <m:r>
                    <w:rPr>
                      <w:rFonts w:ascii="Cambria Math" w:hAnsi="Cambria Math"/>
                    </w:rPr>
                    <m:t>total</m:t>
                  </m:r>
                </m:sub>
              </m:sSub>
              <m:r>
                <w:rPr>
                  <w:rFonts w:ascii="Cambria Math" w:hAnsi="Cambria Math"/>
                </w:rPr>
                <m:t>×</m:t>
              </m:r>
              <m:bar>
                <m:barPr>
                  <m:pos m:val="top"/>
                  <m:ctrlPr>
                    <w:rPr>
                      <w:rFonts w:ascii="Cambria Math" w:hAnsi="Cambria Math"/>
                    </w:rPr>
                  </m:ctrlPr>
                </m:barPr>
                <m:e>
                  <m:r>
                    <w:rPr>
                      <w:rFonts w:ascii="Cambria Math" w:hAnsi="Cambria Math"/>
                    </w:rPr>
                    <m:t>AF</m:t>
                  </m:r>
                </m:e>
              </m:bar>
            </m:e>
          </m:d>
        </m:oMath>
      </m:oMathPara>
    </w:p>
    <w:p w14:paraId="1353C55A" w14:textId="4D1F655E" w:rsidR="00B70C01" w:rsidRPr="00B70C01" w:rsidRDefault="00B70C01" w:rsidP="00B70C01">
      <w:pPr>
        <w:spacing w:before="100" w:beforeAutospacing="1" w:after="100" w:afterAutospacing="1"/>
      </w:pPr>
      <w:r w:rsidRPr="00B70C01">
        <w:t xml:space="preserve">where </w:t>
      </w:r>
      <m:oMath>
        <m:d>
          <m:dPr>
            <m:ctrlPr>
              <w:rPr>
                <w:rFonts w:ascii="Cambria Math" w:hAnsi="Cambria Math"/>
              </w:rPr>
            </m:ctrlPr>
          </m:dPr>
          <m:e>
            <m:bar>
              <m:barPr>
                <m:pos m:val="top"/>
                <m:ctrlPr>
                  <w:rPr>
                    <w:rFonts w:ascii="Cambria Math" w:hAnsi="Cambria Math"/>
                  </w:rPr>
                </m:ctrlPr>
              </m:barPr>
              <m:e>
                <m:r>
                  <w:rPr>
                    <w:rFonts w:ascii="Cambria Math" w:hAnsi="Cambria Math"/>
                  </w:rPr>
                  <m:t>AF</m:t>
                </m:r>
              </m:e>
            </m:bar>
          </m:e>
        </m:d>
      </m:oMath>
      <w:r w:rsidR="00DF3EF5">
        <w:t xml:space="preserve"> </w:t>
      </w:r>
      <w:r w:rsidRPr="00B70C01">
        <w:t>denotes the mean annual attributable fraction estimated for each simulation. Program budgets were subjected to probabilistic uncertainty using Gamma-distributed draws with a coefficient of variation of 10%.</w:t>
      </w:r>
    </w:p>
    <w:p w14:paraId="0FC6D04F" w14:textId="0D16B445" w:rsidR="00B70C01" w:rsidRPr="00B70C01" w:rsidRDefault="00B70C01" w:rsidP="00B70C01">
      <w:pPr>
        <w:spacing w:before="100" w:beforeAutospacing="1" w:after="100" w:afterAutospacing="1"/>
        <w:outlineLvl w:val="3"/>
        <w:rPr>
          <w:b/>
          <w:bCs/>
        </w:rPr>
      </w:pPr>
      <w:r w:rsidRPr="00B70C01">
        <w:rPr>
          <w:b/>
          <w:bCs/>
        </w:rPr>
        <w:t xml:space="preserve">Household and </w:t>
      </w:r>
      <w:r w:rsidR="00DF3EF5" w:rsidRPr="00B70C01">
        <w:rPr>
          <w:b/>
          <w:bCs/>
        </w:rPr>
        <w:t>productivity costs</w:t>
      </w:r>
    </w:p>
    <w:p w14:paraId="59322C88" w14:textId="77777777" w:rsidR="00B70C01" w:rsidRPr="00B70C01" w:rsidRDefault="00B70C01" w:rsidP="00DF3EF5">
      <w:pPr>
        <w:spacing w:before="100" w:beforeAutospacing="1" w:after="100" w:afterAutospacing="1"/>
        <w:jc w:val="both"/>
      </w:pPr>
      <w:r w:rsidRPr="00B70C01">
        <w:t xml:space="preserve">Household out-of-pocket expenditures were estimated using nationally representative household survey data and modeled using lognormal distributions. Productivity losses among adult patients </w:t>
      </w:r>
      <w:r w:rsidRPr="00B70C01">
        <w:lastRenderedPageBreak/>
        <w:t>were similarly modeled using lognormal distributions derived from empirically observed absenteeism costs.</w:t>
      </w:r>
    </w:p>
    <w:p w14:paraId="74E34255" w14:textId="77777777" w:rsidR="00B70C01" w:rsidRPr="00B70C01" w:rsidRDefault="00B70C01" w:rsidP="00DF3EF5">
      <w:pPr>
        <w:spacing w:before="100" w:beforeAutospacing="1" w:after="100" w:afterAutospacing="1"/>
        <w:jc w:val="both"/>
      </w:pPr>
      <w:r w:rsidRPr="00B70C01">
        <w:t>For pediatric dengue cases, indirect costs were estimated through caregiver productivity losses using a uniform distribution representing plausible lower and upper valuation bounds.</w:t>
      </w:r>
    </w:p>
    <w:p w14:paraId="4D74AA6B" w14:textId="77777777" w:rsidR="00B70C01" w:rsidRPr="00B70C01" w:rsidRDefault="00B70C01" w:rsidP="00DF3EF5">
      <w:pPr>
        <w:spacing w:before="100" w:beforeAutospacing="1" w:after="100" w:afterAutospacing="1"/>
        <w:jc w:val="both"/>
      </w:pPr>
      <w:r w:rsidRPr="00B70C01">
        <w:t>Total indirect costs were therefore calculated as the sum of adult productivity losses and caregiver time costs attributable to pediatric illness episodes.</w:t>
      </w:r>
    </w:p>
    <w:p w14:paraId="0FBAA829" w14:textId="77777777" w:rsidR="00B70C01" w:rsidRPr="00B70C01" w:rsidRDefault="00B70C01" w:rsidP="00B70C01">
      <w:pPr>
        <w:spacing w:before="100" w:beforeAutospacing="1" w:after="100" w:afterAutospacing="1"/>
        <w:outlineLvl w:val="3"/>
        <w:rPr>
          <w:b/>
          <w:bCs/>
        </w:rPr>
      </w:pPr>
      <w:r w:rsidRPr="00B70C01">
        <w:rPr>
          <w:b/>
          <w:bCs/>
        </w:rPr>
        <w:t>Disability-Adjusted Life Years</w:t>
      </w:r>
    </w:p>
    <w:p w14:paraId="06D1E5D8" w14:textId="77777777" w:rsidR="00B70C01" w:rsidRPr="00B70C01" w:rsidRDefault="00B70C01" w:rsidP="00B70C01">
      <w:pPr>
        <w:spacing w:before="100" w:beforeAutospacing="1" w:after="100" w:afterAutospacing="1"/>
      </w:pPr>
      <w:r w:rsidRPr="00B70C01">
        <w:t>Health burden was quantified using disability-adjusted life years (DALYs), calculated as the sum of years lived with disability (YLD) and years of life lost (YLL):</w:t>
      </w:r>
    </w:p>
    <w:p w14:paraId="1F1AD805" w14:textId="77777777" w:rsidR="00DF3EF5" w:rsidRDefault="00000000" w:rsidP="00B70C01">
      <w:pPr>
        <w:spacing w:before="100" w:beforeAutospacing="1" w:after="100" w:afterAutospacing="1"/>
      </w:pPr>
      <m:oMathPara>
        <m:oMath>
          <m:d>
            <m:dPr>
              <m:begChr m:val="["/>
              <m:endChr m:val="]"/>
              <m:ctrlPr>
                <w:rPr>
                  <w:rFonts w:ascii="Cambria Math" w:hAnsi="Cambria Math"/>
                </w:rPr>
              </m:ctrlPr>
            </m:dPr>
            <m:e>
              <m:r>
                <w:rPr>
                  <w:rFonts w:ascii="Cambria Math" w:hAnsi="Cambria Math"/>
                </w:rPr>
                <m:t>DALY=YLD+YLL</m:t>
              </m:r>
            </m:e>
          </m:d>
        </m:oMath>
      </m:oMathPara>
    </w:p>
    <w:p w14:paraId="57390C7B" w14:textId="0882DB11" w:rsidR="00B70C01" w:rsidRPr="00B70C01" w:rsidRDefault="00B70C01" w:rsidP="00B70C01">
      <w:pPr>
        <w:spacing w:before="100" w:beforeAutospacing="1" w:after="100" w:afterAutospacing="1"/>
      </w:pPr>
      <w:r w:rsidRPr="00B70C01">
        <w:t>YLDs were estimated separately for ambulatory and hospitalized dengue episodes using disability weights obtained from Global Burden of Disease studies. Disability weights were sampled from truncated normal distributions and multiplied by episode duration:</w:t>
      </w:r>
    </w:p>
    <w:p w14:paraId="31B4653E" w14:textId="77777777" w:rsidR="00DF3EF5" w:rsidRDefault="00000000" w:rsidP="00B70C01">
      <w:pPr>
        <w:spacing w:before="100" w:beforeAutospacing="1" w:after="100" w:afterAutospacing="1"/>
      </w:pPr>
      <m:oMathPara>
        <m:oMath>
          <m:d>
            <m:dPr>
              <m:begChr m:val="["/>
              <m:endChr m:val="]"/>
              <m:ctrlPr>
                <w:rPr>
                  <w:rFonts w:ascii="Cambria Math" w:hAnsi="Cambria Math"/>
                </w:rPr>
              </m:ctrlPr>
            </m:dPr>
            <m:e>
              <m:r>
                <w:rPr>
                  <w:rFonts w:ascii="Cambria Math" w:hAnsi="Cambria Math"/>
                </w:rPr>
                <m:t>YLD=</m:t>
              </m:r>
              <m:d>
                <m:dPr>
                  <m:ctrlPr>
                    <w:rPr>
                      <w:rFonts w:ascii="Cambria Math" w:hAnsi="Cambria Math"/>
                    </w:rPr>
                  </m:ctrlPr>
                </m:dPr>
                <m:e>
                  <m:r>
                    <w:rPr>
                      <w:rFonts w:ascii="Cambria Math" w:hAnsi="Cambria Math"/>
                    </w:rPr>
                    <m:t>Case</m:t>
                  </m:r>
                  <m:sSub>
                    <m:sSubPr>
                      <m:ctrlPr>
                        <w:rPr>
                          <w:rFonts w:ascii="Cambria Math" w:hAnsi="Cambria Math"/>
                        </w:rPr>
                      </m:ctrlPr>
                    </m:sSubPr>
                    <m:e>
                      <m:r>
                        <w:rPr>
                          <w:rFonts w:ascii="Cambria Math" w:hAnsi="Cambria Math"/>
                        </w:rPr>
                        <m:t>s</m:t>
                      </m:r>
                    </m:e>
                    <m:sub>
                      <m:r>
                        <w:rPr>
                          <w:rFonts w:ascii="Cambria Math" w:hAnsi="Cambria Math"/>
                        </w:rPr>
                        <m:t>amb</m:t>
                      </m:r>
                    </m:sub>
                  </m:sSub>
                  <m:r>
                    <w:rPr>
                      <w:rFonts w:ascii="Cambria Math" w:hAnsi="Cambria Math"/>
                    </w:rPr>
                    <m:t>×D</m:t>
                  </m:r>
                  <m:sSub>
                    <m:sSubPr>
                      <m:ctrlPr>
                        <w:rPr>
                          <w:rFonts w:ascii="Cambria Math" w:hAnsi="Cambria Math"/>
                        </w:rPr>
                      </m:ctrlPr>
                    </m:sSubPr>
                    <m:e>
                      <m:r>
                        <w:rPr>
                          <w:rFonts w:ascii="Cambria Math" w:hAnsi="Cambria Math"/>
                        </w:rPr>
                        <m:t>W</m:t>
                      </m:r>
                    </m:e>
                    <m:sub>
                      <m:r>
                        <w:rPr>
                          <w:rFonts w:ascii="Cambria Math" w:hAnsi="Cambria Math"/>
                        </w:rPr>
                        <m:t>amb</m:t>
                      </m:r>
                    </m:sub>
                  </m:sSub>
                  <m:r>
                    <w:rPr>
                      <w:rFonts w:ascii="Cambria Math" w:hAnsi="Cambria Math"/>
                    </w:rPr>
                    <m:t>+Case</m:t>
                  </m:r>
                  <m:sSub>
                    <m:sSubPr>
                      <m:ctrlPr>
                        <w:rPr>
                          <w:rFonts w:ascii="Cambria Math" w:hAnsi="Cambria Math"/>
                        </w:rPr>
                      </m:ctrlPr>
                    </m:sSubPr>
                    <m:e>
                      <m:r>
                        <w:rPr>
                          <w:rFonts w:ascii="Cambria Math" w:hAnsi="Cambria Math"/>
                        </w:rPr>
                        <m:t>s</m:t>
                      </m:r>
                    </m:e>
                    <m:sub>
                      <m:r>
                        <w:rPr>
                          <w:rFonts w:ascii="Cambria Math" w:hAnsi="Cambria Math"/>
                        </w:rPr>
                        <m:t>hosp</m:t>
                      </m:r>
                    </m:sub>
                  </m:sSub>
                  <m:r>
                    <w:rPr>
                      <w:rFonts w:ascii="Cambria Math" w:hAnsi="Cambria Math"/>
                    </w:rPr>
                    <m:t>×D</m:t>
                  </m:r>
                  <m:sSub>
                    <m:sSubPr>
                      <m:ctrlPr>
                        <w:rPr>
                          <w:rFonts w:ascii="Cambria Math" w:hAnsi="Cambria Math"/>
                        </w:rPr>
                      </m:ctrlPr>
                    </m:sSubPr>
                    <m:e>
                      <m:r>
                        <w:rPr>
                          <w:rFonts w:ascii="Cambria Math" w:hAnsi="Cambria Math"/>
                        </w:rPr>
                        <m:t>W</m:t>
                      </m:r>
                    </m:e>
                    <m:sub>
                      <m:r>
                        <w:rPr>
                          <w:rFonts w:ascii="Cambria Math" w:hAnsi="Cambria Math"/>
                        </w:rPr>
                        <m:t>hosp</m:t>
                      </m:r>
                    </m:sub>
                  </m:sSub>
                </m:e>
              </m:d>
              <m:r>
                <w:rPr>
                  <w:rFonts w:ascii="Cambria Math" w:hAnsi="Cambria Math"/>
                </w:rPr>
                <m:t>×t</m:t>
              </m:r>
            </m:e>
          </m:d>
        </m:oMath>
      </m:oMathPara>
    </w:p>
    <w:p w14:paraId="2A301F32" w14:textId="369CA00A" w:rsidR="00B70C01" w:rsidRPr="00B70C01" w:rsidRDefault="00B70C01" w:rsidP="00B70C01">
      <w:pPr>
        <w:spacing w:before="100" w:beforeAutospacing="1" w:after="100" w:afterAutospacing="1"/>
      </w:pPr>
      <w:r w:rsidRPr="00B70C01">
        <w:t>where (t) represents the average acute dengue duration of 14 days:</w:t>
      </w:r>
    </w:p>
    <w:p w14:paraId="5F69B11B" w14:textId="77777777" w:rsidR="00DF3EF5" w:rsidRDefault="00000000" w:rsidP="00B70C01">
      <w:pPr>
        <w:spacing w:before="100" w:beforeAutospacing="1" w:after="100" w:afterAutospacing="1"/>
      </w:pPr>
      <m:oMathPara>
        <m:oMath>
          <m:d>
            <m:dPr>
              <m:begChr m:val="["/>
              <m:endChr m:val="]"/>
              <m:ctrlPr>
                <w:rPr>
                  <w:rFonts w:ascii="Cambria Math" w:hAnsi="Cambria Math"/>
                </w:rPr>
              </m:ctrlPr>
            </m:dPr>
            <m:e>
              <m:r>
                <w:rPr>
                  <w:rFonts w:ascii="Cambria Math" w:hAnsi="Cambria Math"/>
                </w:rPr>
                <m:t>t=</m:t>
              </m:r>
              <m:f>
                <m:fPr>
                  <m:ctrlPr>
                    <w:rPr>
                      <w:rFonts w:ascii="Cambria Math" w:hAnsi="Cambria Math"/>
                    </w:rPr>
                  </m:ctrlPr>
                </m:fPr>
                <m:num>
                  <m:r>
                    <w:rPr>
                      <w:rFonts w:ascii="Cambria Math" w:hAnsi="Cambria Math"/>
                    </w:rPr>
                    <m:t>14</m:t>
                  </m:r>
                </m:num>
                <m:den>
                  <m:r>
                    <w:rPr>
                      <w:rFonts w:ascii="Cambria Math" w:hAnsi="Cambria Math"/>
                    </w:rPr>
                    <m:t>365.25</m:t>
                  </m:r>
                </m:den>
              </m:f>
              <m:r>
                <w:rPr>
                  <w:rFonts w:ascii="Cambria Math" w:hAnsi="Cambria Math"/>
                </w:rPr>
                <m:t>=0.0383</m:t>
              </m:r>
              <m:r>
                <m:rPr>
                  <m:nor/>
                </m:rPr>
                <m:t> years</m:t>
              </m:r>
            </m:e>
          </m:d>
        </m:oMath>
      </m:oMathPara>
    </w:p>
    <w:p w14:paraId="3AE4ECCD" w14:textId="22CE4CEC" w:rsidR="00B70C01" w:rsidRPr="00B70C01" w:rsidRDefault="00B70C01" w:rsidP="00B70C01">
      <w:pPr>
        <w:spacing w:before="100" w:beforeAutospacing="1" w:after="100" w:afterAutospacing="1"/>
      </w:pPr>
      <w:proofErr w:type="gramStart"/>
      <w:r w:rsidRPr="00B70C01">
        <w:t>thus</w:t>
      </w:r>
      <w:proofErr w:type="gramEnd"/>
      <w:r w:rsidRPr="00B70C01">
        <w:t xml:space="preserve"> converting short-term morbidity into annualized disability burden.</w:t>
      </w:r>
    </w:p>
    <w:p w14:paraId="7B5D3595" w14:textId="77777777" w:rsidR="00B70C01" w:rsidRPr="00B70C01" w:rsidRDefault="00B70C01" w:rsidP="00B70C01">
      <w:pPr>
        <w:spacing w:before="100" w:beforeAutospacing="1" w:after="100" w:afterAutospacing="1"/>
        <w:outlineLvl w:val="3"/>
        <w:rPr>
          <w:b/>
          <w:bCs/>
        </w:rPr>
      </w:pPr>
      <w:r w:rsidRPr="00B70C01">
        <w:rPr>
          <w:b/>
          <w:bCs/>
        </w:rPr>
        <w:t>Years of Life Lost</w:t>
      </w:r>
    </w:p>
    <w:p w14:paraId="41DD8F69" w14:textId="77777777" w:rsidR="00B70C01" w:rsidRPr="00B70C01" w:rsidRDefault="00B70C01" w:rsidP="00B70C01">
      <w:pPr>
        <w:spacing w:before="100" w:beforeAutospacing="1" w:after="100" w:afterAutospacing="1"/>
      </w:pPr>
      <w:r w:rsidRPr="00B70C01">
        <w:t>YLLs were estimated using age-specific mortality distributions and remaining life expectancy. For each age stratum:</w:t>
      </w:r>
    </w:p>
    <w:p w14:paraId="440CD9F2" w14:textId="77777777" w:rsidR="00DF3EF5" w:rsidRPr="00DF3EF5" w:rsidRDefault="00000000" w:rsidP="00B70C01">
      <w:pPr>
        <w:spacing w:before="100" w:beforeAutospacing="1" w:after="100" w:afterAutospacing="1"/>
      </w:pPr>
      <m:oMathPara>
        <m:oMath>
          <m:d>
            <m:dPr>
              <m:begChr m:val="["/>
              <m:endChr m:val="]"/>
              <m:ctrlPr>
                <w:rPr>
                  <w:rFonts w:ascii="Cambria Math" w:hAnsi="Cambria Math"/>
                </w:rPr>
              </m:ctrlPr>
            </m:dPr>
            <m:e>
              <m:r>
                <w:rPr>
                  <w:rFonts w:ascii="Cambria Math" w:hAnsi="Cambria Math"/>
                </w:rPr>
                <m:t>YL</m:t>
              </m:r>
              <m:sSub>
                <m:sSubPr>
                  <m:ctrlPr>
                    <w:rPr>
                      <w:rFonts w:ascii="Cambria Math" w:hAnsi="Cambria Math"/>
                    </w:rPr>
                  </m:ctrlPr>
                </m:sSubPr>
                <m:e>
                  <m:r>
                    <w:rPr>
                      <w:rFonts w:ascii="Cambria Math" w:hAnsi="Cambria Math"/>
                    </w:rPr>
                    <m:t>L</m:t>
                  </m:r>
                </m:e>
                <m:sub>
                  <m:r>
                    <w:rPr>
                      <w:rFonts w:ascii="Cambria Math" w:hAnsi="Cambria Math"/>
                    </w:rPr>
                    <m:t>a</m:t>
                  </m:r>
                </m:sub>
              </m:sSub>
              <m:r>
                <w:rPr>
                  <w:rFonts w:ascii="Cambria Math" w:hAnsi="Cambria Math"/>
                </w:rPr>
                <m:t>Death</m:t>
              </m:r>
              <m:sSub>
                <m:sSubPr>
                  <m:ctrlPr>
                    <w:rPr>
                      <w:rFonts w:ascii="Cambria Math" w:hAnsi="Cambria Math"/>
                    </w:rPr>
                  </m:ctrlPr>
                </m:sSubPr>
                <m:e>
                  <m:r>
                    <w:rPr>
                      <w:rFonts w:ascii="Cambria Math" w:hAnsi="Cambria Math"/>
                    </w:rPr>
                    <m:t>s</m:t>
                  </m:r>
                </m:e>
                <m:sub>
                  <m:r>
                    <w:rPr>
                      <w:rFonts w:ascii="Cambria Math" w:hAnsi="Cambria Math"/>
                    </w:rPr>
                    <m:t>a</m:t>
                  </m:r>
                </m:sub>
              </m:sSub>
              <m:r>
                <w:rPr>
                  <w:rFonts w:ascii="Cambria Math" w:hAnsi="Cambria Math"/>
                </w:rPr>
                <m:t>×L</m:t>
              </m:r>
              <m:sSub>
                <m:sSubPr>
                  <m:ctrlPr>
                    <w:rPr>
                      <w:rFonts w:ascii="Cambria Math" w:hAnsi="Cambria Math"/>
                    </w:rPr>
                  </m:ctrlPr>
                </m:sSubPr>
                <m:e>
                  <m:r>
                    <w:rPr>
                      <w:rFonts w:ascii="Cambria Math" w:hAnsi="Cambria Math"/>
                    </w:rPr>
                    <m:t>E</m:t>
                  </m:r>
                </m:e>
                <m:sub>
                  <m:r>
                    <w:rPr>
                      <w:rFonts w:ascii="Cambria Math" w:hAnsi="Cambria Math"/>
                    </w:rPr>
                    <m:t>a</m:t>
                  </m:r>
                </m:sub>
              </m:sSub>
            </m:e>
          </m:d>
        </m:oMath>
      </m:oMathPara>
    </w:p>
    <w:p w14:paraId="48ADCE3E" w14:textId="72264988" w:rsidR="00B70C01" w:rsidRPr="00B70C01" w:rsidRDefault="00B70C01" w:rsidP="00B70C01">
      <w:pPr>
        <w:spacing w:before="100" w:beforeAutospacing="1" w:after="100" w:afterAutospacing="1"/>
      </w:pPr>
      <w:r w:rsidRPr="00B70C01">
        <w:t>where (</w:t>
      </w:r>
      <m:oMath>
        <m:r>
          <w:rPr>
            <w:rFonts w:ascii="Cambria Math" w:hAnsi="Cambria Math"/>
          </w:rPr>
          <m:t>Y</m:t>
        </m:r>
        <m:sSub>
          <m:sSubPr>
            <m:ctrlPr>
              <w:rPr>
                <w:rFonts w:ascii="Cambria Math" w:hAnsi="Cambria Math"/>
                <w:i/>
              </w:rPr>
            </m:ctrlPr>
          </m:sSubPr>
          <m:e>
            <m:r>
              <w:rPr>
                <w:rFonts w:ascii="Cambria Math" w:hAnsi="Cambria Math"/>
              </w:rPr>
              <m:t>LL</m:t>
            </m:r>
          </m:e>
          <m:sub>
            <m:r>
              <w:rPr>
                <w:rFonts w:ascii="Cambria Math" w:hAnsi="Cambria Math"/>
              </w:rPr>
              <m:t>a</m:t>
            </m:r>
          </m:sub>
        </m:sSub>
      </m:oMath>
      <w:r w:rsidRPr="00B70C01">
        <w:t>) denotes the remaining life expectancy at age of death.</w:t>
      </w:r>
    </w:p>
    <w:p w14:paraId="4ECDF5F1" w14:textId="77777777" w:rsidR="00B70C01" w:rsidRPr="00B70C01" w:rsidRDefault="00B70C01" w:rsidP="00B70C01">
      <w:pPr>
        <w:spacing w:before="100" w:beforeAutospacing="1" w:after="100" w:afterAutospacing="1"/>
      </w:pPr>
      <w:r w:rsidRPr="00B70C01">
        <w:t>Discounted YLL estimates were calculated using:</w:t>
      </w:r>
    </w:p>
    <w:p w14:paraId="3CFEB7E0" w14:textId="77777777" w:rsidR="00B70C01" w:rsidRPr="00B70C01" w:rsidRDefault="00000000" w:rsidP="00B70C01">
      <w:pPr>
        <w:spacing w:before="100" w:beforeAutospacing="1" w:after="100" w:afterAutospacing="1"/>
        <w:rPr>
          <w:sz w:val="20"/>
          <w:szCs w:val="20"/>
        </w:rPr>
      </w:pPr>
      <m:oMathPara>
        <m:oMath>
          <m:d>
            <m:dPr>
              <m:begChr m:val="["/>
              <m:endChr m:val="]"/>
              <m:ctrlPr>
                <w:rPr>
                  <w:rFonts w:ascii="Cambria Math" w:hAnsi="Cambria Math"/>
                  <w:sz w:val="20"/>
                  <w:szCs w:val="20"/>
                </w:rPr>
              </m:ctrlPr>
            </m:dPr>
            <m:e>
              <m:r>
                <w:rPr>
                  <w:rFonts w:ascii="Cambria Math" w:hAnsi="Cambria Math"/>
                  <w:sz w:val="20"/>
                  <w:szCs w:val="20"/>
                </w:rPr>
                <m:t>YL</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disc</m:t>
                  </m:r>
                </m:sub>
              </m:sSub>
              <m:r>
                <w:rPr>
                  <w:rFonts w:ascii="Cambria Math" w:hAnsi="Cambria Math"/>
                  <w:sz w:val="20"/>
                  <w:szCs w:val="20"/>
                </w:rPr>
                <m:t>Death</m:t>
              </m:r>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a</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sSup>
                    <m:sSupPr>
                      <m:ctrlPr>
                        <w:rPr>
                          <w:rFonts w:ascii="Cambria Math" w:hAnsi="Cambria Math"/>
                          <w:sz w:val="20"/>
                          <w:szCs w:val="20"/>
                        </w:rPr>
                      </m:ctrlPr>
                    </m:sSupPr>
                    <m:e>
                      <m:r>
                        <w:rPr>
                          <w:rFonts w:ascii="Cambria Math" w:hAnsi="Cambria Math"/>
                          <w:sz w:val="20"/>
                          <w:szCs w:val="20"/>
                        </w:rPr>
                        <m:t>e</m:t>
                      </m:r>
                    </m:e>
                    <m:sup>
                      <m:r>
                        <w:rPr>
                          <w:rFonts w:ascii="Cambria Math" w:hAnsi="Cambria Math"/>
                          <w:sz w:val="20"/>
                          <w:szCs w:val="20"/>
                        </w:rPr>
                        <m:t>-rL</m:t>
                      </m:r>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a</m:t>
                          </m:r>
                        </m:sub>
                      </m:sSub>
                    </m:sup>
                  </m:sSup>
                </m:num>
                <m:den>
                  <m:r>
                    <w:rPr>
                      <w:rFonts w:ascii="Cambria Math" w:hAnsi="Cambria Math"/>
                      <w:sz w:val="20"/>
                      <w:szCs w:val="20"/>
                    </w:rPr>
                    <m:t>r</m:t>
                  </m:r>
                </m:den>
              </m:f>
            </m:e>
          </m:d>
        </m:oMath>
      </m:oMathPara>
    </w:p>
    <w:p w14:paraId="3FDC4B74" w14:textId="5A3EF9B7" w:rsidR="00B70C01" w:rsidRPr="00B70C01" w:rsidRDefault="00B70C01" w:rsidP="00B70C01">
      <w:pPr>
        <w:spacing w:before="100" w:beforeAutospacing="1" w:after="100" w:afterAutospacing="1"/>
      </w:pPr>
      <w:r w:rsidRPr="00B70C01">
        <w:t>where (r) is the annual discount rate.</w:t>
      </w:r>
    </w:p>
    <w:p w14:paraId="01477CEF" w14:textId="77777777" w:rsidR="00B70C01" w:rsidRPr="00B70C01" w:rsidRDefault="00B70C01" w:rsidP="00B70C01">
      <w:pPr>
        <w:spacing w:before="100" w:beforeAutospacing="1" w:after="100" w:afterAutospacing="1"/>
        <w:outlineLvl w:val="3"/>
        <w:rPr>
          <w:b/>
          <w:bCs/>
        </w:rPr>
      </w:pPr>
      <w:r w:rsidRPr="00B70C01">
        <w:rPr>
          <w:b/>
          <w:bCs/>
        </w:rPr>
        <w:t>Valuation of Premature Mortality</w:t>
      </w:r>
    </w:p>
    <w:p w14:paraId="2E907D7F" w14:textId="64521801" w:rsidR="00B70C01" w:rsidRPr="00B70C01" w:rsidRDefault="00B70C01" w:rsidP="00B70C01">
      <w:pPr>
        <w:spacing w:before="100" w:beforeAutospacing="1" w:after="100" w:afterAutospacing="1"/>
      </w:pPr>
      <w:r w:rsidRPr="00B70C01">
        <w:lastRenderedPageBreak/>
        <w:t>Premature mortality costs were estimated using an age-specific human capital approach. Annual productivity was represented by Sri Lankan gross domestic product (GDP) per capita and modeled using Gamma distributions to incorporate macroeconomic uncertainty.</w:t>
      </w:r>
    </w:p>
    <w:p w14:paraId="782B2C1A" w14:textId="77777777" w:rsidR="00B70C01" w:rsidRPr="00B70C01" w:rsidRDefault="00B70C01" w:rsidP="00B70C01">
      <w:pPr>
        <w:spacing w:before="100" w:beforeAutospacing="1" w:after="100" w:afterAutospacing="1"/>
      </w:pPr>
      <w:r w:rsidRPr="00B70C01">
        <w:t>For each age group, future productivity losses were estimated as:</w:t>
      </w:r>
    </w:p>
    <w:p w14:paraId="0EFACE4C" w14:textId="1A8B522B" w:rsidR="00B70C01" w:rsidRPr="00B70C01" w:rsidRDefault="00000000" w:rsidP="00B70C01">
      <w:pPr>
        <w:spacing w:before="100" w:beforeAutospacing="1" w:after="100" w:afterAutospacing="1"/>
        <w:rPr>
          <w:sz w:val="20"/>
          <w:szCs w:val="20"/>
        </w:rPr>
      </w:pPr>
      <m:oMathPara>
        <m:oMath>
          <m:d>
            <m:dPr>
              <m:begChr m:val="["/>
              <m:endChr m:val="]"/>
              <m:ctrlPr>
                <w:rPr>
                  <w:rFonts w:ascii="Cambria Math" w:hAnsi="Cambria Math"/>
                  <w:sz w:val="20"/>
                  <w:szCs w:val="20"/>
                </w:rPr>
              </m:ctrlPr>
            </m:dPr>
            <m:e>
              <m:r>
                <w:rPr>
                  <w:rFonts w:ascii="Cambria Math" w:hAnsi="Cambria Math"/>
                  <w:sz w:val="20"/>
                  <w:szCs w:val="20"/>
                </w:rPr>
                <m:t>Mortality Cost Death</m:t>
              </m:r>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a</m:t>
                  </m:r>
                </m:sub>
              </m:sSub>
              <m:r>
                <w:rPr>
                  <w:rFonts w:ascii="Cambria Math" w:hAnsi="Cambria Math"/>
                  <w:sz w:val="20"/>
                  <w:szCs w:val="20"/>
                </w:rPr>
                <m:t>×GD</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pc</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a</m:t>
                  </m:r>
                </m:sub>
              </m:sSub>
            </m:e>
          </m:d>
        </m:oMath>
      </m:oMathPara>
    </w:p>
    <w:p w14:paraId="560FDD18" w14:textId="78FFC713" w:rsidR="00B70C01" w:rsidRPr="00B70C01" w:rsidRDefault="00B70C01" w:rsidP="00B70C01">
      <w:pPr>
        <w:spacing w:before="100" w:beforeAutospacing="1" w:after="100" w:afterAutospacing="1"/>
      </w:pPr>
      <w:r w:rsidRPr="00B70C01">
        <w:t>where (</w:t>
      </w:r>
      <m:oMath>
        <m:r>
          <w:rPr>
            <w:rFonts w:ascii="Cambria Math" w:hAnsi="Cambria Math"/>
          </w:rPr>
          <m:t>A</m:t>
        </m:r>
        <m:sSub>
          <m:sSubPr>
            <m:ctrlPr>
              <w:rPr>
                <w:rFonts w:ascii="Cambria Math" w:hAnsi="Cambria Math"/>
              </w:rPr>
            </m:ctrlPr>
          </m:sSubPr>
          <m:e>
            <m:r>
              <w:rPr>
                <w:rFonts w:ascii="Cambria Math" w:hAnsi="Cambria Math"/>
              </w:rPr>
              <m:t>F</m:t>
            </m:r>
          </m:e>
          <m:sub>
            <m:r>
              <w:rPr>
                <w:rFonts w:ascii="Cambria Math" w:hAnsi="Cambria Math"/>
              </w:rPr>
              <m:t>a</m:t>
            </m:r>
          </m:sub>
        </m:sSub>
      </m:oMath>
      <w:r w:rsidRPr="00B70C01">
        <w:t>) represents the discounted annuity factor corresponding to remaining working years up to retirement age.</w:t>
      </w:r>
    </w:p>
    <w:p w14:paraId="39A1CAD8" w14:textId="77777777" w:rsidR="00B70C01" w:rsidRPr="00B70C01" w:rsidRDefault="00B70C01" w:rsidP="00B70C01">
      <w:pPr>
        <w:spacing w:before="100" w:beforeAutospacing="1" w:after="100" w:afterAutospacing="1"/>
      </w:pPr>
      <w:r w:rsidRPr="00B70C01">
        <w:t>Two retirement-age assumptions (60 and 65 years) were evaluated. Importantly, mortality costs represented productivity losses only and did not replace direct medical expenditures. Individuals who died from dengue therefore contributed both treatment-related costs and mortality-related productivity losses to the societal burden estimates.</w:t>
      </w:r>
    </w:p>
    <w:p w14:paraId="0EEF9FB5" w14:textId="1374B13B" w:rsidR="00B70C01" w:rsidRPr="004E6BA5" w:rsidRDefault="00B70C01" w:rsidP="004E6BA5">
      <w:pPr>
        <w:pStyle w:val="Heading3"/>
        <w:rPr>
          <w:rFonts w:ascii="Times New Roman" w:hAnsi="Times New Roman" w:cs="Times New Roman"/>
          <w:b/>
          <w:bCs/>
          <w:color w:val="auto"/>
          <w:sz w:val="24"/>
          <w:szCs w:val="24"/>
        </w:rPr>
      </w:pPr>
      <w:bookmarkStart w:id="20" w:name="_Toc235161900"/>
      <w:r w:rsidRPr="004E6BA5">
        <w:rPr>
          <w:rFonts w:ascii="Times New Roman" w:hAnsi="Times New Roman" w:cs="Times New Roman"/>
          <w:b/>
          <w:bCs/>
          <w:color w:val="auto"/>
          <w:sz w:val="24"/>
          <w:szCs w:val="24"/>
        </w:rPr>
        <w:t xml:space="preserve">Probabilistic </w:t>
      </w:r>
      <w:r w:rsidR="00DF3EF5" w:rsidRPr="004E6BA5">
        <w:rPr>
          <w:rFonts w:ascii="Times New Roman" w:hAnsi="Times New Roman" w:cs="Times New Roman"/>
          <w:b/>
          <w:bCs/>
          <w:color w:val="auto"/>
          <w:sz w:val="24"/>
          <w:szCs w:val="24"/>
        </w:rPr>
        <w:t>u</w:t>
      </w:r>
      <w:r w:rsidRPr="004E6BA5">
        <w:rPr>
          <w:rFonts w:ascii="Times New Roman" w:hAnsi="Times New Roman" w:cs="Times New Roman"/>
          <w:b/>
          <w:bCs/>
          <w:color w:val="auto"/>
          <w:sz w:val="24"/>
          <w:szCs w:val="24"/>
        </w:rPr>
        <w:t xml:space="preserve">ncertainty </w:t>
      </w:r>
      <w:r w:rsidR="00DF3EF5" w:rsidRPr="004E6BA5">
        <w:rPr>
          <w:rFonts w:ascii="Times New Roman" w:hAnsi="Times New Roman" w:cs="Times New Roman"/>
          <w:b/>
          <w:bCs/>
          <w:color w:val="auto"/>
          <w:sz w:val="24"/>
          <w:szCs w:val="24"/>
        </w:rPr>
        <w:t>a</w:t>
      </w:r>
      <w:r w:rsidRPr="004E6BA5">
        <w:rPr>
          <w:rFonts w:ascii="Times New Roman" w:hAnsi="Times New Roman" w:cs="Times New Roman"/>
          <w:b/>
          <w:bCs/>
          <w:color w:val="auto"/>
          <w:sz w:val="24"/>
          <w:szCs w:val="24"/>
        </w:rPr>
        <w:t>nalysis</w:t>
      </w:r>
      <w:bookmarkEnd w:id="20"/>
    </w:p>
    <w:p w14:paraId="249FD008" w14:textId="22726450" w:rsidR="00B70C01" w:rsidRPr="00B70C01" w:rsidRDefault="00B70C01" w:rsidP="00DF3EF5">
      <w:pPr>
        <w:spacing w:before="100" w:beforeAutospacing="1" w:after="100" w:afterAutospacing="1"/>
        <w:jc w:val="both"/>
      </w:pPr>
      <w:r w:rsidRPr="00B70C01">
        <w:t>All epidemiological, clinical, economic, and macroeconomic parameters were propagated simultaneously through 5,000 Monte Carlo simulations. The probabilistic framework incorporated uncertainty in DLNM coefficients, plastic-attribution fractions, healthcare costs, household expenditures, productivity losses, mortality counts, disability weights, GDP per capita, and vector-control program budgets.</w:t>
      </w:r>
      <w:r w:rsidR="00C830F0">
        <w:t xml:space="preserve"> </w:t>
      </w:r>
      <w:r w:rsidRPr="00B70C01">
        <w:t>Results are presented as posterior means and 95% uncertainty intervals (UI) corresponding to the 2.5th and 97.5th percentiles of the simulated distributions.</w:t>
      </w:r>
    </w:p>
    <w:p w14:paraId="21FC85BF" w14:textId="187F594B" w:rsidR="00B70C01" w:rsidRPr="00B70C01" w:rsidRDefault="00B70C01" w:rsidP="00B70C01">
      <w:pPr>
        <w:spacing w:before="100" w:beforeAutospacing="1" w:after="100" w:afterAutospacing="1"/>
        <w:outlineLvl w:val="3"/>
        <w:rPr>
          <w:b/>
          <w:bCs/>
        </w:rPr>
      </w:pPr>
      <w:r w:rsidRPr="00B70C01">
        <w:rPr>
          <w:b/>
          <w:bCs/>
        </w:rPr>
        <w:t xml:space="preserve">Sensitivity </w:t>
      </w:r>
      <w:r w:rsidR="00DF3EF5">
        <w:rPr>
          <w:b/>
          <w:bCs/>
        </w:rPr>
        <w:t>a</w:t>
      </w:r>
      <w:r w:rsidRPr="00B70C01">
        <w:rPr>
          <w:b/>
          <w:bCs/>
        </w:rPr>
        <w:t>nalyses</w:t>
      </w:r>
    </w:p>
    <w:p w14:paraId="73F4A567" w14:textId="6BBD9E8D" w:rsidR="00B70C01" w:rsidRDefault="00C830F0" w:rsidP="00DF3EF5">
      <w:pPr>
        <w:spacing w:before="100" w:beforeAutospacing="1" w:after="100" w:afterAutospacing="1"/>
        <w:jc w:val="both"/>
      </w:pPr>
      <w:r w:rsidRPr="00C830F0">
        <w:t>Scenario analyses were performed to evaluate the influence of alternative social discount rates (0% and 3.5%) at retirement ages of 60 years on mortality valuation and total societal burden estimates. The undiscounted scenario (3.5 %) was included to facilitate comparison with conventional burden-of-disease studies, whereas 0% served as the primary policy analysis in accordance with international economic evaluation guidelines</w:t>
      </w:r>
      <w:sdt>
        <w:sdtPr>
          <w:rPr>
            <w:color w:val="000000"/>
            <w:vertAlign w:val="superscript"/>
          </w:rPr>
          <w:tag w:val="MENDELEY_CITATION_v3_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"/>
          <w:id w:val="-1701159035"/>
          <w:placeholder>
            <w:docPart w:val="DefaultPlaceholder_-1854013440"/>
          </w:placeholder>
        </w:sdtPr>
        <w:sdtContent>
          <w:r w:rsidR="00744149" w:rsidRPr="00744149">
            <w:rPr>
              <w:color w:val="000000"/>
              <w:vertAlign w:val="superscript"/>
            </w:rPr>
            <w:t>16</w:t>
          </w:r>
        </w:sdtContent>
      </w:sdt>
      <w:r w:rsidR="00B70C01" w:rsidRPr="00B70C01">
        <w:t>.</w:t>
      </w:r>
      <w:r>
        <w:t xml:space="preserve"> </w:t>
      </w:r>
      <w:r w:rsidR="00B70C01" w:rsidRPr="00B70C01">
        <w:t>Parameter influence on total societal burden estimates was further evaluated using probabilistic tornado analyses generated from the Monte Carlo simulation outputs.</w:t>
      </w:r>
    </w:p>
    <w:p w14:paraId="54276F27" w14:textId="4D8D53C5" w:rsidR="00C830F0" w:rsidRDefault="00C830F0" w:rsidP="00C830F0">
      <w:pPr>
        <w:spacing w:before="100" w:beforeAutospacing="1" w:after="100" w:afterAutospacing="1"/>
        <w:jc w:val="both"/>
      </w:pPr>
      <w:r w:rsidRPr="00C830F0">
        <w:rPr>
          <w:b/>
          <w:bCs/>
        </w:rPr>
        <w:t>Table S5.</w:t>
      </w:r>
      <w:r>
        <w:t xml:space="preserve"> National and subnational epidemiological and economic burden of dengue attributable to mismanaged waste and plastic pollution in Sri Lanka under a 3.5% social discount rate (2024–2025). Estimates represent the discounted policy model projections utilizing a baseline 3.5% social discount rate to evaluate future health and economic streams. Data are aggregated nationally (n=28 health districts) using the macro-waste indicator (</w:t>
      </w:r>
      <m:oMath>
        <m:r>
          <w:rPr>
            <w:rFonts w:ascii="Cambria Math" w:hAnsi="Cambria Math"/>
          </w:rPr>
          <m:t>B</m:t>
        </m:r>
        <m:sSub>
          <m:sSubPr>
            <m:ctrlPr>
              <w:rPr>
                <w:rFonts w:ascii="Cambria Math" w:hAnsi="Cambria Math"/>
              </w:rPr>
            </m:ctrlPr>
          </m:sSubPr>
          <m:e>
            <m:r>
              <w:rPr>
                <w:rFonts w:ascii="Cambria Math" w:hAnsi="Cambria Math"/>
              </w:rPr>
              <m:t>I</m:t>
            </m:r>
          </m:e>
          <m:sub>
            <m:r>
              <m:rPr>
                <m:nor/>
              </m:rPr>
              <m:t>waste</m:t>
            </m:r>
          </m:sub>
        </m:sSub>
      </m:oMath>
      <w:r>
        <w:t xml:space="preserve">) and </w:t>
      </w:r>
      <w:proofErr w:type="spellStart"/>
      <w:r>
        <w:t>subnationally</w:t>
      </w:r>
      <w:proofErr w:type="spellEnd"/>
      <w:r>
        <w:t xml:space="preserve"> across sentinel pilot districts (n=8) using the high-resolution plastic indicator (</w:t>
      </w:r>
      <m:oMath>
        <m:r>
          <w:rPr>
            <w:rFonts w:ascii="Cambria Math" w:hAnsi="Cambria Math"/>
          </w:rPr>
          <m:t>B</m:t>
        </m:r>
        <m:sSub>
          <m:sSubPr>
            <m:ctrlPr>
              <w:rPr>
                <w:rFonts w:ascii="Cambria Math" w:hAnsi="Cambria Math"/>
              </w:rPr>
            </m:ctrlPr>
          </m:sSubPr>
          <m:e>
            <m:r>
              <w:rPr>
                <w:rFonts w:ascii="Cambria Math" w:hAnsi="Cambria Math"/>
              </w:rPr>
              <m:t>I</m:t>
            </m:r>
          </m:e>
          <m:sub>
            <m:r>
              <m:rPr>
                <m:nor/>
              </m:rPr>
              <m:t>plastics</m:t>
            </m:r>
          </m:sub>
        </m:sSub>
      </m:oMath>
      <w:r>
        <w:t xml:space="preserve">). Main metrics report </w:t>
      </w:r>
      <w:proofErr w:type="gramStart"/>
      <w:r>
        <w:t>point</w:t>
      </w:r>
      <w:proofErr w:type="gramEnd"/>
      <w:r>
        <w:t xml:space="preserve"> estimates alongside 95% uncertainty intervals (95% UI) derived from 5,000 Monte Carlo simulation draws. Population figures marked with an asterisk (*) denote projected demographic denominators. Direct health system and broader societal costs are standardized in 2024 United States Dollars (USD M = Millions), with future productivity losses and premature mortality costs adjusted to net present value using the Human Capital Approach (HCA).</w:t>
      </w:r>
    </w:p>
    <w:tbl>
      <w:tblPr>
        <w:tblStyle w:val="TableGrid"/>
        <w:tblW w:w="10525" w:type="dxa"/>
        <w:jc w:val="center"/>
        <w:tblLook w:val="04A0" w:firstRow="1" w:lastRow="0" w:firstColumn="1" w:lastColumn="0" w:noHBand="0" w:noVBand="1"/>
      </w:tblPr>
      <w:tblGrid>
        <w:gridCol w:w="3145"/>
        <w:gridCol w:w="1890"/>
        <w:gridCol w:w="1710"/>
        <w:gridCol w:w="1980"/>
        <w:gridCol w:w="1800"/>
      </w:tblGrid>
      <w:tr w:rsidR="00C830F0" w:rsidRPr="00506401" w14:paraId="4F6B4EAC" w14:textId="77777777" w:rsidTr="008411F5">
        <w:trPr>
          <w:jc w:val="center"/>
        </w:trPr>
        <w:tc>
          <w:tcPr>
            <w:tcW w:w="3145" w:type="dxa"/>
            <w:hideMark/>
          </w:tcPr>
          <w:p w14:paraId="74DDBBC1" w14:textId="77777777" w:rsidR="00C830F0" w:rsidRPr="00506401" w:rsidRDefault="00C830F0" w:rsidP="008411F5">
            <w:pPr>
              <w:spacing w:line="276" w:lineRule="auto"/>
              <w:rPr>
                <w:color w:val="1F1F1F"/>
                <w:sz w:val="18"/>
                <w:szCs w:val="18"/>
              </w:rPr>
            </w:pPr>
            <w:r w:rsidRPr="00506401">
              <w:rPr>
                <w:rStyle w:val="Strong"/>
                <w:color w:val="1F1F1F"/>
                <w:sz w:val="18"/>
                <w:szCs w:val="18"/>
                <w:bdr w:val="none" w:sz="0" w:space="0" w:color="auto" w:frame="1"/>
              </w:rPr>
              <w:lastRenderedPageBreak/>
              <w:t>Burden Domain and Metric</w:t>
            </w:r>
          </w:p>
        </w:tc>
        <w:tc>
          <w:tcPr>
            <w:tcW w:w="1890" w:type="dxa"/>
            <w:hideMark/>
          </w:tcPr>
          <w:p w14:paraId="7978C150"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 xml:space="preserve">National </w:t>
            </w:r>
          </w:p>
          <w:p w14:paraId="289D10FA" w14:textId="77777777" w:rsidR="00C830F0" w:rsidRPr="00506401" w:rsidRDefault="00C830F0" w:rsidP="008411F5">
            <w:pPr>
              <w:spacing w:line="276" w:lineRule="auto"/>
              <w:jc w:val="center"/>
              <w:rPr>
                <w:color w:val="1F1F1F"/>
                <w:sz w:val="18"/>
                <w:szCs w:val="18"/>
              </w:rPr>
            </w:pPr>
            <w:r w:rsidRPr="00506401">
              <w:rPr>
                <w:rStyle w:val="Strong"/>
                <w:color w:val="1F1F1F"/>
                <w:sz w:val="18"/>
                <w:szCs w:val="18"/>
                <w:bdr w:val="none" w:sz="0" w:space="0" w:color="auto" w:frame="1"/>
              </w:rPr>
              <w:t>Estimate (95% UI)</w:t>
            </w:r>
          </w:p>
        </w:tc>
        <w:tc>
          <w:tcPr>
            <w:tcW w:w="1710" w:type="dxa"/>
          </w:tcPr>
          <w:p w14:paraId="2CA1047D"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 xml:space="preserve">Pilot districts </w:t>
            </w:r>
          </w:p>
          <w:p w14:paraId="3835F5B2"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Estimate (95% UI)</w:t>
            </w:r>
          </w:p>
        </w:tc>
        <w:tc>
          <w:tcPr>
            <w:tcW w:w="1980" w:type="dxa"/>
            <w:hideMark/>
          </w:tcPr>
          <w:p w14:paraId="091F6FAE"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 xml:space="preserve">National </w:t>
            </w:r>
          </w:p>
          <w:p w14:paraId="160C1AAA" w14:textId="77777777" w:rsidR="00C830F0" w:rsidRPr="00506401" w:rsidRDefault="00C830F0" w:rsidP="008411F5">
            <w:pPr>
              <w:spacing w:line="276" w:lineRule="auto"/>
              <w:jc w:val="center"/>
              <w:rPr>
                <w:color w:val="1F1F1F"/>
                <w:sz w:val="18"/>
                <w:szCs w:val="18"/>
              </w:rPr>
            </w:pPr>
            <w:r w:rsidRPr="00506401">
              <w:rPr>
                <w:rStyle w:val="Strong"/>
                <w:color w:val="1F1F1F"/>
                <w:sz w:val="18"/>
                <w:szCs w:val="18"/>
                <w:bdr w:val="none" w:sz="0" w:space="0" w:color="auto" w:frame="1"/>
              </w:rPr>
              <w:t>Estimate (95% UI)</w:t>
            </w:r>
          </w:p>
        </w:tc>
        <w:tc>
          <w:tcPr>
            <w:tcW w:w="1800" w:type="dxa"/>
          </w:tcPr>
          <w:p w14:paraId="6967A4ED"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 xml:space="preserve">Pilot districts </w:t>
            </w:r>
          </w:p>
          <w:p w14:paraId="482F08A4"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Estimate (95% UI)</w:t>
            </w:r>
          </w:p>
        </w:tc>
      </w:tr>
      <w:tr w:rsidR="00C830F0" w:rsidRPr="00506401" w14:paraId="0200D02F" w14:textId="77777777" w:rsidTr="008411F5">
        <w:trPr>
          <w:jc w:val="center"/>
        </w:trPr>
        <w:tc>
          <w:tcPr>
            <w:tcW w:w="3145" w:type="dxa"/>
            <w:shd w:val="clear" w:color="auto" w:fill="E7E6E6" w:themeFill="background2"/>
          </w:tcPr>
          <w:p w14:paraId="62B6072E"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Context</w:t>
            </w:r>
          </w:p>
        </w:tc>
        <w:tc>
          <w:tcPr>
            <w:tcW w:w="1890" w:type="dxa"/>
            <w:shd w:val="clear" w:color="auto" w:fill="E7E6E6" w:themeFill="background2"/>
          </w:tcPr>
          <w:p w14:paraId="7C3E62B9" w14:textId="77777777" w:rsidR="00C830F0" w:rsidRPr="00506401" w:rsidRDefault="00C830F0" w:rsidP="008411F5">
            <w:pPr>
              <w:spacing w:line="276" w:lineRule="auto"/>
              <w:jc w:val="center"/>
              <w:rPr>
                <w:rStyle w:val="Strong"/>
                <w:color w:val="1F1F1F"/>
                <w:sz w:val="18"/>
                <w:szCs w:val="18"/>
                <w:bdr w:val="none" w:sz="0" w:space="0" w:color="auto" w:frame="1"/>
              </w:rPr>
            </w:pPr>
          </w:p>
        </w:tc>
        <w:tc>
          <w:tcPr>
            <w:tcW w:w="1710" w:type="dxa"/>
            <w:shd w:val="clear" w:color="auto" w:fill="E7E6E6" w:themeFill="background2"/>
          </w:tcPr>
          <w:p w14:paraId="005E4C72" w14:textId="77777777" w:rsidR="00C830F0" w:rsidRPr="00506401" w:rsidRDefault="00C830F0" w:rsidP="008411F5">
            <w:pPr>
              <w:spacing w:line="276" w:lineRule="auto"/>
              <w:jc w:val="center"/>
              <w:rPr>
                <w:rStyle w:val="Strong"/>
                <w:color w:val="1F1F1F"/>
                <w:sz w:val="18"/>
                <w:szCs w:val="18"/>
                <w:bdr w:val="none" w:sz="0" w:space="0" w:color="auto" w:frame="1"/>
              </w:rPr>
            </w:pPr>
          </w:p>
        </w:tc>
        <w:tc>
          <w:tcPr>
            <w:tcW w:w="1980" w:type="dxa"/>
            <w:shd w:val="clear" w:color="auto" w:fill="E7E6E6" w:themeFill="background2"/>
          </w:tcPr>
          <w:p w14:paraId="3CA760D8" w14:textId="77777777" w:rsidR="00C830F0" w:rsidRPr="00506401" w:rsidRDefault="00C830F0" w:rsidP="008411F5">
            <w:pPr>
              <w:spacing w:line="276" w:lineRule="auto"/>
              <w:jc w:val="center"/>
              <w:rPr>
                <w:rStyle w:val="Strong"/>
                <w:color w:val="1F1F1F"/>
                <w:sz w:val="18"/>
                <w:szCs w:val="18"/>
                <w:bdr w:val="none" w:sz="0" w:space="0" w:color="auto" w:frame="1"/>
              </w:rPr>
            </w:pPr>
          </w:p>
        </w:tc>
        <w:tc>
          <w:tcPr>
            <w:tcW w:w="1800" w:type="dxa"/>
            <w:shd w:val="clear" w:color="auto" w:fill="E7E6E6" w:themeFill="background2"/>
          </w:tcPr>
          <w:p w14:paraId="7C3B177B" w14:textId="77777777" w:rsidR="00C830F0" w:rsidRPr="00506401" w:rsidRDefault="00C830F0" w:rsidP="008411F5">
            <w:pPr>
              <w:spacing w:line="276" w:lineRule="auto"/>
              <w:jc w:val="center"/>
              <w:rPr>
                <w:rStyle w:val="Strong"/>
                <w:color w:val="1F1F1F"/>
                <w:sz w:val="18"/>
                <w:szCs w:val="18"/>
                <w:bdr w:val="none" w:sz="0" w:space="0" w:color="auto" w:frame="1"/>
              </w:rPr>
            </w:pPr>
          </w:p>
        </w:tc>
      </w:tr>
      <w:tr w:rsidR="00C830F0" w:rsidRPr="00506401" w14:paraId="654B5D57" w14:textId="77777777" w:rsidTr="008411F5">
        <w:trPr>
          <w:jc w:val="center"/>
        </w:trPr>
        <w:tc>
          <w:tcPr>
            <w:tcW w:w="3145" w:type="dxa"/>
          </w:tcPr>
          <w:p w14:paraId="743F5058" w14:textId="77777777" w:rsidR="00C830F0" w:rsidRPr="00506401" w:rsidRDefault="00C830F0" w:rsidP="008411F5">
            <w:pPr>
              <w:spacing w:line="276" w:lineRule="auto"/>
              <w:rPr>
                <w:rStyle w:val="Strong"/>
                <w:b w:val="0"/>
                <w:bCs w:val="0"/>
                <w:color w:val="1F1F1F"/>
                <w:sz w:val="18"/>
                <w:szCs w:val="18"/>
                <w:bdr w:val="none" w:sz="0" w:space="0" w:color="auto" w:frame="1"/>
              </w:rPr>
            </w:pPr>
            <w:r w:rsidRPr="00506401">
              <w:rPr>
                <w:rStyle w:val="Strong"/>
                <w:b w:val="0"/>
                <w:bCs w:val="0"/>
                <w:color w:val="1F1F1F"/>
                <w:sz w:val="18"/>
                <w:szCs w:val="18"/>
                <w:bdr w:val="none" w:sz="0" w:space="0" w:color="auto" w:frame="1"/>
              </w:rPr>
              <w:t>Year</w:t>
            </w:r>
          </w:p>
        </w:tc>
        <w:tc>
          <w:tcPr>
            <w:tcW w:w="1890" w:type="dxa"/>
            <w:vAlign w:val="center"/>
          </w:tcPr>
          <w:p w14:paraId="3BFA45CB"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2024</w:t>
            </w:r>
          </w:p>
        </w:tc>
        <w:tc>
          <w:tcPr>
            <w:tcW w:w="1710" w:type="dxa"/>
            <w:vAlign w:val="center"/>
          </w:tcPr>
          <w:p w14:paraId="0B5456E3"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2024</w:t>
            </w:r>
          </w:p>
        </w:tc>
        <w:tc>
          <w:tcPr>
            <w:tcW w:w="1980" w:type="dxa"/>
            <w:vAlign w:val="center"/>
          </w:tcPr>
          <w:p w14:paraId="3D9609A6"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2025</w:t>
            </w:r>
          </w:p>
        </w:tc>
        <w:tc>
          <w:tcPr>
            <w:tcW w:w="1800" w:type="dxa"/>
            <w:vAlign w:val="center"/>
          </w:tcPr>
          <w:p w14:paraId="3FFCEE36"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rStyle w:val="Strong"/>
                <w:color w:val="1F1F1F"/>
                <w:sz w:val="18"/>
                <w:szCs w:val="18"/>
                <w:bdr w:val="none" w:sz="0" w:space="0" w:color="auto" w:frame="1"/>
              </w:rPr>
              <w:t>2025</w:t>
            </w:r>
          </w:p>
        </w:tc>
      </w:tr>
      <w:tr w:rsidR="00C830F0" w:rsidRPr="00506401" w14:paraId="6816DDD1" w14:textId="77777777" w:rsidTr="008411F5">
        <w:trPr>
          <w:jc w:val="center"/>
        </w:trPr>
        <w:tc>
          <w:tcPr>
            <w:tcW w:w="3145" w:type="dxa"/>
          </w:tcPr>
          <w:p w14:paraId="1748B6A3" w14:textId="77777777" w:rsidR="00C830F0" w:rsidRPr="00506401" w:rsidRDefault="00C830F0" w:rsidP="008411F5">
            <w:pPr>
              <w:spacing w:line="276" w:lineRule="auto"/>
              <w:rPr>
                <w:rStyle w:val="Strong"/>
                <w:b w:val="0"/>
                <w:bCs w:val="0"/>
                <w:color w:val="1F1F1F"/>
                <w:sz w:val="18"/>
                <w:szCs w:val="18"/>
                <w:bdr w:val="none" w:sz="0" w:space="0" w:color="auto" w:frame="1"/>
              </w:rPr>
            </w:pPr>
            <w:r w:rsidRPr="00506401">
              <w:rPr>
                <w:rStyle w:val="Strong"/>
                <w:b w:val="0"/>
                <w:bCs w:val="0"/>
                <w:color w:val="1F1F1F"/>
                <w:sz w:val="18"/>
                <w:szCs w:val="18"/>
                <w:bdr w:val="none" w:sz="0" w:space="0" w:color="auto" w:frame="1"/>
              </w:rPr>
              <w:t>Indicator</w:t>
            </w:r>
          </w:p>
        </w:tc>
        <w:tc>
          <w:tcPr>
            <w:tcW w:w="1890" w:type="dxa"/>
            <w:vAlign w:val="center"/>
          </w:tcPr>
          <w:p w14:paraId="5B93517F" w14:textId="77777777" w:rsidR="00C830F0" w:rsidRPr="00506401" w:rsidRDefault="00C830F0" w:rsidP="008411F5">
            <w:pPr>
              <w:spacing w:line="276" w:lineRule="auto"/>
              <w:jc w:val="center"/>
              <w:rPr>
                <w:rStyle w:val="Strong"/>
                <w:color w:val="1F1F1F"/>
                <w:sz w:val="18"/>
                <w:szCs w:val="18"/>
                <w:bdr w:val="none" w:sz="0" w:space="0" w:color="auto" w:frame="1"/>
              </w:rPr>
            </w:pPr>
            <w:proofErr w:type="spellStart"/>
            <w:r w:rsidRPr="00506401">
              <w:rPr>
                <w:rStyle w:val="Strong"/>
                <w:color w:val="1F1F1F"/>
                <w:sz w:val="18"/>
                <w:szCs w:val="18"/>
                <w:bdr w:val="none" w:sz="0" w:space="0" w:color="auto" w:frame="1"/>
              </w:rPr>
              <w:t>BI</w:t>
            </w:r>
            <w:r w:rsidRPr="00506401">
              <w:rPr>
                <w:rStyle w:val="Strong"/>
                <w:i/>
                <w:iCs/>
                <w:color w:val="1F1F1F"/>
                <w:sz w:val="18"/>
                <w:szCs w:val="18"/>
                <w:bdr w:val="none" w:sz="0" w:space="0" w:color="auto" w:frame="1"/>
                <w:vertAlign w:val="subscript"/>
              </w:rPr>
              <w:t>waste</w:t>
            </w:r>
            <w:proofErr w:type="spellEnd"/>
          </w:p>
        </w:tc>
        <w:tc>
          <w:tcPr>
            <w:tcW w:w="1710" w:type="dxa"/>
            <w:vAlign w:val="center"/>
          </w:tcPr>
          <w:p w14:paraId="3DAA5D83" w14:textId="77777777" w:rsidR="00C830F0" w:rsidRPr="00506401" w:rsidRDefault="00C830F0" w:rsidP="008411F5">
            <w:pPr>
              <w:spacing w:line="276" w:lineRule="auto"/>
              <w:jc w:val="center"/>
              <w:rPr>
                <w:rStyle w:val="Strong"/>
                <w:color w:val="1F1F1F"/>
                <w:sz w:val="18"/>
                <w:szCs w:val="18"/>
                <w:bdr w:val="none" w:sz="0" w:space="0" w:color="auto" w:frame="1"/>
              </w:rPr>
            </w:pPr>
            <w:proofErr w:type="spellStart"/>
            <w:r w:rsidRPr="00506401">
              <w:rPr>
                <w:rStyle w:val="Strong"/>
                <w:color w:val="1F1F1F"/>
                <w:sz w:val="18"/>
                <w:szCs w:val="18"/>
                <w:bdr w:val="none" w:sz="0" w:space="0" w:color="auto" w:frame="1"/>
              </w:rPr>
              <w:t>BI</w:t>
            </w:r>
            <w:r w:rsidRPr="00506401">
              <w:rPr>
                <w:rStyle w:val="Strong"/>
                <w:i/>
                <w:iCs/>
                <w:color w:val="1F1F1F"/>
                <w:sz w:val="18"/>
                <w:szCs w:val="18"/>
                <w:bdr w:val="none" w:sz="0" w:space="0" w:color="auto" w:frame="1"/>
                <w:vertAlign w:val="subscript"/>
              </w:rPr>
              <w:t>plastics</w:t>
            </w:r>
            <w:proofErr w:type="spellEnd"/>
          </w:p>
        </w:tc>
        <w:tc>
          <w:tcPr>
            <w:tcW w:w="1980" w:type="dxa"/>
            <w:vAlign w:val="center"/>
          </w:tcPr>
          <w:p w14:paraId="4BD24567" w14:textId="77777777" w:rsidR="00C830F0" w:rsidRPr="00506401" w:rsidRDefault="00C830F0" w:rsidP="008411F5">
            <w:pPr>
              <w:spacing w:line="276" w:lineRule="auto"/>
              <w:jc w:val="center"/>
              <w:rPr>
                <w:rStyle w:val="Strong"/>
                <w:color w:val="1F1F1F"/>
                <w:sz w:val="18"/>
                <w:szCs w:val="18"/>
                <w:bdr w:val="none" w:sz="0" w:space="0" w:color="auto" w:frame="1"/>
              </w:rPr>
            </w:pPr>
            <w:proofErr w:type="spellStart"/>
            <w:r w:rsidRPr="00506401">
              <w:rPr>
                <w:rStyle w:val="Strong"/>
                <w:color w:val="1F1F1F"/>
                <w:sz w:val="18"/>
                <w:szCs w:val="18"/>
                <w:bdr w:val="none" w:sz="0" w:space="0" w:color="auto" w:frame="1"/>
              </w:rPr>
              <w:t>BI</w:t>
            </w:r>
            <w:r w:rsidRPr="00506401">
              <w:rPr>
                <w:rStyle w:val="Strong"/>
                <w:i/>
                <w:iCs/>
                <w:color w:val="1F1F1F"/>
                <w:sz w:val="18"/>
                <w:szCs w:val="18"/>
                <w:bdr w:val="none" w:sz="0" w:space="0" w:color="auto" w:frame="1"/>
                <w:vertAlign w:val="subscript"/>
              </w:rPr>
              <w:t>waste</w:t>
            </w:r>
            <w:proofErr w:type="spellEnd"/>
          </w:p>
        </w:tc>
        <w:tc>
          <w:tcPr>
            <w:tcW w:w="1800" w:type="dxa"/>
            <w:vAlign w:val="center"/>
          </w:tcPr>
          <w:p w14:paraId="5CBD5FF3" w14:textId="77777777" w:rsidR="00C830F0" w:rsidRPr="00506401" w:rsidRDefault="00C830F0" w:rsidP="008411F5">
            <w:pPr>
              <w:spacing w:line="276" w:lineRule="auto"/>
              <w:jc w:val="center"/>
              <w:rPr>
                <w:rStyle w:val="Strong"/>
                <w:color w:val="1F1F1F"/>
                <w:sz w:val="18"/>
                <w:szCs w:val="18"/>
                <w:bdr w:val="none" w:sz="0" w:space="0" w:color="auto" w:frame="1"/>
              </w:rPr>
            </w:pPr>
            <w:proofErr w:type="spellStart"/>
            <w:r w:rsidRPr="00506401">
              <w:rPr>
                <w:rStyle w:val="Strong"/>
                <w:color w:val="1F1F1F"/>
                <w:sz w:val="18"/>
                <w:szCs w:val="18"/>
                <w:bdr w:val="none" w:sz="0" w:space="0" w:color="auto" w:frame="1"/>
              </w:rPr>
              <w:t>BI</w:t>
            </w:r>
            <w:r w:rsidRPr="00506401">
              <w:rPr>
                <w:rStyle w:val="Strong"/>
                <w:i/>
                <w:iCs/>
                <w:color w:val="1F1F1F"/>
                <w:sz w:val="18"/>
                <w:szCs w:val="18"/>
                <w:bdr w:val="none" w:sz="0" w:space="0" w:color="auto" w:frame="1"/>
                <w:vertAlign w:val="subscript"/>
              </w:rPr>
              <w:t>plastics</w:t>
            </w:r>
            <w:proofErr w:type="spellEnd"/>
          </w:p>
        </w:tc>
      </w:tr>
      <w:tr w:rsidR="00C830F0" w:rsidRPr="00506401" w14:paraId="5FFA48F9" w14:textId="77777777" w:rsidTr="008411F5">
        <w:trPr>
          <w:jc w:val="center"/>
        </w:trPr>
        <w:tc>
          <w:tcPr>
            <w:tcW w:w="3145" w:type="dxa"/>
          </w:tcPr>
          <w:p w14:paraId="50489462" w14:textId="77777777" w:rsidR="00C830F0" w:rsidRPr="00506401" w:rsidRDefault="00C830F0" w:rsidP="008411F5">
            <w:pPr>
              <w:spacing w:line="276" w:lineRule="auto"/>
              <w:rPr>
                <w:rStyle w:val="Strong"/>
                <w:b w:val="0"/>
                <w:bCs w:val="0"/>
                <w:color w:val="1F1F1F"/>
                <w:sz w:val="18"/>
                <w:szCs w:val="18"/>
                <w:bdr w:val="none" w:sz="0" w:space="0" w:color="auto" w:frame="1"/>
              </w:rPr>
            </w:pPr>
            <w:r w:rsidRPr="00506401">
              <w:rPr>
                <w:rStyle w:val="Strong"/>
                <w:b w:val="0"/>
                <w:bCs w:val="0"/>
                <w:color w:val="1F1F1F"/>
                <w:sz w:val="18"/>
                <w:szCs w:val="18"/>
                <w:bdr w:val="none" w:sz="0" w:space="0" w:color="auto" w:frame="1"/>
              </w:rPr>
              <w:t>Health districts (n)</w:t>
            </w:r>
          </w:p>
        </w:tc>
        <w:tc>
          <w:tcPr>
            <w:tcW w:w="1890" w:type="dxa"/>
            <w:vAlign w:val="center"/>
          </w:tcPr>
          <w:p w14:paraId="0B715E4E" w14:textId="77777777" w:rsidR="00C830F0" w:rsidRPr="00506401" w:rsidRDefault="00C830F0" w:rsidP="008411F5">
            <w:pPr>
              <w:spacing w:line="276" w:lineRule="auto"/>
              <w:jc w:val="center"/>
              <w:rPr>
                <w:rStyle w:val="Strong"/>
                <w:b w:val="0"/>
                <w:bCs w:val="0"/>
                <w:color w:val="1F1F1F"/>
                <w:sz w:val="18"/>
                <w:szCs w:val="18"/>
                <w:bdr w:val="none" w:sz="0" w:space="0" w:color="auto" w:frame="1"/>
              </w:rPr>
            </w:pPr>
            <w:r w:rsidRPr="00506401">
              <w:rPr>
                <w:rStyle w:val="Strong"/>
                <w:b w:val="0"/>
                <w:bCs w:val="0"/>
                <w:color w:val="1F1F1F"/>
                <w:sz w:val="18"/>
                <w:szCs w:val="18"/>
                <w:bdr w:val="none" w:sz="0" w:space="0" w:color="auto" w:frame="1"/>
              </w:rPr>
              <w:t>28</w:t>
            </w:r>
          </w:p>
        </w:tc>
        <w:tc>
          <w:tcPr>
            <w:tcW w:w="1710" w:type="dxa"/>
            <w:vAlign w:val="center"/>
          </w:tcPr>
          <w:p w14:paraId="173B7CA1" w14:textId="77777777" w:rsidR="00C830F0" w:rsidRPr="00506401" w:rsidRDefault="00C830F0" w:rsidP="008411F5">
            <w:pPr>
              <w:spacing w:line="276" w:lineRule="auto"/>
              <w:jc w:val="center"/>
              <w:rPr>
                <w:rStyle w:val="Strong"/>
                <w:b w:val="0"/>
                <w:bCs w:val="0"/>
                <w:color w:val="1F1F1F"/>
                <w:sz w:val="18"/>
                <w:szCs w:val="18"/>
                <w:bdr w:val="none" w:sz="0" w:space="0" w:color="auto" w:frame="1"/>
              </w:rPr>
            </w:pPr>
            <w:r w:rsidRPr="00506401">
              <w:rPr>
                <w:rStyle w:val="Strong"/>
                <w:b w:val="0"/>
                <w:bCs w:val="0"/>
                <w:color w:val="1F1F1F"/>
                <w:sz w:val="18"/>
                <w:szCs w:val="18"/>
                <w:bdr w:val="none" w:sz="0" w:space="0" w:color="auto" w:frame="1"/>
              </w:rPr>
              <w:t>8</w:t>
            </w:r>
          </w:p>
        </w:tc>
        <w:tc>
          <w:tcPr>
            <w:tcW w:w="1980" w:type="dxa"/>
            <w:vAlign w:val="center"/>
          </w:tcPr>
          <w:p w14:paraId="6028D8FE" w14:textId="77777777" w:rsidR="00C830F0" w:rsidRPr="00506401" w:rsidRDefault="00C830F0" w:rsidP="008411F5">
            <w:pPr>
              <w:spacing w:line="276" w:lineRule="auto"/>
              <w:jc w:val="center"/>
              <w:rPr>
                <w:rStyle w:val="Strong"/>
                <w:b w:val="0"/>
                <w:bCs w:val="0"/>
                <w:color w:val="1F1F1F"/>
                <w:sz w:val="18"/>
                <w:szCs w:val="18"/>
                <w:bdr w:val="none" w:sz="0" w:space="0" w:color="auto" w:frame="1"/>
              </w:rPr>
            </w:pPr>
            <w:r w:rsidRPr="00506401">
              <w:rPr>
                <w:rStyle w:val="Strong"/>
                <w:b w:val="0"/>
                <w:bCs w:val="0"/>
                <w:color w:val="1F1F1F"/>
                <w:sz w:val="18"/>
                <w:szCs w:val="18"/>
                <w:bdr w:val="none" w:sz="0" w:space="0" w:color="auto" w:frame="1"/>
              </w:rPr>
              <w:t>28</w:t>
            </w:r>
          </w:p>
        </w:tc>
        <w:tc>
          <w:tcPr>
            <w:tcW w:w="1800" w:type="dxa"/>
            <w:vAlign w:val="center"/>
          </w:tcPr>
          <w:p w14:paraId="1A19846F" w14:textId="77777777" w:rsidR="00C830F0" w:rsidRPr="00506401" w:rsidRDefault="00C830F0" w:rsidP="008411F5">
            <w:pPr>
              <w:spacing w:line="276" w:lineRule="auto"/>
              <w:jc w:val="center"/>
              <w:rPr>
                <w:rStyle w:val="Strong"/>
                <w:b w:val="0"/>
                <w:bCs w:val="0"/>
                <w:color w:val="1F1F1F"/>
                <w:sz w:val="18"/>
                <w:szCs w:val="18"/>
                <w:bdr w:val="none" w:sz="0" w:space="0" w:color="auto" w:frame="1"/>
              </w:rPr>
            </w:pPr>
            <w:r w:rsidRPr="00506401">
              <w:rPr>
                <w:rStyle w:val="Strong"/>
                <w:b w:val="0"/>
                <w:bCs w:val="0"/>
                <w:color w:val="1F1F1F"/>
                <w:sz w:val="18"/>
                <w:szCs w:val="18"/>
                <w:bdr w:val="none" w:sz="0" w:space="0" w:color="auto" w:frame="1"/>
              </w:rPr>
              <w:t>8</w:t>
            </w:r>
          </w:p>
        </w:tc>
      </w:tr>
      <w:tr w:rsidR="00C830F0" w:rsidRPr="00506401" w14:paraId="50D78B91" w14:textId="77777777" w:rsidTr="008411F5">
        <w:trPr>
          <w:jc w:val="center"/>
        </w:trPr>
        <w:tc>
          <w:tcPr>
            <w:tcW w:w="3145" w:type="dxa"/>
          </w:tcPr>
          <w:p w14:paraId="1FCE7092" w14:textId="77777777" w:rsidR="00C830F0" w:rsidRPr="00506401" w:rsidRDefault="00C830F0" w:rsidP="008411F5">
            <w:pPr>
              <w:spacing w:line="276" w:lineRule="auto"/>
              <w:rPr>
                <w:rStyle w:val="Strong"/>
                <w:color w:val="1F1F1F"/>
                <w:sz w:val="18"/>
                <w:szCs w:val="18"/>
                <w:bdr w:val="none" w:sz="0" w:space="0" w:color="auto" w:frame="1"/>
              </w:rPr>
            </w:pPr>
            <w:r w:rsidRPr="00506401">
              <w:rPr>
                <w:color w:val="1F1F1F"/>
                <w:sz w:val="18"/>
                <w:szCs w:val="18"/>
                <w:bdr w:val="none" w:sz="0" w:space="0" w:color="auto" w:frame="1"/>
              </w:rPr>
              <w:t>Population</w:t>
            </w:r>
          </w:p>
        </w:tc>
        <w:tc>
          <w:tcPr>
            <w:tcW w:w="1890" w:type="dxa"/>
            <w:vAlign w:val="center"/>
          </w:tcPr>
          <w:p w14:paraId="4DC14B08"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color w:val="1F1F1F"/>
                <w:sz w:val="18"/>
                <w:szCs w:val="18"/>
              </w:rPr>
              <w:t>21,781,800</w:t>
            </w:r>
          </w:p>
        </w:tc>
        <w:tc>
          <w:tcPr>
            <w:tcW w:w="1710" w:type="dxa"/>
          </w:tcPr>
          <w:p w14:paraId="0B686261"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color w:val="1F1F1F"/>
                <w:sz w:val="18"/>
                <w:szCs w:val="18"/>
              </w:rPr>
              <w:t>10,337,108</w:t>
            </w:r>
          </w:p>
        </w:tc>
        <w:tc>
          <w:tcPr>
            <w:tcW w:w="1980" w:type="dxa"/>
            <w:vAlign w:val="center"/>
          </w:tcPr>
          <w:p w14:paraId="3E92C901"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color w:val="1F1F1F"/>
                <w:sz w:val="18"/>
                <w:szCs w:val="18"/>
              </w:rPr>
              <w:t>21,756,000*</w:t>
            </w:r>
          </w:p>
        </w:tc>
        <w:tc>
          <w:tcPr>
            <w:tcW w:w="1800" w:type="dxa"/>
          </w:tcPr>
          <w:p w14:paraId="2035F3D2" w14:textId="77777777" w:rsidR="00C830F0" w:rsidRPr="00506401" w:rsidRDefault="00C830F0" w:rsidP="008411F5">
            <w:pPr>
              <w:spacing w:line="276" w:lineRule="auto"/>
              <w:jc w:val="center"/>
              <w:rPr>
                <w:rStyle w:val="Strong"/>
                <w:color w:val="1F1F1F"/>
                <w:sz w:val="18"/>
                <w:szCs w:val="18"/>
                <w:bdr w:val="none" w:sz="0" w:space="0" w:color="auto" w:frame="1"/>
              </w:rPr>
            </w:pPr>
            <w:r w:rsidRPr="00506401">
              <w:rPr>
                <w:color w:val="1F1F1F"/>
                <w:sz w:val="18"/>
                <w:szCs w:val="18"/>
              </w:rPr>
              <w:t>10,324,874*</w:t>
            </w:r>
          </w:p>
        </w:tc>
      </w:tr>
      <w:tr w:rsidR="00C830F0" w:rsidRPr="00506401" w14:paraId="11C4F097" w14:textId="77777777" w:rsidTr="008411F5">
        <w:trPr>
          <w:jc w:val="center"/>
        </w:trPr>
        <w:tc>
          <w:tcPr>
            <w:tcW w:w="3145" w:type="dxa"/>
            <w:shd w:val="clear" w:color="auto" w:fill="E7E6E6" w:themeFill="background2"/>
            <w:hideMark/>
          </w:tcPr>
          <w:p w14:paraId="78121011" w14:textId="77777777" w:rsidR="00C830F0" w:rsidRPr="00506401" w:rsidRDefault="00C830F0" w:rsidP="008411F5">
            <w:pPr>
              <w:spacing w:line="276" w:lineRule="auto"/>
              <w:jc w:val="center"/>
              <w:rPr>
                <w:color w:val="1F1F1F"/>
                <w:sz w:val="18"/>
                <w:szCs w:val="18"/>
              </w:rPr>
            </w:pPr>
            <w:r w:rsidRPr="00506401">
              <w:rPr>
                <w:b/>
                <w:bCs/>
                <w:color w:val="1F1F1F"/>
                <w:sz w:val="18"/>
                <w:szCs w:val="18"/>
                <w:bdr w:val="none" w:sz="0" w:space="0" w:color="auto" w:frame="1"/>
              </w:rPr>
              <w:t>Epidemiological</w:t>
            </w:r>
          </w:p>
        </w:tc>
        <w:tc>
          <w:tcPr>
            <w:tcW w:w="1890" w:type="dxa"/>
            <w:shd w:val="clear" w:color="auto" w:fill="E7E6E6" w:themeFill="background2"/>
            <w:vAlign w:val="center"/>
            <w:hideMark/>
          </w:tcPr>
          <w:p w14:paraId="67FF4692" w14:textId="77777777" w:rsidR="00C830F0" w:rsidRPr="00506401" w:rsidRDefault="00C830F0" w:rsidP="008411F5">
            <w:pPr>
              <w:spacing w:line="276" w:lineRule="auto"/>
              <w:jc w:val="center"/>
              <w:rPr>
                <w:color w:val="1F1F1F"/>
                <w:sz w:val="18"/>
                <w:szCs w:val="18"/>
              </w:rPr>
            </w:pPr>
          </w:p>
        </w:tc>
        <w:tc>
          <w:tcPr>
            <w:tcW w:w="1710" w:type="dxa"/>
            <w:shd w:val="clear" w:color="auto" w:fill="E7E6E6" w:themeFill="background2"/>
          </w:tcPr>
          <w:p w14:paraId="47434C8B" w14:textId="77777777" w:rsidR="00C830F0" w:rsidRPr="00506401" w:rsidRDefault="00C830F0" w:rsidP="008411F5">
            <w:pPr>
              <w:spacing w:line="276" w:lineRule="auto"/>
              <w:jc w:val="center"/>
              <w:rPr>
                <w:color w:val="1F1F1F"/>
                <w:sz w:val="18"/>
                <w:szCs w:val="18"/>
              </w:rPr>
            </w:pPr>
          </w:p>
        </w:tc>
        <w:tc>
          <w:tcPr>
            <w:tcW w:w="1980" w:type="dxa"/>
            <w:shd w:val="clear" w:color="auto" w:fill="E7E6E6" w:themeFill="background2"/>
            <w:vAlign w:val="center"/>
            <w:hideMark/>
          </w:tcPr>
          <w:p w14:paraId="7BDC53D9" w14:textId="77777777" w:rsidR="00C830F0" w:rsidRPr="00506401" w:rsidRDefault="00C830F0" w:rsidP="008411F5">
            <w:pPr>
              <w:spacing w:line="276" w:lineRule="auto"/>
              <w:jc w:val="center"/>
              <w:rPr>
                <w:color w:val="1F1F1F"/>
                <w:sz w:val="18"/>
                <w:szCs w:val="18"/>
              </w:rPr>
            </w:pPr>
          </w:p>
        </w:tc>
        <w:tc>
          <w:tcPr>
            <w:tcW w:w="1800" w:type="dxa"/>
            <w:shd w:val="clear" w:color="auto" w:fill="E7E6E6" w:themeFill="background2"/>
          </w:tcPr>
          <w:p w14:paraId="4E89A67D" w14:textId="77777777" w:rsidR="00C830F0" w:rsidRPr="00506401" w:rsidRDefault="00C830F0" w:rsidP="008411F5">
            <w:pPr>
              <w:spacing w:line="276" w:lineRule="auto"/>
              <w:jc w:val="center"/>
              <w:rPr>
                <w:color w:val="1F1F1F"/>
                <w:sz w:val="18"/>
                <w:szCs w:val="18"/>
              </w:rPr>
            </w:pPr>
          </w:p>
        </w:tc>
      </w:tr>
      <w:tr w:rsidR="00C830F0" w:rsidRPr="00506401" w14:paraId="055ED4FE" w14:textId="77777777" w:rsidTr="008411F5">
        <w:trPr>
          <w:jc w:val="center"/>
        </w:trPr>
        <w:tc>
          <w:tcPr>
            <w:tcW w:w="3145" w:type="dxa"/>
            <w:hideMark/>
          </w:tcPr>
          <w:p w14:paraId="4B4E88E7"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Total Reported Cases</w:t>
            </w:r>
          </w:p>
        </w:tc>
        <w:tc>
          <w:tcPr>
            <w:tcW w:w="1890" w:type="dxa"/>
            <w:vAlign w:val="center"/>
            <w:hideMark/>
          </w:tcPr>
          <w:p w14:paraId="1EE6DAAA"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49,525</w:t>
            </w:r>
          </w:p>
        </w:tc>
        <w:tc>
          <w:tcPr>
            <w:tcW w:w="1710" w:type="dxa"/>
          </w:tcPr>
          <w:p w14:paraId="195F6FF2" w14:textId="77777777" w:rsidR="00C830F0" w:rsidRPr="00506401" w:rsidRDefault="00C830F0" w:rsidP="008411F5">
            <w:pPr>
              <w:spacing w:line="276" w:lineRule="auto"/>
              <w:jc w:val="center"/>
              <w:rPr>
                <w:color w:val="1F1F1F"/>
                <w:sz w:val="18"/>
                <w:szCs w:val="18"/>
                <w:bdr w:val="none" w:sz="0" w:space="0" w:color="auto" w:frame="1"/>
              </w:rPr>
            </w:pPr>
            <w:r w:rsidRPr="00506401">
              <w:rPr>
                <w:color w:val="1F1F1F"/>
                <w:sz w:val="18"/>
                <w:szCs w:val="18"/>
                <w:bdr w:val="none" w:sz="0" w:space="0" w:color="auto" w:frame="1"/>
              </w:rPr>
              <w:t>25,154</w:t>
            </w:r>
          </w:p>
        </w:tc>
        <w:tc>
          <w:tcPr>
            <w:tcW w:w="1980" w:type="dxa"/>
            <w:vAlign w:val="center"/>
            <w:hideMark/>
          </w:tcPr>
          <w:p w14:paraId="7D5655A0"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51,552</w:t>
            </w:r>
          </w:p>
        </w:tc>
        <w:tc>
          <w:tcPr>
            <w:tcW w:w="1800" w:type="dxa"/>
          </w:tcPr>
          <w:p w14:paraId="741FDC99" w14:textId="77777777" w:rsidR="00C830F0" w:rsidRPr="00506401" w:rsidRDefault="00C830F0" w:rsidP="008411F5">
            <w:pPr>
              <w:spacing w:line="276" w:lineRule="auto"/>
              <w:jc w:val="center"/>
              <w:rPr>
                <w:color w:val="1F1F1F"/>
                <w:sz w:val="18"/>
                <w:szCs w:val="18"/>
                <w:bdr w:val="none" w:sz="0" w:space="0" w:color="auto" w:frame="1"/>
              </w:rPr>
            </w:pPr>
            <w:r w:rsidRPr="00506401">
              <w:rPr>
                <w:color w:val="1F1F1F"/>
                <w:sz w:val="18"/>
                <w:szCs w:val="18"/>
                <w:bdr w:val="none" w:sz="0" w:space="0" w:color="auto" w:frame="1"/>
              </w:rPr>
              <w:t>25,489</w:t>
            </w:r>
          </w:p>
        </w:tc>
      </w:tr>
      <w:tr w:rsidR="00C830F0" w:rsidRPr="00506401" w14:paraId="05F33FCA" w14:textId="77777777" w:rsidTr="008411F5">
        <w:trPr>
          <w:jc w:val="center"/>
        </w:trPr>
        <w:tc>
          <w:tcPr>
            <w:tcW w:w="3145" w:type="dxa"/>
            <w:hideMark/>
          </w:tcPr>
          <w:p w14:paraId="221DCE0C"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Attributable Fraction (AF)</w:t>
            </w:r>
          </w:p>
        </w:tc>
        <w:tc>
          <w:tcPr>
            <w:tcW w:w="1890" w:type="dxa"/>
            <w:hideMark/>
          </w:tcPr>
          <w:p w14:paraId="6C76578E" w14:textId="77777777" w:rsidR="00C830F0" w:rsidRPr="00506401" w:rsidRDefault="00C830F0" w:rsidP="008411F5">
            <w:pPr>
              <w:spacing w:line="276" w:lineRule="auto"/>
              <w:jc w:val="center"/>
              <w:rPr>
                <w:b/>
                <w:bCs/>
                <w:color w:val="1F1F1F"/>
                <w:sz w:val="18"/>
                <w:szCs w:val="18"/>
              </w:rPr>
            </w:pPr>
            <w:r w:rsidRPr="00506401">
              <w:rPr>
                <w:b/>
                <w:bCs/>
                <w:sz w:val="18"/>
                <w:szCs w:val="18"/>
              </w:rPr>
              <w:t>29.9 (18.0–38.4)</w:t>
            </w:r>
          </w:p>
        </w:tc>
        <w:tc>
          <w:tcPr>
            <w:tcW w:w="1710" w:type="dxa"/>
          </w:tcPr>
          <w:p w14:paraId="1309E171" w14:textId="77777777" w:rsidR="00C830F0" w:rsidRPr="00506401" w:rsidRDefault="00C830F0" w:rsidP="008411F5">
            <w:pPr>
              <w:spacing w:line="276" w:lineRule="auto"/>
              <w:jc w:val="center"/>
              <w:rPr>
                <w:b/>
                <w:bCs/>
                <w:color w:val="1F1F1F"/>
                <w:sz w:val="18"/>
                <w:szCs w:val="18"/>
                <w:bdr w:val="none" w:sz="0" w:space="0" w:color="auto" w:frame="1"/>
              </w:rPr>
            </w:pPr>
            <w:r w:rsidRPr="00D4554D">
              <w:rPr>
                <w:b/>
                <w:bCs/>
                <w:sz w:val="18"/>
                <w:szCs w:val="18"/>
              </w:rPr>
              <w:t>23.3 (13.4–30.7)</w:t>
            </w:r>
          </w:p>
        </w:tc>
        <w:tc>
          <w:tcPr>
            <w:tcW w:w="1980" w:type="dxa"/>
            <w:hideMark/>
          </w:tcPr>
          <w:p w14:paraId="7D1A7374" w14:textId="77777777" w:rsidR="00C830F0" w:rsidRPr="00506401" w:rsidRDefault="00C830F0" w:rsidP="008411F5">
            <w:pPr>
              <w:spacing w:line="276" w:lineRule="auto"/>
              <w:jc w:val="center"/>
              <w:rPr>
                <w:b/>
                <w:bCs/>
                <w:color w:val="1F1F1F"/>
                <w:sz w:val="18"/>
                <w:szCs w:val="18"/>
              </w:rPr>
            </w:pPr>
            <w:r w:rsidRPr="00506401">
              <w:rPr>
                <w:b/>
                <w:bCs/>
                <w:sz w:val="18"/>
                <w:szCs w:val="18"/>
              </w:rPr>
              <w:t>34.2 (22.4–42.3)</w:t>
            </w:r>
          </w:p>
        </w:tc>
        <w:tc>
          <w:tcPr>
            <w:tcW w:w="1800" w:type="dxa"/>
          </w:tcPr>
          <w:p w14:paraId="7ACC2D50" w14:textId="77777777" w:rsidR="00C830F0" w:rsidRPr="00506401" w:rsidRDefault="00C830F0" w:rsidP="008411F5">
            <w:pPr>
              <w:spacing w:line="276" w:lineRule="auto"/>
              <w:jc w:val="center"/>
              <w:rPr>
                <w:b/>
                <w:bCs/>
                <w:color w:val="1F1F1F"/>
                <w:sz w:val="18"/>
                <w:szCs w:val="18"/>
                <w:bdr w:val="none" w:sz="0" w:space="0" w:color="auto" w:frame="1"/>
              </w:rPr>
            </w:pPr>
            <w:r w:rsidRPr="00D4554D">
              <w:rPr>
                <w:b/>
                <w:bCs/>
                <w:sz w:val="18"/>
                <w:szCs w:val="18"/>
              </w:rPr>
              <w:t>22.5 (14.3–28.3)</w:t>
            </w:r>
          </w:p>
        </w:tc>
      </w:tr>
      <w:tr w:rsidR="00C830F0" w:rsidRPr="00506401" w14:paraId="0416C989" w14:textId="77777777" w:rsidTr="008411F5">
        <w:trPr>
          <w:jc w:val="center"/>
        </w:trPr>
        <w:tc>
          <w:tcPr>
            <w:tcW w:w="3145" w:type="dxa"/>
            <w:hideMark/>
          </w:tcPr>
          <w:p w14:paraId="5FE2E73F"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Attributable Cases</w:t>
            </w:r>
          </w:p>
        </w:tc>
        <w:tc>
          <w:tcPr>
            <w:tcW w:w="1890" w:type="dxa"/>
            <w:hideMark/>
          </w:tcPr>
          <w:p w14:paraId="1ECE44F0" w14:textId="77777777" w:rsidR="00C830F0" w:rsidRPr="00506401" w:rsidRDefault="00C830F0" w:rsidP="008411F5">
            <w:pPr>
              <w:spacing w:line="276" w:lineRule="auto"/>
              <w:jc w:val="center"/>
              <w:rPr>
                <w:color w:val="1F1F1F"/>
                <w:sz w:val="18"/>
                <w:szCs w:val="18"/>
              </w:rPr>
            </w:pPr>
            <w:r w:rsidRPr="00506401">
              <w:rPr>
                <w:sz w:val="18"/>
                <w:szCs w:val="18"/>
              </w:rPr>
              <w:t>14,789 (8,939–19,037)</w:t>
            </w:r>
          </w:p>
        </w:tc>
        <w:tc>
          <w:tcPr>
            <w:tcW w:w="1710" w:type="dxa"/>
          </w:tcPr>
          <w:p w14:paraId="6A3777FD" w14:textId="77777777" w:rsidR="00C830F0" w:rsidRPr="00506401" w:rsidRDefault="00C830F0" w:rsidP="008411F5">
            <w:pPr>
              <w:spacing w:line="276" w:lineRule="auto"/>
              <w:jc w:val="center"/>
              <w:rPr>
                <w:color w:val="1F1F1F"/>
                <w:sz w:val="18"/>
                <w:szCs w:val="18"/>
                <w:bdr w:val="none" w:sz="0" w:space="0" w:color="auto" w:frame="1"/>
              </w:rPr>
            </w:pPr>
            <w:r w:rsidRPr="00D4554D">
              <w:rPr>
                <w:sz w:val="18"/>
                <w:szCs w:val="18"/>
              </w:rPr>
              <w:t>5,870 (3,369–7,715)</w:t>
            </w:r>
          </w:p>
        </w:tc>
        <w:tc>
          <w:tcPr>
            <w:tcW w:w="1980" w:type="dxa"/>
            <w:hideMark/>
          </w:tcPr>
          <w:p w14:paraId="6D0305B7" w14:textId="77777777" w:rsidR="00C830F0" w:rsidRPr="00506401" w:rsidRDefault="00C830F0" w:rsidP="008411F5">
            <w:pPr>
              <w:spacing w:line="276" w:lineRule="auto"/>
              <w:jc w:val="center"/>
              <w:rPr>
                <w:color w:val="1F1F1F"/>
                <w:sz w:val="18"/>
                <w:szCs w:val="18"/>
              </w:rPr>
            </w:pPr>
            <w:r w:rsidRPr="00506401">
              <w:rPr>
                <w:sz w:val="18"/>
                <w:szCs w:val="18"/>
              </w:rPr>
              <w:t>17,654 (11,561–21,810)</w:t>
            </w:r>
          </w:p>
        </w:tc>
        <w:tc>
          <w:tcPr>
            <w:tcW w:w="1800" w:type="dxa"/>
          </w:tcPr>
          <w:p w14:paraId="27FF3165" w14:textId="77777777" w:rsidR="00C830F0" w:rsidRPr="00506401" w:rsidRDefault="00C830F0" w:rsidP="008411F5">
            <w:pPr>
              <w:spacing w:line="276" w:lineRule="auto"/>
              <w:jc w:val="center"/>
              <w:rPr>
                <w:color w:val="1F1F1F"/>
                <w:sz w:val="18"/>
                <w:szCs w:val="18"/>
                <w:bdr w:val="none" w:sz="0" w:space="0" w:color="auto" w:frame="1"/>
              </w:rPr>
            </w:pPr>
            <w:r w:rsidRPr="00D4554D">
              <w:rPr>
                <w:sz w:val="18"/>
                <w:szCs w:val="18"/>
              </w:rPr>
              <w:t>5,748 (3,642–7,211)</w:t>
            </w:r>
          </w:p>
        </w:tc>
      </w:tr>
      <w:tr w:rsidR="00C830F0" w:rsidRPr="00506401" w14:paraId="2CBF86BB" w14:textId="77777777" w:rsidTr="008411F5">
        <w:trPr>
          <w:jc w:val="center"/>
        </w:trPr>
        <w:tc>
          <w:tcPr>
            <w:tcW w:w="3145" w:type="dxa"/>
            <w:hideMark/>
          </w:tcPr>
          <w:p w14:paraId="793E3813"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DALYs</w:t>
            </w:r>
          </w:p>
        </w:tc>
        <w:tc>
          <w:tcPr>
            <w:tcW w:w="1890" w:type="dxa"/>
            <w:hideMark/>
          </w:tcPr>
          <w:p w14:paraId="62FA30A7"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209 (109–322)</w:t>
            </w:r>
          </w:p>
        </w:tc>
        <w:tc>
          <w:tcPr>
            <w:tcW w:w="1710" w:type="dxa"/>
          </w:tcPr>
          <w:p w14:paraId="33296B55" w14:textId="77777777" w:rsidR="00C830F0" w:rsidRPr="00506401" w:rsidRDefault="00C830F0" w:rsidP="008411F5">
            <w:pPr>
              <w:spacing w:line="276" w:lineRule="auto"/>
              <w:jc w:val="center"/>
              <w:rPr>
                <w:color w:val="1F1F1F"/>
                <w:sz w:val="18"/>
                <w:szCs w:val="18"/>
                <w:bdr w:val="none" w:sz="0" w:space="0" w:color="auto" w:frame="1"/>
              </w:rPr>
            </w:pPr>
            <w:r w:rsidRPr="00D4554D">
              <w:rPr>
                <w:color w:val="1F1F1F"/>
                <w:sz w:val="18"/>
                <w:szCs w:val="18"/>
                <w:bdr w:val="none" w:sz="0" w:space="0" w:color="auto" w:frame="1"/>
              </w:rPr>
              <w:t>156 (70–266)</w:t>
            </w:r>
          </w:p>
        </w:tc>
        <w:tc>
          <w:tcPr>
            <w:tcW w:w="1980" w:type="dxa"/>
            <w:hideMark/>
          </w:tcPr>
          <w:p w14:paraId="57076E99"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287 (163–418)</w:t>
            </w:r>
          </w:p>
        </w:tc>
        <w:tc>
          <w:tcPr>
            <w:tcW w:w="1800" w:type="dxa"/>
          </w:tcPr>
          <w:p w14:paraId="532AD1CD" w14:textId="77777777" w:rsidR="00C830F0" w:rsidRPr="00506401" w:rsidRDefault="00C830F0" w:rsidP="008411F5">
            <w:pPr>
              <w:spacing w:line="276" w:lineRule="auto"/>
              <w:jc w:val="center"/>
              <w:rPr>
                <w:color w:val="1F1F1F"/>
                <w:sz w:val="18"/>
                <w:szCs w:val="18"/>
                <w:bdr w:val="none" w:sz="0" w:space="0" w:color="auto" w:frame="1"/>
              </w:rPr>
            </w:pPr>
            <w:r w:rsidRPr="00D4554D">
              <w:rPr>
                <w:color w:val="1F1F1F"/>
                <w:sz w:val="18"/>
                <w:szCs w:val="18"/>
                <w:bdr w:val="none" w:sz="0" w:space="0" w:color="auto" w:frame="1"/>
              </w:rPr>
              <w:t>180 (87–291)</w:t>
            </w:r>
          </w:p>
        </w:tc>
      </w:tr>
      <w:tr w:rsidR="00C830F0" w:rsidRPr="00506401" w14:paraId="1F8DC65A" w14:textId="77777777" w:rsidTr="008411F5">
        <w:trPr>
          <w:jc w:val="center"/>
        </w:trPr>
        <w:tc>
          <w:tcPr>
            <w:tcW w:w="3145" w:type="dxa"/>
          </w:tcPr>
          <w:p w14:paraId="4AA084EE"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Deaths (n)</w:t>
            </w:r>
          </w:p>
        </w:tc>
        <w:tc>
          <w:tcPr>
            <w:tcW w:w="1890" w:type="dxa"/>
          </w:tcPr>
          <w:p w14:paraId="0B1885DE" w14:textId="77777777" w:rsidR="00C830F0" w:rsidRPr="00506401" w:rsidRDefault="00C830F0" w:rsidP="008411F5">
            <w:pPr>
              <w:spacing w:line="276" w:lineRule="auto"/>
              <w:jc w:val="center"/>
              <w:rPr>
                <w:color w:val="1F1F1F"/>
                <w:sz w:val="18"/>
                <w:szCs w:val="18"/>
                <w:bdr w:val="none" w:sz="0" w:space="0" w:color="auto" w:frame="1"/>
              </w:rPr>
            </w:pPr>
            <w:r w:rsidRPr="00506401">
              <w:rPr>
                <w:color w:val="1F1F1F"/>
                <w:sz w:val="18"/>
                <w:szCs w:val="18"/>
                <w:bdr w:val="none" w:sz="0" w:space="0" w:color="auto" w:frame="1"/>
              </w:rPr>
              <w:t>7 (4–11)</w:t>
            </w:r>
          </w:p>
        </w:tc>
        <w:tc>
          <w:tcPr>
            <w:tcW w:w="1710" w:type="dxa"/>
          </w:tcPr>
          <w:p w14:paraId="46D43C3D" w14:textId="77777777" w:rsidR="00C830F0" w:rsidRPr="00506401" w:rsidRDefault="00C830F0" w:rsidP="008411F5">
            <w:pPr>
              <w:spacing w:line="276" w:lineRule="auto"/>
              <w:jc w:val="center"/>
              <w:rPr>
                <w:color w:val="1F1F1F"/>
                <w:sz w:val="18"/>
                <w:szCs w:val="18"/>
                <w:bdr w:val="none" w:sz="0" w:space="0" w:color="auto" w:frame="1"/>
              </w:rPr>
            </w:pPr>
            <w:r w:rsidRPr="00D4554D">
              <w:rPr>
                <w:color w:val="1F1F1F"/>
                <w:sz w:val="18"/>
                <w:szCs w:val="18"/>
                <w:bdr w:val="none" w:sz="0" w:space="0" w:color="auto" w:frame="1"/>
              </w:rPr>
              <w:t>3 (1–6)</w:t>
            </w:r>
          </w:p>
        </w:tc>
        <w:tc>
          <w:tcPr>
            <w:tcW w:w="1980" w:type="dxa"/>
          </w:tcPr>
          <w:p w14:paraId="5717B88A" w14:textId="77777777" w:rsidR="00C830F0" w:rsidRPr="00506401" w:rsidRDefault="00C830F0" w:rsidP="008411F5">
            <w:pPr>
              <w:spacing w:line="276" w:lineRule="auto"/>
              <w:jc w:val="center"/>
              <w:rPr>
                <w:color w:val="1F1F1F"/>
                <w:sz w:val="18"/>
                <w:szCs w:val="18"/>
                <w:bdr w:val="none" w:sz="0" w:space="0" w:color="auto" w:frame="1"/>
              </w:rPr>
            </w:pPr>
            <w:r w:rsidRPr="00506401">
              <w:rPr>
                <w:color w:val="1F1F1F"/>
                <w:sz w:val="18"/>
                <w:szCs w:val="18"/>
                <w:bdr w:val="none" w:sz="0" w:space="0" w:color="auto" w:frame="1"/>
              </w:rPr>
              <w:t>10 (6–15)</w:t>
            </w:r>
          </w:p>
        </w:tc>
        <w:tc>
          <w:tcPr>
            <w:tcW w:w="1800" w:type="dxa"/>
          </w:tcPr>
          <w:p w14:paraId="440F71CE" w14:textId="77777777" w:rsidR="00C830F0" w:rsidRPr="00506401" w:rsidRDefault="00C830F0" w:rsidP="008411F5">
            <w:pPr>
              <w:spacing w:line="276" w:lineRule="auto"/>
              <w:jc w:val="center"/>
              <w:rPr>
                <w:color w:val="1F1F1F"/>
                <w:sz w:val="18"/>
                <w:szCs w:val="18"/>
                <w:bdr w:val="none" w:sz="0" w:space="0" w:color="auto" w:frame="1"/>
              </w:rPr>
            </w:pPr>
            <w:r w:rsidRPr="00D4554D">
              <w:rPr>
                <w:color w:val="1F1F1F"/>
                <w:sz w:val="18"/>
                <w:szCs w:val="18"/>
                <w:bdr w:val="none" w:sz="0" w:space="0" w:color="auto" w:frame="1"/>
              </w:rPr>
              <w:t>4 (2–6)</w:t>
            </w:r>
          </w:p>
        </w:tc>
      </w:tr>
      <w:tr w:rsidR="00C830F0" w:rsidRPr="00506401" w14:paraId="53E3A79B" w14:textId="77777777" w:rsidTr="008411F5">
        <w:trPr>
          <w:jc w:val="center"/>
        </w:trPr>
        <w:tc>
          <w:tcPr>
            <w:tcW w:w="3145" w:type="dxa"/>
            <w:shd w:val="clear" w:color="auto" w:fill="E7E6E6" w:themeFill="background2"/>
            <w:hideMark/>
          </w:tcPr>
          <w:p w14:paraId="1CFF2E5C" w14:textId="77777777" w:rsidR="00C830F0" w:rsidRPr="00506401" w:rsidRDefault="00C830F0" w:rsidP="008411F5">
            <w:pPr>
              <w:spacing w:line="276" w:lineRule="auto"/>
              <w:jc w:val="center"/>
              <w:rPr>
                <w:color w:val="1F1F1F"/>
                <w:sz w:val="18"/>
                <w:szCs w:val="18"/>
              </w:rPr>
            </w:pPr>
            <w:r w:rsidRPr="00506401">
              <w:rPr>
                <w:b/>
                <w:bCs/>
                <w:color w:val="1F1F1F"/>
                <w:sz w:val="18"/>
                <w:szCs w:val="18"/>
                <w:bdr w:val="none" w:sz="0" w:space="0" w:color="auto" w:frame="1"/>
              </w:rPr>
              <w:t>Per-Capita (per 100k)</w:t>
            </w:r>
          </w:p>
        </w:tc>
        <w:tc>
          <w:tcPr>
            <w:tcW w:w="1890" w:type="dxa"/>
            <w:shd w:val="clear" w:color="auto" w:fill="E7E6E6" w:themeFill="background2"/>
            <w:vAlign w:val="center"/>
            <w:hideMark/>
          </w:tcPr>
          <w:p w14:paraId="04A233BA" w14:textId="77777777" w:rsidR="00C830F0" w:rsidRPr="00506401" w:rsidRDefault="00C830F0" w:rsidP="008411F5">
            <w:pPr>
              <w:spacing w:line="276" w:lineRule="auto"/>
              <w:jc w:val="center"/>
              <w:rPr>
                <w:color w:val="1F1F1F"/>
                <w:sz w:val="18"/>
                <w:szCs w:val="18"/>
              </w:rPr>
            </w:pPr>
          </w:p>
        </w:tc>
        <w:tc>
          <w:tcPr>
            <w:tcW w:w="1710" w:type="dxa"/>
            <w:shd w:val="clear" w:color="auto" w:fill="E7E6E6" w:themeFill="background2"/>
          </w:tcPr>
          <w:p w14:paraId="5DA711CD" w14:textId="77777777" w:rsidR="00C830F0" w:rsidRPr="00506401" w:rsidRDefault="00C830F0" w:rsidP="008411F5">
            <w:pPr>
              <w:spacing w:line="276" w:lineRule="auto"/>
              <w:jc w:val="center"/>
              <w:rPr>
                <w:color w:val="1F1F1F"/>
                <w:sz w:val="18"/>
                <w:szCs w:val="18"/>
              </w:rPr>
            </w:pPr>
          </w:p>
        </w:tc>
        <w:tc>
          <w:tcPr>
            <w:tcW w:w="1980" w:type="dxa"/>
            <w:shd w:val="clear" w:color="auto" w:fill="E7E6E6" w:themeFill="background2"/>
            <w:vAlign w:val="center"/>
            <w:hideMark/>
          </w:tcPr>
          <w:p w14:paraId="6D62DE41" w14:textId="77777777" w:rsidR="00C830F0" w:rsidRPr="00506401" w:rsidRDefault="00C830F0" w:rsidP="008411F5">
            <w:pPr>
              <w:spacing w:line="276" w:lineRule="auto"/>
              <w:jc w:val="center"/>
              <w:rPr>
                <w:color w:val="1F1F1F"/>
                <w:sz w:val="18"/>
                <w:szCs w:val="18"/>
              </w:rPr>
            </w:pPr>
          </w:p>
        </w:tc>
        <w:tc>
          <w:tcPr>
            <w:tcW w:w="1800" w:type="dxa"/>
            <w:shd w:val="clear" w:color="auto" w:fill="E7E6E6" w:themeFill="background2"/>
          </w:tcPr>
          <w:p w14:paraId="04F55C54" w14:textId="77777777" w:rsidR="00C830F0" w:rsidRPr="00506401" w:rsidRDefault="00C830F0" w:rsidP="008411F5">
            <w:pPr>
              <w:spacing w:line="276" w:lineRule="auto"/>
              <w:jc w:val="center"/>
              <w:rPr>
                <w:color w:val="1F1F1F"/>
                <w:sz w:val="18"/>
                <w:szCs w:val="18"/>
              </w:rPr>
            </w:pPr>
          </w:p>
        </w:tc>
      </w:tr>
      <w:tr w:rsidR="00C830F0" w:rsidRPr="00506401" w14:paraId="06541066" w14:textId="77777777" w:rsidTr="008411F5">
        <w:trPr>
          <w:jc w:val="center"/>
        </w:trPr>
        <w:tc>
          <w:tcPr>
            <w:tcW w:w="3145" w:type="dxa"/>
            <w:hideMark/>
          </w:tcPr>
          <w:p w14:paraId="5FA1BBC6"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Cases per 100,000</w:t>
            </w:r>
          </w:p>
        </w:tc>
        <w:tc>
          <w:tcPr>
            <w:tcW w:w="1890" w:type="dxa"/>
            <w:hideMark/>
          </w:tcPr>
          <w:p w14:paraId="5AAD8C4B"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68.0 (41.0–87.4)</w:t>
            </w:r>
          </w:p>
        </w:tc>
        <w:tc>
          <w:tcPr>
            <w:tcW w:w="1710" w:type="dxa"/>
          </w:tcPr>
          <w:p w14:paraId="4EEC12A1" w14:textId="77777777" w:rsidR="00C830F0" w:rsidRPr="00506401" w:rsidRDefault="00C830F0" w:rsidP="008411F5">
            <w:pPr>
              <w:spacing w:line="276" w:lineRule="auto"/>
              <w:jc w:val="center"/>
              <w:rPr>
                <w:color w:val="1F1F1F"/>
                <w:sz w:val="18"/>
                <w:szCs w:val="18"/>
                <w:bdr w:val="none" w:sz="0" w:space="0" w:color="auto" w:frame="1"/>
              </w:rPr>
            </w:pPr>
            <w:r w:rsidRPr="00456CED">
              <w:rPr>
                <w:color w:val="1F1F1F"/>
                <w:sz w:val="18"/>
                <w:szCs w:val="18"/>
                <w:bdr w:val="none" w:sz="0" w:space="0" w:color="auto" w:frame="1"/>
              </w:rPr>
              <w:t>56.78 (32.</w:t>
            </w:r>
            <w:r>
              <w:rPr>
                <w:color w:val="1F1F1F"/>
                <w:sz w:val="18"/>
                <w:szCs w:val="18"/>
                <w:bdr w:val="none" w:sz="0" w:space="0" w:color="auto" w:frame="1"/>
              </w:rPr>
              <w:t>6</w:t>
            </w:r>
            <w:r w:rsidRPr="00456CED">
              <w:rPr>
                <w:color w:val="1F1F1F"/>
                <w:sz w:val="18"/>
                <w:szCs w:val="18"/>
                <w:bdr w:val="none" w:sz="0" w:space="0" w:color="auto" w:frame="1"/>
              </w:rPr>
              <w:t>–74.6)</w:t>
            </w:r>
          </w:p>
        </w:tc>
        <w:tc>
          <w:tcPr>
            <w:tcW w:w="1980" w:type="dxa"/>
            <w:hideMark/>
          </w:tcPr>
          <w:p w14:paraId="51938E38"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81.1</w:t>
            </w:r>
            <w:r w:rsidRPr="00506401">
              <w:rPr>
                <w:sz w:val="18"/>
                <w:szCs w:val="18"/>
              </w:rPr>
              <w:t xml:space="preserve"> </w:t>
            </w:r>
            <w:r w:rsidRPr="00506401">
              <w:rPr>
                <w:color w:val="1F1F1F"/>
                <w:sz w:val="18"/>
                <w:szCs w:val="18"/>
                <w:bdr w:val="none" w:sz="0" w:space="0" w:color="auto" w:frame="1"/>
              </w:rPr>
              <w:t>(53.1–100.1)</w:t>
            </w:r>
          </w:p>
        </w:tc>
        <w:tc>
          <w:tcPr>
            <w:tcW w:w="1800" w:type="dxa"/>
          </w:tcPr>
          <w:p w14:paraId="24C3CB1E" w14:textId="77777777" w:rsidR="00C830F0" w:rsidRPr="00506401" w:rsidRDefault="00C830F0" w:rsidP="008411F5">
            <w:pPr>
              <w:spacing w:line="276" w:lineRule="auto"/>
              <w:jc w:val="center"/>
              <w:rPr>
                <w:color w:val="1F1F1F"/>
                <w:sz w:val="18"/>
                <w:szCs w:val="18"/>
                <w:bdr w:val="none" w:sz="0" w:space="0" w:color="auto" w:frame="1"/>
              </w:rPr>
            </w:pPr>
            <w:r w:rsidRPr="00456CED">
              <w:rPr>
                <w:color w:val="1F1F1F"/>
                <w:sz w:val="18"/>
                <w:szCs w:val="18"/>
                <w:bdr w:val="none" w:sz="0" w:space="0" w:color="auto" w:frame="1"/>
              </w:rPr>
              <w:t>55.6 (35.2–69.7)</w:t>
            </w:r>
          </w:p>
        </w:tc>
      </w:tr>
      <w:tr w:rsidR="00C830F0" w:rsidRPr="00506401" w14:paraId="70925A90" w14:textId="77777777" w:rsidTr="008411F5">
        <w:trPr>
          <w:jc w:val="center"/>
        </w:trPr>
        <w:tc>
          <w:tcPr>
            <w:tcW w:w="3145" w:type="dxa"/>
            <w:hideMark/>
          </w:tcPr>
          <w:p w14:paraId="6205CC01"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DALYs per 100,000</w:t>
            </w:r>
          </w:p>
        </w:tc>
        <w:tc>
          <w:tcPr>
            <w:tcW w:w="1890" w:type="dxa"/>
            <w:hideMark/>
          </w:tcPr>
          <w:p w14:paraId="13702FFD"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0.96 (0.50–1.48)</w:t>
            </w:r>
          </w:p>
        </w:tc>
        <w:tc>
          <w:tcPr>
            <w:tcW w:w="1710" w:type="dxa"/>
          </w:tcPr>
          <w:p w14:paraId="51EDA66B" w14:textId="77777777" w:rsidR="00C830F0" w:rsidRPr="00506401" w:rsidRDefault="00C830F0" w:rsidP="008411F5">
            <w:pPr>
              <w:spacing w:line="276" w:lineRule="auto"/>
              <w:jc w:val="center"/>
              <w:rPr>
                <w:color w:val="1F1F1F"/>
                <w:sz w:val="18"/>
                <w:szCs w:val="18"/>
                <w:bdr w:val="none" w:sz="0" w:space="0" w:color="auto" w:frame="1"/>
              </w:rPr>
            </w:pPr>
            <w:r w:rsidRPr="00456CED">
              <w:rPr>
                <w:color w:val="1F1F1F"/>
                <w:sz w:val="18"/>
                <w:szCs w:val="18"/>
                <w:bdr w:val="none" w:sz="0" w:space="0" w:color="auto" w:frame="1"/>
              </w:rPr>
              <w:t>1.51 (0.68–2.58)</w:t>
            </w:r>
          </w:p>
        </w:tc>
        <w:tc>
          <w:tcPr>
            <w:tcW w:w="1980" w:type="dxa"/>
            <w:hideMark/>
          </w:tcPr>
          <w:p w14:paraId="251648D7"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1.32 (0.75–1.92)</w:t>
            </w:r>
          </w:p>
        </w:tc>
        <w:tc>
          <w:tcPr>
            <w:tcW w:w="1800" w:type="dxa"/>
          </w:tcPr>
          <w:p w14:paraId="62F51E25" w14:textId="77777777" w:rsidR="00C830F0" w:rsidRPr="00506401" w:rsidRDefault="00C830F0" w:rsidP="008411F5">
            <w:pPr>
              <w:spacing w:line="276" w:lineRule="auto"/>
              <w:jc w:val="center"/>
              <w:rPr>
                <w:color w:val="1F1F1F"/>
                <w:sz w:val="18"/>
                <w:szCs w:val="18"/>
                <w:bdr w:val="none" w:sz="0" w:space="0" w:color="auto" w:frame="1"/>
              </w:rPr>
            </w:pPr>
            <w:r w:rsidRPr="00456CED">
              <w:rPr>
                <w:color w:val="1F1F1F"/>
                <w:sz w:val="18"/>
                <w:szCs w:val="18"/>
                <w:bdr w:val="none" w:sz="0" w:space="0" w:color="auto" w:frame="1"/>
              </w:rPr>
              <w:t>1.74 (0.85–2.82)</w:t>
            </w:r>
          </w:p>
        </w:tc>
      </w:tr>
      <w:tr w:rsidR="00C830F0" w:rsidRPr="00506401" w14:paraId="183801CA" w14:textId="77777777" w:rsidTr="008411F5">
        <w:trPr>
          <w:jc w:val="center"/>
        </w:trPr>
        <w:tc>
          <w:tcPr>
            <w:tcW w:w="3145" w:type="dxa"/>
          </w:tcPr>
          <w:p w14:paraId="39A94072"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Deaths per 100,000</w:t>
            </w:r>
          </w:p>
        </w:tc>
        <w:tc>
          <w:tcPr>
            <w:tcW w:w="1890" w:type="dxa"/>
            <w:vAlign w:val="center"/>
          </w:tcPr>
          <w:p w14:paraId="2D1A321A" w14:textId="77777777" w:rsidR="00C830F0" w:rsidRPr="00506401" w:rsidRDefault="00C830F0" w:rsidP="008411F5">
            <w:pPr>
              <w:spacing w:line="276" w:lineRule="auto"/>
              <w:jc w:val="center"/>
              <w:rPr>
                <w:color w:val="1F1F1F"/>
                <w:sz w:val="18"/>
                <w:szCs w:val="18"/>
                <w:bdr w:val="none" w:sz="0" w:space="0" w:color="auto" w:frame="1"/>
              </w:rPr>
            </w:pPr>
            <w:r w:rsidRPr="00506401">
              <w:rPr>
                <w:color w:val="1F1F1F"/>
                <w:sz w:val="18"/>
                <w:szCs w:val="18"/>
                <w:bdr w:val="none" w:sz="0" w:space="0" w:color="auto" w:frame="1"/>
              </w:rPr>
              <w:t>0.03 (0.02–0.05)</w:t>
            </w:r>
          </w:p>
        </w:tc>
        <w:tc>
          <w:tcPr>
            <w:tcW w:w="1710" w:type="dxa"/>
          </w:tcPr>
          <w:p w14:paraId="6100DD5E" w14:textId="77777777" w:rsidR="00C830F0" w:rsidRPr="00506401" w:rsidRDefault="00C830F0" w:rsidP="008411F5">
            <w:pPr>
              <w:spacing w:line="276" w:lineRule="auto"/>
              <w:jc w:val="center"/>
              <w:rPr>
                <w:color w:val="1F1F1F"/>
                <w:sz w:val="18"/>
                <w:szCs w:val="18"/>
                <w:bdr w:val="none" w:sz="0" w:space="0" w:color="auto" w:frame="1"/>
              </w:rPr>
            </w:pPr>
            <w:r w:rsidRPr="00456CED">
              <w:rPr>
                <w:color w:val="1F1F1F"/>
                <w:sz w:val="18"/>
                <w:szCs w:val="18"/>
                <w:bdr w:val="none" w:sz="0" w:space="0" w:color="auto" w:frame="1"/>
              </w:rPr>
              <w:t>0.03 (0.01–0.05)</w:t>
            </w:r>
          </w:p>
        </w:tc>
        <w:tc>
          <w:tcPr>
            <w:tcW w:w="1980" w:type="dxa"/>
            <w:vAlign w:val="center"/>
          </w:tcPr>
          <w:p w14:paraId="79395BC0" w14:textId="77777777" w:rsidR="00C830F0" w:rsidRPr="00506401" w:rsidRDefault="00C830F0" w:rsidP="008411F5">
            <w:pPr>
              <w:spacing w:line="276" w:lineRule="auto"/>
              <w:jc w:val="center"/>
              <w:rPr>
                <w:color w:val="1F1F1F"/>
                <w:sz w:val="18"/>
                <w:szCs w:val="18"/>
                <w:bdr w:val="none" w:sz="0" w:space="0" w:color="auto" w:frame="1"/>
              </w:rPr>
            </w:pPr>
            <w:r w:rsidRPr="00506401">
              <w:rPr>
                <w:color w:val="1F1F1F"/>
                <w:sz w:val="18"/>
                <w:szCs w:val="18"/>
                <w:bdr w:val="none" w:sz="0" w:space="0" w:color="auto" w:frame="1"/>
              </w:rPr>
              <w:t>0.05</w:t>
            </w:r>
            <w:r w:rsidRPr="00506401">
              <w:rPr>
                <w:sz w:val="18"/>
                <w:szCs w:val="18"/>
              </w:rPr>
              <w:t xml:space="preserve"> </w:t>
            </w:r>
            <w:r w:rsidRPr="00506401">
              <w:rPr>
                <w:color w:val="1F1F1F"/>
                <w:sz w:val="18"/>
                <w:szCs w:val="18"/>
                <w:bdr w:val="none" w:sz="0" w:space="0" w:color="auto" w:frame="1"/>
              </w:rPr>
              <w:t>(0.03–0.07)</w:t>
            </w:r>
          </w:p>
        </w:tc>
        <w:tc>
          <w:tcPr>
            <w:tcW w:w="1800" w:type="dxa"/>
          </w:tcPr>
          <w:p w14:paraId="2881D794" w14:textId="77777777" w:rsidR="00C830F0" w:rsidRPr="00506401" w:rsidRDefault="00C830F0" w:rsidP="008411F5">
            <w:pPr>
              <w:spacing w:line="276" w:lineRule="auto"/>
              <w:jc w:val="center"/>
              <w:rPr>
                <w:color w:val="1F1F1F"/>
                <w:sz w:val="18"/>
                <w:szCs w:val="18"/>
                <w:bdr w:val="none" w:sz="0" w:space="0" w:color="auto" w:frame="1"/>
              </w:rPr>
            </w:pPr>
            <w:r w:rsidRPr="00456CED">
              <w:rPr>
                <w:color w:val="1F1F1F"/>
                <w:sz w:val="18"/>
                <w:szCs w:val="18"/>
                <w:bdr w:val="none" w:sz="0" w:space="0" w:color="auto" w:frame="1"/>
              </w:rPr>
              <w:t>0.0</w:t>
            </w:r>
            <w:r>
              <w:rPr>
                <w:color w:val="1F1F1F"/>
                <w:sz w:val="18"/>
                <w:szCs w:val="18"/>
                <w:bdr w:val="none" w:sz="0" w:space="0" w:color="auto" w:frame="1"/>
              </w:rPr>
              <w:t>4</w:t>
            </w:r>
            <w:r w:rsidRPr="00456CED">
              <w:rPr>
                <w:color w:val="1F1F1F"/>
                <w:sz w:val="18"/>
                <w:szCs w:val="18"/>
                <w:bdr w:val="none" w:sz="0" w:space="0" w:color="auto" w:frame="1"/>
              </w:rPr>
              <w:t xml:space="preserve"> (0.0</w:t>
            </w:r>
            <w:r>
              <w:rPr>
                <w:color w:val="1F1F1F"/>
                <w:sz w:val="18"/>
                <w:szCs w:val="18"/>
                <w:bdr w:val="none" w:sz="0" w:space="0" w:color="auto" w:frame="1"/>
              </w:rPr>
              <w:t>2</w:t>
            </w:r>
            <w:r w:rsidRPr="00456CED">
              <w:rPr>
                <w:color w:val="1F1F1F"/>
                <w:sz w:val="18"/>
                <w:szCs w:val="18"/>
                <w:bdr w:val="none" w:sz="0" w:space="0" w:color="auto" w:frame="1"/>
              </w:rPr>
              <w:t>–0.0</w:t>
            </w:r>
            <w:r>
              <w:rPr>
                <w:color w:val="1F1F1F"/>
                <w:sz w:val="18"/>
                <w:szCs w:val="18"/>
                <w:bdr w:val="none" w:sz="0" w:space="0" w:color="auto" w:frame="1"/>
              </w:rPr>
              <w:t>6</w:t>
            </w:r>
            <w:r w:rsidRPr="00456CED">
              <w:rPr>
                <w:color w:val="1F1F1F"/>
                <w:sz w:val="18"/>
                <w:szCs w:val="18"/>
                <w:bdr w:val="none" w:sz="0" w:space="0" w:color="auto" w:frame="1"/>
              </w:rPr>
              <w:t>)</w:t>
            </w:r>
          </w:p>
        </w:tc>
      </w:tr>
      <w:tr w:rsidR="00C830F0" w:rsidRPr="00506401" w14:paraId="0E7295BC" w14:textId="77777777" w:rsidTr="008411F5">
        <w:trPr>
          <w:jc w:val="center"/>
        </w:trPr>
        <w:tc>
          <w:tcPr>
            <w:tcW w:w="3145" w:type="dxa"/>
            <w:shd w:val="clear" w:color="auto" w:fill="E7E6E6" w:themeFill="background2"/>
            <w:hideMark/>
          </w:tcPr>
          <w:p w14:paraId="37A95EA0" w14:textId="77777777" w:rsidR="00C830F0" w:rsidRPr="00506401" w:rsidRDefault="00C830F0" w:rsidP="008411F5">
            <w:pPr>
              <w:spacing w:line="276" w:lineRule="auto"/>
              <w:jc w:val="center"/>
              <w:rPr>
                <w:color w:val="1F1F1F"/>
                <w:sz w:val="18"/>
                <w:szCs w:val="18"/>
              </w:rPr>
            </w:pPr>
            <w:r w:rsidRPr="00506401">
              <w:rPr>
                <w:b/>
                <w:bCs/>
                <w:color w:val="1F1F1F"/>
                <w:sz w:val="18"/>
                <w:szCs w:val="18"/>
                <w:bdr w:val="none" w:sz="0" w:space="0" w:color="auto" w:frame="1"/>
              </w:rPr>
              <w:t>Health System (USD M)</w:t>
            </w:r>
          </w:p>
        </w:tc>
        <w:tc>
          <w:tcPr>
            <w:tcW w:w="1890" w:type="dxa"/>
            <w:shd w:val="clear" w:color="auto" w:fill="E7E6E6" w:themeFill="background2"/>
            <w:vAlign w:val="center"/>
            <w:hideMark/>
          </w:tcPr>
          <w:p w14:paraId="779FFB76" w14:textId="77777777" w:rsidR="00C830F0" w:rsidRPr="00506401" w:rsidRDefault="00C830F0" w:rsidP="008411F5">
            <w:pPr>
              <w:spacing w:line="276" w:lineRule="auto"/>
              <w:jc w:val="center"/>
              <w:rPr>
                <w:color w:val="1F1F1F"/>
                <w:sz w:val="18"/>
                <w:szCs w:val="18"/>
              </w:rPr>
            </w:pPr>
          </w:p>
        </w:tc>
        <w:tc>
          <w:tcPr>
            <w:tcW w:w="1710" w:type="dxa"/>
            <w:shd w:val="clear" w:color="auto" w:fill="E7E6E6" w:themeFill="background2"/>
          </w:tcPr>
          <w:p w14:paraId="4F7EC7D1" w14:textId="77777777" w:rsidR="00C830F0" w:rsidRPr="00506401" w:rsidRDefault="00C830F0" w:rsidP="008411F5">
            <w:pPr>
              <w:spacing w:line="276" w:lineRule="auto"/>
              <w:jc w:val="center"/>
              <w:rPr>
                <w:color w:val="1F1F1F"/>
                <w:sz w:val="18"/>
                <w:szCs w:val="18"/>
                <w:bdr w:val="none" w:sz="0" w:space="0" w:color="auto" w:frame="1"/>
              </w:rPr>
            </w:pPr>
          </w:p>
        </w:tc>
        <w:tc>
          <w:tcPr>
            <w:tcW w:w="1980" w:type="dxa"/>
            <w:shd w:val="clear" w:color="auto" w:fill="E7E6E6" w:themeFill="background2"/>
            <w:vAlign w:val="center"/>
            <w:hideMark/>
          </w:tcPr>
          <w:p w14:paraId="4DC4709F" w14:textId="77777777" w:rsidR="00C830F0" w:rsidRPr="00506401" w:rsidRDefault="00C830F0" w:rsidP="008411F5">
            <w:pPr>
              <w:spacing w:line="276" w:lineRule="auto"/>
              <w:jc w:val="center"/>
              <w:rPr>
                <w:color w:val="1F1F1F"/>
                <w:sz w:val="18"/>
                <w:szCs w:val="18"/>
              </w:rPr>
            </w:pPr>
          </w:p>
        </w:tc>
        <w:tc>
          <w:tcPr>
            <w:tcW w:w="1800" w:type="dxa"/>
            <w:shd w:val="clear" w:color="auto" w:fill="E7E6E6" w:themeFill="background2"/>
          </w:tcPr>
          <w:p w14:paraId="0421597C" w14:textId="77777777" w:rsidR="00C830F0" w:rsidRPr="00506401" w:rsidRDefault="00C830F0" w:rsidP="008411F5">
            <w:pPr>
              <w:spacing w:line="276" w:lineRule="auto"/>
              <w:jc w:val="center"/>
              <w:rPr>
                <w:color w:val="1F1F1F"/>
                <w:sz w:val="18"/>
                <w:szCs w:val="18"/>
                <w:bdr w:val="none" w:sz="0" w:space="0" w:color="auto" w:frame="1"/>
              </w:rPr>
            </w:pPr>
          </w:p>
        </w:tc>
      </w:tr>
      <w:tr w:rsidR="00C830F0" w:rsidRPr="00506401" w14:paraId="53341A23" w14:textId="77777777" w:rsidTr="008411F5">
        <w:trPr>
          <w:jc w:val="center"/>
        </w:trPr>
        <w:tc>
          <w:tcPr>
            <w:tcW w:w="3145" w:type="dxa"/>
          </w:tcPr>
          <w:p w14:paraId="5CE6FCCD" w14:textId="77777777" w:rsidR="00C830F0" w:rsidRPr="00506401" w:rsidRDefault="00C830F0" w:rsidP="008411F5">
            <w:pPr>
              <w:spacing w:line="276" w:lineRule="auto"/>
              <w:rPr>
                <w:b/>
                <w:bCs/>
                <w:color w:val="1F1F1F"/>
                <w:sz w:val="18"/>
                <w:szCs w:val="18"/>
                <w:bdr w:val="none" w:sz="0" w:space="0" w:color="auto" w:frame="1"/>
              </w:rPr>
            </w:pPr>
            <w:r w:rsidRPr="00506401">
              <w:rPr>
                <w:color w:val="1F1F1F"/>
                <w:sz w:val="18"/>
                <w:szCs w:val="18"/>
                <w:bdr w:val="none" w:sz="0" w:space="0" w:color="auto" w:frame="1"/>
              </w:rPr>
              <w:t>Provider Treatment Cost</w:t>
            </w:r>
          </w:p>
        </w:tc>
        <w:tc>
          <w:tcPr>
            <w:tcW w:w="1890" w:type="dxa"/>
          </w:tcPr>
          <w:p w14:paraId="247D2475" w14:textId="77777777" w:rsidR="00C830F0" w:rsidRPr="00506401" w:rsidRDefault="00C830F0" w:rsidP="008411F5">
            <w:pPr>
              <w:spacing w:line="276" w:lineRule="auto"/>
              <w:jc w:val="center"/>
              <w:rPr>
                <w:color w:val="1F1F1F"/>
                <w:sz w:val="18"/>
                <w:szCs w:val="18"/>
                <w:bdr w:val="none" w:sz="0" w:space="0" w:color="auto" w:frame="1"/>
              </w:rPr>
            </w:pPr>
            <w:r w:rsidRPr="00506401">
              <w:rPr>
                <w:color w:val="1F1F1F"/>
                <w:sz w:val="18"/>
                <w:szCs w:val="18"/>
                <w:bdr w:val="none" w:sz="0" w:space="0" w:color="auto" w:frame="1"/>
              </w:rPr>
              <w:t>2.23 (1.31–3.13)</w:t>
            </w:r>
          </w:p>
        </w:tc>
        <w:tc>
          <w:tcPr>
            <w:tcW w:w="1710" w:type="dxa"/>
          </w:tcPr>
          <w:p w14:paraId="6FEC6A21" w14:textId="77777777" w:rsidR="00C830F0" w:rsidRPr="00506401" w:rsidRDefault="00C830F0" w:rsidP="008411F5">
            <w:pPr>
              <w:spacing w:line="276" w:lineRule="auto"/>
              <w:jc w:val="center"/>
              <w:rPr>
                <w:color w:val="1F1F1F"/>
                <w:sz w:val="18"/>
                <w:szCs w:val="18"/>
                <w:bdr w:val="none" w:sz="0" w:space="0" w:color="auto" w:frame="1"/>
              </w:rPr>
            </w:pPr>
            <w:r w:rsidRPr="00456CED">
              <w:rPr>
                <w:color w:val="1F1F1F"/>
                <w:sz w:val="18"/>
                <w:szCs w:val="18"/>
                <w:bdr w:val="none" w:sz="0" w:space="0" w:color="auto" w:frame="1"/>
              </w:rPr>
              <w:t>0.89 (0.49–1.27)</w:t>
            </w:r>
          </w:p>
        </w:tc>
        <w:tc>
          <w:tcPr>
            <w:tcW w:w="1980" w:type="dxa"/>
          </w:tcPr>
          <w:p w14:paraId="5BB054B8" w14:textId="77777777" w:rsidR="00C830F0" w:rsidRPr="00506401" w:rsidRDefault="00C830F0" w:rsidP="008411F5">
            <w:pPr>
              <w:spacing w:line="276" w:lineRule="auto"/>
              <w:jc w:val="center"/>
              <w:rPr>
                <w:color w:val="1F1F1F"/>
                <w:sz w:val="18"/>
                <w:szCs w:val="18"/>
                <w:bdr w:val="none" w:sz="0" w:space="0" w:color="auto" w:frame="1"/>
              </w:rPr>
            </w:pPr>
            <w:r w:rsidRPr="00506401">
              <w:rPr>
                <w:color w:val="1F1F1F"/>
                <w:sz w:val="18"/>
                <w:szCs w:val="18"/>
                <w:bdr w:val="none" w:sz="0" w:space="0" w:color="auto" w:frame="1"/>
              </w:rPr>
              <w:t>2.67 (1.67–3.67)</w:t>
            </w:r>
          </w:p>
        </w:tc>
        <w:tc>
          <w:tcPr>
            <w:tcW w:w="1800" w:type="dxa"/>
          </w:tcPr>
          <w:p w14:paraId="16AF03DE" w14:textId="77777777" w:rsidR="00C830F0" w:rsidRPr="00506401" w:rsidRDefault="00C830F0" w:rsidP="008411F5">
            <w:pPr>
              <w:spacing w:line="276" w:lineRule="auto"/>
              <w:jc w:val="center"/>
              <w:rPr>
                <w:color w:val="1F1F1F"/>
                <w:sz w:val="18"/>
                <w:szCs w:val="18"/>
                <w:bdr w:val="none" w:sz="0" w:space="0" w:color="auto" w:frame="1"/>
              </w:rPr>
            </w:pPr>
            <w:r w:rsidRPr="00456CED">
              <w:rPr>
                <w:color w:val="1F1F1F"/>
                <w:sz w:val="18"/>
                <w:szCs w:val="18"/>
                <w:bdr w:val="none" w:sz="0" w:space="0" w:color="auto" w:frame="1"/>
              </w:rPr>
              <w:t>0.87 (0.53–1.19)</w:t>
            </w:r>
          </w:p>
        </w:tc>
      </w:tr>
      <w:tr w:rsidR="00C830F0" w:rsidRPr="00506401" w14:paraId="20BCD914" w14:textId="77777777" w:rsidTr="008411F5">
        <w:trPr>
          <w:jc w:val="center"/>
        </w:trPr>
        <w:tc>
          <w:tcPr>
            <w:tcW w:w="3145" w:type="dxa"/>
            <w:hideMark/>
          </w:tcPr>
          <w:p w14:paraId="10DB9D4A"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 xml:space="preserve">Prevention </w:t>
            </w:r>
            <w:proofErr w:type="spellStart"/>
            <w:r w:rsidRPr="00506401">
              <w:rPr>
                <w:color w:val="1F1F1F"/>
                <w:sz w:val="18"/>
                <w:szCs w:val="18"/>
                <w:bdr w:val="none" w:sz="0" w:space="0" w:color="auto" w:frame="1"/>
              </w:rPr>
              <w:t>Programme</w:t>
            </w:r>
            <w:proofErr w:type="spellEnd"/>
            <w:r w:rsidRPr="00506401">
              <w:rPr>
                <w:color w:val="1F1F1F"/>
                <w:sz w:val="18"/>
                <w:szCs w:val="18"/>
                <w:bdr w:val="none" w:sz="0" w:space="0" w:color="auto" w:frame="1"/>
              </w:rPr>
              <w:t xml:space="preserve"> Cost</w:t>
            </w:r>
          </w:p>
        </w:tc>
        <w:tc>
          <w:tcPr>
            <w:tcW w:w="1890" w:type="dxa"/>
            <w:hideMark/>
          </w:tcPr>
          <w:p w14:paraId="542DDAED"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0.46 (0.28–0.59)</w:t>
            </w:r>
          </w:p>
        </w:tc>
        <w:tc>
          <w:tcPr>
            <w:tcW w:w="1710" w:type="dxa"/>
          </w:tcPr>
          <w:p w14:paraId="7E349507" w14:textId="77777777" w:rsidR="00C830F0" w:rsidRPr="00506401" w:rsidRDefault="00C830F0" w:rsidP="008411F5">
            <w:pPr>
              <w:spacing w:line="276" w:lineRule="auto"/>
              <w:jc w:val="center"/>
              <w:rPr>
                <w:color w:val="1F1F1F"/>
                <w:sz w:val="18"/>
                <w:szCs w:val="18"/>
                <w:bdr w:val="none" w:sz="0" w:space="0" w:color="auto" w:frame="1"/>
              </w:rPr>
            </w:pPr>
            <w:r w:rsidRPr="00456CED">
              <w:rPr>
                <w:color w:val="1F1F1F"/>
                <w:sz w:val="18"/>
                <w:szCs w:val="18"/>
                <w:bdr w:val="none" w:sz="0" w:space="0" w:color="auto" w:frame="1"/>
              </w:rPr>
              <w:t>0.12 (0.06–0.19)</w:t>
            </w:r>
          </w:p>
        </w:tc>
        <w:tc>
          <w:tcPr>
            <w:tcW w:w="1980" w:type="dxa"/>
            <w:hideMark/>
          </w:tcPr>
          <w:p w14:paraId="42463311"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0.58 (0.38–0.72)</w:t>
            </w:r>
          </w:p>
        </w:tc>
        <w:tc>
          <w:tcPr>
            <w:tcW w:w="1800" w:type="dxa"/>
          </w:tcPr>
          <w:p w14:paraId="1A21E0E1" w14:textId="77777777" w:rsidR="00C830F0" w:rsidRPr="00506401" w:rsidRDefault="00C830F0" w:rsidP="008411F5">
            <w:pPr>
              <w:spacing w:line="276" w:lineRule="auto"/>
              <w:jc w:val="center"/>
              <w:rPr>
                <w:color w:val="1F1F1F"/>
                <w:sz w:val="18"/>
                <w:szCs w:val="18"/>
                <w:bdr w:val="none" w:sz="0" w:space="0" w:color="auto" w:frame="1"/>
              </w:rPr>
            </w:pPr>
            <w:r w:rsidRPr="00456CED">
              <w:rPr>
                <w:color w:val="1F1F1F"/>
                <w:sz w:val="18"/>
                <w:szCs w:val="18"/>
                <w:bdr w:val="none" w:sz="0" w:space="0" w:color="auto" w:frame="1"/>
              </w:rPr>
              <w:t>0.12 (0.07–0.19)</w:t>
            </w:r>
          </w:p>
        </w:tc>
      </w:tr>
      <w:tr w:rsidR="00C830F0" w:rsidRPr="00506401" w14:paraId="1CF16D32" w14:textId="77777777" w:rsidTr="008411F5">
        <w:trPr>
          <w:jc w:val="center"/>
        </w:trPr>
        <w:tc>
          <w:tcPr>
            <w:tcW w:w="3145" w:type="dxa"/>
            <w:hideMark/>
          </w:tcPr>
          <w:p w14:paraId="07E096BB" w14:textId="77777777" w:rsidR="00C830F0" w:rsidRPr="00506401" w:rsidRDefault="00C830F0" w:rsidP="008411F5">
            <w:pPr>
              <w:spacing w:line="276" w:lineRule="auto"/>
              <w:rPr>
                <w:color w:val="1F1F1F"/>
                <w:sz w:val="18"/>
                <w:szCs w:val="18"/>
              </w:rPr>
            </w:pPr>
            <w:r w:rsidRPr="00506401">
              <w:rPr>
                <w:b/>
                <w:bCs/>
                <w:color w:val="1F1F1F"/>
                <w:sz w:val="18"/>
                <w:szCs w:val="18"/>
                <w:bdr w:val="none" w:sz="0" w:space="0" w:color="auto" w:frame="1"/>
              </w:rPr>
              <w:t>Total Health System Cost</w:t>
            </w:r>
          </w:p>
        </w:tc>
        <w:tc>
          <w:tcPr>
            <w:tcW w:w="1890" w:type="dxa"/>
            <w:hideMark/>
          </w:tcPr>
          <w:p w14:paraId="4E033BD4" w14:textId="77777777" w:rsidR="00C830F0" w:rsidRPr="00506401" w:rsidRDefault="00C830F0" w:rsidP="008411F5">
            <w:pPr>
              <w:spacing w:line="276" w:lineRule="auto"/>
              <w:jc w:val="center"/>
              <w:rPr>
                <w:color w:val="1F1F1F"/>
                <w:sz w:val="18"/>
                <w:szCs w:val="18"/>
              </w:rPr>
            </w:pPr>
            <w:r w:rsidRPr="00456CED">
              <w:rPr>
                <w:b/>
                <w:bCs/>
                <w:color w:val="1F1F1F"/>
                <w:sz w:val="18"/>
                <w:szCs w:val="18"/>
                <w:bdr w:val="none" w:sz="0" w:space="0" w:color="auto" w:frame="1"/>
              </w:rPr>
              <w:t>2.69 (1.58–3.71)</w:t>
            </w:r>
            <w:r w:rsidRPr="00506401">
              <w:rPr>
                <w:b/>
                <w:bCs/>
                <w:color w:val="1F1F1F"/>
                <w:sz w:val="18"/>
                <w:szCs w:val="18"/>
                <w:bdr w:val="none" w:sz="0" w:space="0" w:color="auto" w:frame="1"/>
              </w:rPr>
              <w:t>)</w:t>
            </w:r>
          </w:p>
        </w:tc>
        <w:tc>
          <w:tcPr>
            <w:tcW w:w="1710" w:type="dxa"/>
          </w:tcPr>
          <w:p w14:paraId="6D1B212F" w14:textId="77777777" w:rsidR="00C830F0" w:rsidRPr="00506401" w:rsidRDefault="00C830F0" w:rsidP="008411F5">
            <w:pPr>
              <w:spacing w:line="276" w:lineRule="auto"/>
              <w:jc w:val="center"/>
              <w:rPr>
                <w:b/>
                <w:bCs/>
                <w:color w:val="1F1F1F"/>
                <w:sz w:val="18"/>
                <w:szCs w:val="18"/>
                <w:bdr w:val="none" w:sz="0" w:space="0" w:color="auto" w:frame="1"/>
              </w:rPr>
            </w:pPr>
            <w:r w:rsidRPr="00456CED">
              <w:rPr>
                <w:b/>
                <w:bCs/>
                <w:color w:val="1F1F1F"/>
                <w:sz w:val="18"/>
                <w:szCs w:val="18"/>
                <w:bdr w:val="none" w:sz="0" w:space="0" w:color="auto" w:frame="1"/>
              </w:rPr>
              <w:t>1.00 (0.55–1.46)</w:t>
            </w:r>
          </w:p>
        </w:tc>
        <w:tc>
          <w:tcPr>
            <w:tcW w:w="1980" w:type="dxa"/>
            <w:hideMark/>
          </w:tcPr>
          <w:p w14:paraId="44D4FADD" w14:textId="77777777" w:rsidR="00C830F0" w:rsidRPr="00506401" w:rsidRDefault="00C830F0" w:rsidP="008411F5">
            <w:pPr>
              <w:spacing w:line="276" w:lineRule="auto"/>
              <w:jc w:val="center"/>
              <w:rPr>
                <w:color w:val="1F1F1F"/>
                <w:sz w:val="18"/>
                <w:szCs w:val="18"/>
              </w:rPr>
            </w:pPr>
            <w:r w:rsidRPr="00456CED">
              <w:rPr>
                <w:b/>
                <w:bCs/>
                <w:color w:val="1F1F1F"/>
                <w:sz w:val="18"/>
                <w:szCs w:val="18"/>
                <w:bdr w:val="none" w:sz="0" w:space="0" w:color="auto" w:frame="1"/>
              </w:rPr>
              <w:t>3.25 (2.05–4.39)</w:t>
            </w:r>
          </w:p>
        </w:tc>
        <w:tc>
          <w:tcPr>
            <w:tcW w:w="1800" w:type="dxa"/>
          </w:tcPr>
          <w:p w14:paraId="39A8D49D" w14:textId="77777777" w:rsidR="00C830F0" w:rsidRPr="00506401" w:rsidRDefault="00C830F0" w:rsidP="008411F5">
            <w:pPr>
              <w:spacing w:line="276" w:lineRule="auto"/>
              <w:jc w:val="center"/>
              <w:rPr>
                <w:b/>
                <w:bCs/>
                <w:color w:val="1F1F1F"/>
                <w:sz w:val="18"/>
                <w:szCs w:val="18"/>
                <w:bdr w:val="none" w:sz="0" w:space="0" w:color="auto" w:frame="1"/>
              </w:rPr>
            </w:pPr>
            <w:r w:rsidRPr="00456CED">
              <w:rPr>
                <w:b/>
                <w:bCs/>
                <w:color w:val="1F1F1F"/>
                <w:sz w:val="18"/>
                <w:szCs w:val="18"/>
                <w:bdr w:val="none" w:sz="0" w:space="0" w:color="auto" w:frame="1"/>
              </w:rPr>
              <w:t>0.99 (0.60–1.38)</w:t>
            </w:r>
          </w:p>
        </w:tc>
      </w:tr>
      <w:tr w:rsidR="00C830F0" w:rsidRPr="00506401" w14:paraId="67BB3343" w14:textId="77777777" w:rsidTr="008411F5">
        <w:trPr>
          <w:jc w:val="center"/>
        </w:trPr>
        <w:tc>
          <w:tcPr>
            <w:tcW w:w="3145" w:type="dxa"/>
            <w:shd w:val="clear" w:color="auto" w:fill="E7E6E6" w:themeFill="background2"/>
            <w:hideMark/>
          </w:tcPr>
          <w:p w14:paraId="74F6C8B0" w14:textId="77777777" w:rsidR="00C830F0" w:rsidRPr="00506401" w:rsidRDefault="00C830F0" w:rsidP="008411F5">
            <w:pPr>
              <w:spacing w:line="276" w:lineRule="auto"/>
              <w:jc w:val="center"/>
              <w:rPr>
                <w:color w:val="1F1F1F"/>
                <w:sz w:val="18"/>
                <w:szCs w:val="18"/>
              </w:rPr>
            </w:pPr>
            <w:r w:rsidRPr="00506401">
              <w:rPr>
                <w:b/>
                <w:bCs/>
                <w:color w:val="1F1F1F"/>
                <w:sz w:val="18"/>
                <w:szCs w:val="18"/>
                <w:bdr w:val="none" w:sz="0" w:space="0" w:color="auto" w:frame="1"/>
              </w:rPr>
              <w:t>Societal Cost (USD M)</w:t>
            </w:r>
          </w:p>
        </w:tc>
        <w:tc>
          <w:tcPr>
            <w:tcW w:w="1890" w:type="dxa"/>
            <w:shd w:val="clear" w:color="auto" w:fill="E7E6E6" w:themeFill="background2"/>
            <w:vAlign w:val="center"/>
            <w:hideMark/>
          </w:tcPr>
          <w:p w14:paraId="3A7E0A9D" w14:textId="77777777" w:rsidR="00C830F0" w:rsidRPr="00506401" w:rsidRDefault="00C830F0" w:rsidP="008411F5">
            <w:pPr>
              <w:spacing w:line="276" w:lineRule="auto"/>
              <w:jc w:val="center"/>
              <w:rPr>
                <w:color w:val="1F1F1F"/>
                <w:sz w:val="18"/>
                <w:szCs w:val="18"/>
              </w:rPr>
            </w:pPr>
          </w:p>
        </w:tc>
        <w:tc>
          <w:tcPr>
            <w:tcW w:w="1710" w:type="dxa"/>
            <w:shd w:val="clear" w:color="auto" w:fill="E7E6E6" w:themeFill="background2"/>
          </w:tcPr>
          <w:p w14:paraId="1069FA7C" w14:textId="77777777" w:rsidR="00C830F0" w:rsidRPr="00506401" w:rsidRDefault="00C830F0" w:rsidP="008411F5">
            <w:pPr>
              <w:spacing w:line="276" w:lineRule="auto"/>
              <w:jc w:val="center"/>
              <w:rPr>
                <w:color w:val="1F1F1F"/>
                <w:sz w:val="18"/>
                <w:szCs w:val="18"/>
              </w:rPr>
            </w:pPr>
          </w:p>
        </w:tc>
        <w:tc>
          <w:tcPr>
            <w:tcW w:w="1980" w:type="dxa"/>
            <w:shd w:val="clear" w:color="auto" w:fill="E7E6E6" w:themeFill="background2"/>
            <w:vAlign w:val="center"/>
            <w:hideMark/>
          </w:tcPr>
          <w:p w14:paraId="4CBB2B88" w14:textId="77777777" w:rsidR="00C830F0" w:rsidRPr="00506401" w:rsidRDefault="00C830F0" w:rsidP="008411F5">
            <w:pPr>
              <w:spacing w:line="276" w:lineRule="auto"/>
              <w:jc w:val="center"/>
              <w:rPr>
                <w:color w:val="1F1F1F"/>
                <w:sz w:val="18"/>
                <w:szCs w:val="18"/>
              </w:rPr>
            </w:pPr>
          </w:p>
        </w:tc>
        <w:tc>
          <w:tcPr>
            <w:tcW w:w="1800" w:type="dxa"/>
            <w:shd w:val="clear" w:color="auto" w:fill="E7E6E6" w:themeFill="background2"/>
          </w:tcPr>
          <w:p w14:paraId="4381DAFF" w14:textId="77777777" w:rsidR="00C830F0" w:rsidRPr="00506401" w:rsidRDefault="00C830F0" w:rsidP="008411F5">
            <w:pPr>
              <w:spacing w:line="276" w:lineRule="auto"/>
              <w:jc w:val="center"/>
              <w:rPr>
                <w:color w:val="1F1F1F"/>
                <w:sz w:val="18"/>
                <w:szCs w:val="18"/>
              </w:rPr>
            </w:pPr>
          </w:p>
        </w:tc>
      </w:tr>
      <w:tr w:rsidR="00C830F0" w:rsidRPr="00506401" w14:paraId="1B0D46CF" w14:textId="77777777" w:rsidTr="008411F5">
        <w:trPr>
          <w:jc w:val="center"/>
        </w:trPr>
        <w:tc>
          <w:tcPr>
            <w:tcW w:w="3145" w:type="dxa"/>
            <w:hideMark/>
          </w:tcPr>
          <w:p w14:paraId="13AA8E40"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Household Out-of-Pocket</w:t>
            </w:r>
          </w:p>
        </w:tc>
        <w:tc>
          <w:tcPr>
            <w:tcW w:w="1890" w:type="dxa"/>
            <w:vAlign w:val="center"/>
            <w:hideMark/>
          </w:tcPr>
          <w:p w14:paraId="111FD8DD"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0.27 (0.05–0.91)</w:t>
            </w:r>
          </w:p>
        </w:tc>
        <w:tc>
          <w:tcPr>
            <w:tcW w:w="1710" w:type="dxa"/>
          </w:tcPr>
          <w:p w14:paraId="0DCF3ED3" w14:textId="77777777" w:rsidR="00C830F0" w:rsidRPr="00506401" w:rsidRDefault="00C830F0" w:rsidP="008411F5">
            <w:pPr>
              <w:spacing w:line="276" w:lineRule="auto"/>
              <w:jc w:val="center"/>
              <w:rPr>
                <w:color w:val="1F1F1F"/>
                <w:sz w:val="18"/>
                <w:szCs w:val="18"/>
                <w:bdr w:val="none" w:sz="0" w:space="0" w:color="auto" w:frame="1"/>
              </w:rPr>
            </w:pPr>
            <w:r w:rsidRPr="00891F64">
              <w:rPr>
                <w:sz w:val="18"/>
                <w:szCs w:val="18"/>
              </w:rPr>
              <w:t>0.11 (0.02–0.37)</w:t>
            </w:r>
          </w:p>
        </w:tc>
        <w:tc>
          <w:tcPr>
            <w:tcW w:w="1980" w:type="dxa"/>
            <w:vAlign w:val="center"/>
            <w:hideMark/>
          </w:tcPr>
          <w:p w14:paraId="62A9E264"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0.33 (0.05–1.10)</w:t>
            </w:r>
          </w:p>
        </w:tc>
        <w:tc>
          <w:tcPr>
            <w:tcW w:w="1800" w:type="dxa"/>
          </w:tcPr>
          <w:p w14:paraId="2A5F09F2" w14:textId="77777777" w:rsidR="00C830F0" w:rsidRPr="00506401" w:rsidRDefault="00C830F0" w:rsidP="008411F5">
            <w:pPr>
              <w:spacing w:line="276" w:lineRule="auto"/>
              <w:jc w:val="center"/>
              <w:rPr>
                <w:color w:val="1F1F1F"/>
                <w:sz w:val="18"/>
                <w:szCs w:val="18"/>
                <w:bdr w:val="none" w:sz="0" w:space="0" w:color="auto" w:frame="1"/>
              </w:rPr>
            </w:pPr>
            <w:r w:rsidRPr="00891F64">
              <w:rPr>
                <w:sz w:val="18"/>
                <w:szCs w:val="18"/>
              </w:rPr>
              <w:t>0.10 (0.02–0.32)</w:t>
            </w:r>
          </w:p>
        </w:tc>
      </w:tr>
      <w:tr w:rsidR="00C830F0" w:rsidRPr="00506401" w14:paraId="7567837A" w14:textId="77777777" w:rsidTr="008411F5">
        <w:trPr>
          <w:jc w:val="center"/>
        </w:trPr>
        <w:tc>
          <w:tcPr>
            <w:tcW w:w="3145" w:type="dxa"/>
            <w:hideMark/>
          </w:tcPr>
          <w:p w14:paraId="67622806"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Indirect Morbidity Productivity Loss</w:t>
            </w:r>
          </w:p>
        </w:tc>
        <w:tc>
          <w:tcPr>
            <w:tcW w:w="1890" w:type="dxa"/>
            <w:hideMark/>
          </w:tcPr>
          <w:p w14:paraId="3BA64A31"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1.01 (0.06–5.03)</w:t>
            </w:r>
          </w:p>
        </w:tc>
        <w:tc>
          <w:tcPr>
            <w:tcW w:w="1710" w:type="dxa"/>
          </w:tcPr>
          <w:p w14:paraId="757915BC" w14:textId="77777777" w:rsidR="00C830F0" w:rsidRPr="00506401" w:rsidRDefault="00C830F0" w:rsidP="008411F5">
            <w:pPr>
              <w:spacing w:line="276" w:lineRule="auto"/>
              <w:jc w:val="center"/>
              <w:rPr>
                <w:color w:val="1F1F1F"/>
                <w:sz w:val="18"/>
                <w:szCs w:val="18"/>
                <w:bdr w:val="none" w:sz="0" w:space="0" w:color="auto" w:frame="1"/>
              </w:rPr>
            </w:pPr>
            <w:r w:rsidRPr="00891F64">
              <w:rPr>
                <w:color w:val="1F1F1F"/>
                <w:sz w:val="18"/>
                <w:szCs w:val="18"/>
                <w:bdr w:val="none" w:sz="0" w:space="0" w:color="auto" w:frame="1"/>
              </w:rPr>
              <w:t>0.41 (0.02–2.08)</w:t>
            </w:r>
          </w:p>
        </w:tc>
        <w:tc>
          <w:tcPr>
            <w:tcW w:w="1980" w:type="dxa"/>
            <w:hideMark/>
          </w:tcPr>
          <w:p w14:paraId="4143C8A1"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1.24 (0.07–6.47)</w:t>
            </w:r>
          </w:p>
        </w:tc>
        <w:tc>
          <w:tcPr>
            <w:tcW w:w="1800" w:type="dxa"/>
          </w:tcPr>
          <w:p w14:paraId="6074A194" w14:textId="77777777" w:rsidR="00C830F0" w:rsidRPr="00506401" w:rsidRDefault="00C830F0" w:rsidP="008411F5">
            <w:pPr>
              <w:spacing w:line="276" w:lineRule="auto"/>
              <w:jc w:val="center"/>
              <w:rPr>
                <w:color w:val="1F1F1F"/>
                <w:sz w:val="18"/>
                <w:szCs w:val="18"/>
                <w:bdr w:val="none" w:sz="0" w:space="0" w:color="auto" w:frame="1"/>
              </w:rPr>
            </w:pPr>
            <w:r w:rsidRPr="00891F64">
              <w:rPr>
                <w:color w:val="1F1F1F"/>
                <w:sz w:val="18"/>
                <w:szCs w:val="18"/>
                <w:bdr w:val="none" w:sz="0" w:space="0" w:color="auto" w:frame="1"/>
              </w:rPr>
              <w:t>0.40 (0.02–2.02)</w:t>
            </w:r>
          </w:p>
        </w:tc>
      </w:tr>
      <w:tr w:rsidR="00C830F0" w:rsidRPr="00506401" w14:paraId="779D806E" w14:textId="77777777" w:rsidTr="008411F5">
        <w:trPr>
          <w:jc w:val="center"/>
        </w:trPr>
        <w:tc>
          <w:tcPr>
            <w:tcW w:w="3145" w:type="dxa"/>
            <w:hideMark/>
          </w:tcPr>
          <w:p w14:paraId="1F2BE1EC" w14:textId="77777777" w:rsidR="00C830F0" w:rsidRPr="00506401" w:rsidRDefault="00C830F0" w:rsidP="008411F5">
            <w:pPr>
              <w:spacing w:line="276" w:lineRule="auto"/>
              <w:rPr>
                <w:color w:val="1F1F1F"/>
                <w:sz w:val="18"/>
                <w:szCs w:val="18"/>
              </w:rPr>
            </w:pPr>
            <w:r w:rsidRPr="00506401">
              <w:rPr>
                <w:color w:val="1F1F1F"/>
                <w:sz w:val="18"/>
                <w:szCs w:val="18"/>
                <w:bdr w:val="none" w:sz="0" w:space="0" w:color="auto" w:frame="1"/>
              </w:rPr>
              <w:t>Premature Mortality Productivity Loss (HCA)</w:t>
            </w:r>
          </w:p>
        </w:tc>
        <w:tc>
          <w:tcPr>
            <w:tcW w:w="1890" w:type="dxa"/>
            <w:hideMark/>
          </w:tcPr>
          <w:p w14:paraId="7186E549"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0.49 (0.24–0.79)</w:t>
            </w:r>
          </w:p>
        </w:tc>
        <w:tc>
          <w:tcPr>
            <w:tcW w:w="1710" w:type="dxa"/>
          </w:tcPr>
          <w:p w14:paraId="5F171775" w14:textId="77777777" w:rsidR="00C830F0" w:rsidRPr="00506401" w:rsidRDefault="00C830F0" w:rsidP="008411F5">
            <w:pPr>
              <w:spacing w:line="276" w:lineRule="auto"/>
              <w:jc w:val="center"/>
              <w:rPr>
                <w:color w:val="1F1F1F"/>
                <w:sz w:val="18"/>
                <w:szCs w:val="18"/>
                <w:bdr w:val="none" w:sz="0" w:space="0" w:color="auto" w:frame="1"/>
              </w:rPr>
            </w:pPr>
            <w:r w:rsidRPr="00891F64">
              <w:rPr>
                <w:color w:val="1F1F1F"/>
                <w:sz w:val="18"/>
                <w:szCs w:val="18"/>
                <w:bdr w:val="none" w:sz="0" w:space="0" w:color="auto" w:frame="1"/>
              </w:rPr>
              <w:t>0.38 (0.16–0.67)</w:t>
            </w:r>
          </w:p>
        </w:tc>
        <w:tc>
          <w:tcPr>
            <w:tcW w:w="1980" w:type="dxa"/>
            <w:hideMark/>
          </w:tcPr>
          <w:p w14:paraId="13EBB999" w14:textId="77777777" w:rsidR="00C830F0" w:rsidRPr="00506401" w:rsidRDefault="00C830F0" w:rsidP="008411F5">
            <w:pPr>
              <w:spacing w:line="276" w:lineRule="auto"/>
              <w:jc w:val="center"/>
              <w:rPr>
                <w:color w:val="1F1F1F"/>
                <w:sz w:val="18"/>
                <w:szCs w:val="18"/>
              </w:rPr>
            </w:pPr>
            <w:r w:rsidRPr="00506401">
              <w:rPr>
                <w:color w:val="1F1F1F"/>
                <w:sz w:val="18"/>
                <w:szCs w:val="18"/>
                <w:bdr w:val="none" w:sz="0" w:space="0" w:color="auto" w:frame="1"/>
              </w:rPr>
              <w:t>0.60 (0.32–0.94)</w:t>
            </w:r>
          </w:p>
        </w:tc>
        <w:tc>
          <w:tcPr>
            <w:tcW w:w="1800" w:type="dxa"/>
          </w:tcPr>
          <w:p w14:paraId="553BF11B" w14:textId="77777777" w:rsidR="00C830F0" w:rsidRPr="00506401" w:rsidRDefault="00C830F0" w:rsidP="008411F5">
            <w:pPr>
              <w:spacing w:line="276" w:lineRule="auto"/>
              <w:jc w:val="center"/>
              <w:rPr>
                <w:color w:val="1F1F1F"/>
                <w:sz w:val="18"/>
                <w:szCs w:val="18"/>
                <w:bdr w:val="none" w:sz="0" w:space="0" w:color="auto" w:frame="1"/>
              </w:rPr>
            </w:pPr>
            <w:r w:rsidRPr="00891F64">
              <w:rPr>
                <w:color w:val="1F1F1F"/>
                <w:sz w:val="18"/>
                <w:szCs w:val="18"/>
                <w:bdr w:val="none" w:sz="0" w:space="0" w:color="auto" w:frame="1"/>
              </w:rPr>
              <w:t>0.37 (0.17–0.63)</w:t>
            </w:r>
          </w:p>
        </w:tc>
      </w:tr>
      <w:tr w:rsidR="00C830F0" w:rsidRPr="00506401" w14:paraId="19CE8715" w14:textId="77777777" w:rsidTr="008411F5">
        <w:trPr>
          <w:jc w:val="center"/>
        </w:trPr>
        <w:tc>
          <w:tcPr>
            <w:tcW w:w="3145" w:type="dxa"/>
          </w:tcPr>
          <w:p w14:paraId="7055042E" w14:textId="77777777" w:rsidR="00C830F0" w:rsidRPr="00506401" w:rsidRDefault="00C830F0" w:rsidP="008411F5">
            <w:pPr>
              <w:spacing w:line="276" w:lineRule="auto"/>
              <w:rPr>
                <w:color w:val="1F1F1F"/>
                <w:sz w:val="18"/>
                <w:szCs w:val="18"/>
              </w:rPr>
            </w:pPr>
            <w:r w:rsidRPr="00506401">
              <w:rPr>
                <w:b/>
                <w:bCs/>
                <w:color w:val="1F1F1F"/>
                <w:sz w:val="18"/>
                <w:szCs w:val="18"/>
                <w:bdr w:val="none" w:sz="0" w:space="0" w:color="auto" w:frame="1"/>
              </w:rPr>
              <w:t xml:space="preserve">Total Societal Burden </w:t>
            </w:r>
          </w:p>
        </w:tc>
        <w:tc>
          <w:tcPr>
            <w:tcW w:w="1890" w:type="dxa"/>
          </w:tcPr>
          <w:p w14:paraId="088E3B18" w14:textId="77777777" w:rsidR="00C830F0" w:rsidRPr="00506401" w:rsidRDefault="00C830F0" w:rsidP="008411F5">
            <w:pPr>
              <w:spacing w:line="276" w:lineRule="auto"/>
              <w:jc w:val="center"/>
              <w:rPr>
                <w:b/>
                <w:bCs/>
                <w:color w:val="1F1F1F"/>
                <w:sz w:val="18"/>
                <w:szCs w:val="18"/>
                <w:bdr w:val="none" w:sz="0" w:space="0" w:color="auto" w:frame="1"/>
              </w:rPr>
            </w:pPr>
            <w:r w:rsidRPr="00506401">
              <w:rPr>
                <w:b/>
                <w:bCs/>
                <w:color w:val="1F1F1F"/>
                <w:sz w:val="18"/>
                <w:szCs w:val="18"/>
                <w:bdr w:val="none" w:sz="0" w:space="0" w:color="auto" w:frame="1"/>
              </w:rPr>
              <w:t>4.46 (1.93–10.45)</w:t>
            </w:r>
          </w:p>
        </w:tc>
        <w:tc>
          <w:tcPr>
            <w:tcW w:w="1710" w:type="dxa"/>
          </w:tcPr>
          <w:p w14:paraId="537DCE3A" w14:textId="77777777" w:rsidR="00C830F0" w:rsidRPr="00506401" w:rsidRDefault="00C830F0" w:rsidP="008411F5">
            <w:pPr>
              <w:spacing w:line="276" w:lineRule="auto"/>
              <w:jc w:val="center"/>
              <w:rPr>
                <w:b/>
                <w:bCs/>
                <w:color w:val="1F1F1F"/>
                <w:sz w:val="18"/>
                <w:szCs w:val="18"/>
                <w:bdr w:val="none" w:sz="0" w:space="0" w:color="auto" w:frame="1"/>
              </w:rPr>
            </w:pPr>
            <w:r w:rsidRPr="00891F64">
              <w:rPr>
                <w:b/>
                <w:bCs/>
                <w:color w:val="1F1F1F"/>
                <w:sz w:val="18"/>
                <w:szCs w:val="18"/>
                <w:bdr w:val="none" w:sz="0" w:space="0" w:color="auto" w:frame="1"/>
              </w:rPr>
              <w:t>1.90 (0.92–3.85)</w:t>
            </w:r>
          </w:p>
        </w:tc>
        <w:tc>
          <w:tcPr>
            <w:tcW w:w="1980" w:type="dxa"/>
          </w:tcPr>
          <w:p w14:paraId="1C5D5DFD" w14:textId="77777777" w:rsidR="00C830F0" w:rsidRPr="00506401" w:rsidRDefault="00C830F0" w:rsidP="008411F5">
            <w:pPr>
              <w:spacing w:line="276" w:lineRule="auto"/>
              <w:jc w:val="center"/>
              <w:rPr>
                <w:b/>
                <w:bCs/>
                <w:color w:val="1F1F1F"/>
                <w:sz w:val="18"/>
                <w:szCs w:val="18"/>
                <w:bdr w:val="none" w:sz="0" w:space="0" w:color="auto" w:frame="1"/>
              </w:rPr>
            </w:pPr>
            <w:r w:rsidRPr="00506401">
              <w:rPr>
                <w:b/>
                <w:bCs/>
                <w:color w:val="1F1F1F"/>
                <w:sz w:val="18"/>
                <w:szCs w:val="18"/>
                <w:bdr w:val="none" w:sz="0" w:space="0" w:color="auto" w:frame="1"/>
              </w:rPr>
              <w:t>5.42 (2.49–12.89)</w:t>
            </w:r>
          </w:p>
        </w:tc>
        <w:tc>
          <w:tcPr>
            <w:tcW w:w="1800" w:type="dxa"/>
          </w:tcPr>
          <w:p w14:paraId="44EB815C" w14:textId="77777777" w:rsidR="00C830F0" w:rsidRPr="00506401" w:rsidRDefault="00C830F0" w:rsidP="008411F5">
            <w:pPr>
              <w:spacing w:line="276" w:lineRule="auto"/>
              <w:jc w:val="center"/>
              <w:rPr>
                <w:b/>
                <w:bCs/>
                <w:color w:val="1F1F1F"/>
                <w:sz w:val="18"/>
                <w:szCs w:val="18"/>
                <w:bdr w:val="none" w:sz="0" w:space="0" w:color="auto" w:frame="1"/>
              </w:rPr>
            </w:pPr>
            <w:r w:rsidRPr="00891F64">
              <w:rPr>
                <w:b/>
                <w:bCs/>
                <w:color w:val="1F1F1F"/>
                <w:sz w:val="18"/>
                <w:szCs w:val="18"/>
                <w:bdr w:val="none" w:sz="0" w:space="0" w:color="auto" w:frame="1"/>
              </w:rPr>
              <w:t>1.87 (1.01–3.59)</w:t>
            </w:r>
          </w:p>
        </w:tc>
      </w:tr>
    </w:tbl>
    <w:p w14:paraId="57D4587B" w14:textId="77777777" w:rsidR="00C830F0" w:rsidRDefault="00C830F0" w:rsidP="00B72D65">
      <w:pPr>
        <w:pStyle w:val="NormalWeb"/>
        <w:spacing w:line="276" w:lineRule="auto"/>
        <w:jc w:val="both"/>
      </w:pPr>
    </w:p>
    <w:p w14:paraId="48DD47E8" w14:textId="77777777" w:rsidR="00C830F0" w:rsidRDefault="00C830F0" w:rsidP="004E6BA5">
      <w:r w:rsidRPr="00EF1260">
        <w:rPr>
          <w:noProof/>
        </w:rPr>
        <w:drawing>
          <wp:inline distT="0" distB="0" distL="0" distR="0" wp14:anchorId="56CE4482" wp14:editId="422710A2">
            <wp:extent cx="5943600" cy="2329815"/>
            <wp:effectExtent l="0" t="0" r="0" b="0"/>
            <wp:docPr id="1642022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19553" name=""/>
                    <pic:cNvPicPr/>
                  </pic:nvPicPr>
                  <pic:blipFill>
                    <a:blip r:embed="rId13"/>
                    <a:stretch>
                      <a:fillRect/>
                    </a:stretch>
                  </pic:blipFill>
                  <pic:spPr>
                    <a:xfrm>
                      <a:off x="0" y="0"/>
                      <a:ext cx="5943600" cy="2329815"/>
                    </a:xfrm>
                    <a:prstGeom prst="rect">
                      <a:avLst/>
                    </a:prstGeom>
                  </pic:spPr>
                </pic:pic>
              </a:graphicData>
            </a:graphic>
          </wp:inline>
        </w:drawing>
      </w:r>
    </w:p>
    <w:p w14:paraId="4EE509C9" w14:textId="77777777" w:rsidR="004E6BA5" w:rsidRDefault="00C830F0" w:rsidP="004E6BA5">
      <w:pPr>
        <w:spacing w:before="100" w:beforeAutospacing="1" w:after="100" w:afterAutospacing="1"/>
        <w:jc w:val="both"/>
        <w:outlineLvl w:val="2"/>
      </w:pPr>
      <w:bookmarkStart w:id="21" w:name="_Toc235161901"/>
      <w:r w:rsidRPr="004E6BA5">
        <w:rPr>
          <w:rStyle w:val="Heading3Char"/>
          <w:b/>
          <w:bCs/>
          <w:color w:val="auto"/>
          <w:sz w:val="24"/>
          <w:szCs w:val="24"/>
          <w:lang w:val="en-GB"/>
        </w:rPr>
        <w:t>Supplementary Fig. 6</w:t>
      </w:r>
      <w:r w:rsidRPr="004E6BA5">
        <w:rPr>
          <w:rStyle w:val="Heading3Char"/>
          <w:b/>
          <w:bCs/>
          <w:color w:val="auto"/>
          <w:sz w:val="24"/>
          <w:szCs w:val="24"/>
        </w:rPr>
        <w:t xml:space="preserve">: </w:t>
      </w:r>
      <w:r w:rsidR="004E6BA5" w:rsidRPr="004E6BA5">
        <w:rPr>
          <w:rStyle w:val="Heading3Char"/>
          <w:b/>
          <w:bCs/>
          <w:color w:val="auto"/>
          <w:sz w:val="24"/>
          <w:szCs w:val="24"/>
        </w:rPr>
        <w:t xml:space="preserve"> </w:t>
      </w:r>
      <w:r w:rsidRPr="004E6BA5">
        <w:rPr>
          <w:rStyle w:val="Heading3Char"/>
          <w:b/>
          <w:bCs/>
          <w:color w:val="auto"/>
          <w:sz w:val="24"/>
          <w:szCs w:val="24"/>
        </w:rPr>
        <w:t>One-way deterministic sensitivity analysis of the total attributable societal economic burden (discount rate =0.035).</w:t>
      </w:r>
      <w:bookmarkEnd w:id="21"/>
      <w:r w:rsidRPr="004E6BA5">
        <w:t xml:space="preserve"> </w:t>
      </w:r>
    </w:p>
    <w:p w14:paraId="6C1C65F9" w14:textId="2789072D" w:rsidR="00C830F0" w:rsidRPr="004E6BA5" w:rsidRDefault="00C830F0" w:rsidP="004E6BA5">
      <w:pPr>
        <w:jc w:val="both"/>
        <w:rPr>
          <w:rFonts w:eastAsiaTheme="majorEastAsia" w:cstheme="majorBidi"/>
          <w:b/>
          <w:bCs/>
        </w:rPr>
      </w:pPr>
      <w:r w:rsidRPr="004E6BA5">
        <w:t xml:space="preserve">The Figure illustrated the ranks model input parameters horizontally based on their total systemic elasticity variance relative to the baseline projection framework. The vertical reference line </w:t>
      </w:r>
      <w:r w:rsidRPr="004E6BA5">
        <w:lastRenderedPageBreak/>
        <w:t>designates the unvaried baseline macro-estimate (</w:t>
      </w:r>
      <m:oMath>
        <m:r>
          <m:rPr>
            <m:sty m:val="p"/>
          </m:rPr>
          <w:rPr>
            <w:rFonts w:ascii="Cambria Math" w:hAnsi="Cambria Math"/>
          </w:rPr>
          <m:t>$4.55</m:t>
        </m:r>
        <m:r>
          <m:rPr>
            <m:nor/>
          </m:rPr>
          <m:t>M</m:t>
        </m:r>
      </m:oMath>
      <w:r w:rsidRPr="004E6BA5">
        <w:t xml:space="preserve"> for the 2024 evaluation cycle). Horizontal blue bars indicate the net directional movement of total combined societal expenditures as individual variables are toggled deterministically between their empirical 95% Probabilistic Sensitivity Analysis (PSA) boundary thresholds. Inline metrics specify extreme system outcomes, revealing Indirect Morbidity Productivity Loss as the primary driver of mathematical variance, shifting the cumulative burden to a maximum threshold of </w:t>
      </w:r>
      <m:oMath>
        <m:r>
          <m:rPr>
            <m:sty m:val="p"/>
          </m:rPr>
          <w:rPr>
            <w:rFonts w:ascii="Cambria Math" w:hAnsi="Cambria Math"/>
          </w:rPr>
          <m:t>$9.01</m:t>
        </m:r>
        <m:r>
          <m:rPr>
            <m:nor/>
          </m:rPr>
          <m:t>M</m:t>
        </m:r>
        <m:r>
          <m:rPr>
            <m:sty m:val="p"/>
          </m:rPr>
          <w:rPr>
            <w:rFonts w:ascii="Cambria Math" w:hAnsi="Cambria Math"/>
          </w:rPr>
          <m:t>.</m:t>
        </m:r>
      </m:oMath>
      <w:r w:rsidRPr="004E6BA5">
        <w:t xml:space="preserve"> All secondary components are fixed statically to point-estimates during individual parameter test runs. HCA: Human Capital Approach.</w:t>
      </w:r>
    </w:p>
    <w:p w14:paraId="1880E15E" w14:textId="77777777" w:rsidR="00C830F0" w:rsidRDefault="00C830F0" w:rsidP="00C830F0">
      <w:pPr>
        <w:spacing w:before="100" w:beforeAutospacing="1" w:after="100" w:afterAutospacing="1"/>
        <w:jc w:val="both"/>
        <w:outlineLvl w:val="2"/>
      </w:pPr>
    </w:p>
    <w:p w14:paraId="235299CF" w14:textId="77777777" w:rsidR="00C830F0" w:rsidRDefault="00C830F0" w:rsidP="004E6BA5">
      <w:r w:rsidRPr="00747EC6">
        <w:rPr>
          <w:noProof/>
        </w:rPr>
        <w:drawing>
          <wp:inline distT="0" distB="0" distL="0" distR="0" wp14:anchorId="6FB5F5C8" wp14:editId="32A2FF2E">
            <wp:extent cx="6281690" cy="2506636"/>
            <wp:effectExtent l="0" t="0" r="5080" b="0"/>
            <wp:docPr id="856534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04600" name=""/>
                    <pic:cNvPicPr/>
                  </pic:nvPicPr>
                  <pic:blipFill>
                    <a:blip r:embed="rId14"/>
                    <a:stretch>
                      <a:fillRect/>
                    </a:stretch>
                  </pic:blipFill>
                  <pic:spPr>
                    <a:xfrm>
                      <a:off x="0" y="0"/>
                      <a:ext cx="6295733" cy="2512240"/>
                    </a:xfrm>
                    <a:prstGeom prst="rect">
                      <a:avLst/>
                    </a:prstGeom>
                  </pic:spPr>
                </pic:pic>
              </a:graphicData>
            </a:graphic>
          </wp:inline>
        </w:drawing>
      </w:r>
    </w:p>
    <w:p w14:paraId="1974044F" w14:textId="6F2E134D" w:rsidR="00B612F9" w:rsidRPr="00B612F9" w:rsidRDefault="00C830F0" w:rsidP="004E6BA5">
      <w:pPr>
        <w:spacing w:before="100" w:beforeAutospacing="1" w:after="100" w:afterAutospacing="1"/>
        <w:jc w:val="both"/>
        <w:outlineLvl w:val="2"/>
      </w:pPr>
      <w:bookmarkStart w:id="22" w:name="_Toc235161902"/>
      <w:r w:rsidRPr="004E6BA5">
        <w:rPr>
          <w:rStyle w:val="Heading3Char"/>
          <w:b/>
          <w:bCs/>
          <w:color w:val="auto"/>
          <w:sz w:val="24"/>
          <w:szCs w:val="24"/>
          <w:lang w:val="en-GB"/>
        </w:rPr>
        <w:t>Supplementary Fig. 7</w:t>
      </w:r>
      <w:r w:rsidRPr="004E6BA5">
        <w:rPr>
          <w:rStyle w:val="Heading3Char"/>
          <w:b/>
          <w:bCs/>
          <w:color w:val="auto"/>
          <w:sz w:val="24"/>
          <w:szCs w:val="24"/>
        </w:rPr>
        <w:t>: One-way deterministic sensitivity analysis of the total attributable societal economic burden (discount rate = 0)</w:t>
      </w:r>
      <w:bookmarkEnd w:id="22"/>
      <w:r w:rsidR="00B612F9">
        <w:rPr>
          <w:rStyle w:val="Heading3Char"/>
          <w:b/>
          <w:bCs/>
          <w:color w:val="auto"/>
          <w:sz w:val="24"/>
          <w:szCs w:val="24"/>
        </w:rPr>
        <w:t xml:space="preserve"> </w:t>
      </w:r>
      <w:r w:rsidR="00B612F9" w:rsidRPr="00B612F9">
        <w:t>One-way deterministic sensitivity analysis of the total attributable societal economic burden (discount rate = 0). The Figure illustrated the ranks model input parameters horizontally based on their total systemic elasticity variance relative to the baseline projection framework. The vertical reference line designates the unvaried baseline macro-estimate (</w:t>
      </w:r>
      <m:oMath>
        <m:r>
          <m:rPr>
            <m:sty m:val="p"/>
          </m:rPr>
          <w:rPr>
            <w:rFonts w:ascii="Cambria Math" w:hAnsi="Cambria Math"/>
          </w:rPr>
          <m:t>$4.98</m:t>
        </m:r>
        <m:r>
          <m:rPr>
            <m:nor/>
          </m:rPr>
          <m:t>M</m:t>
        </m:r>
      </m:oMath>
      <w:r w:rsidR="00B612F9" w:rsidRPr="00B612F9">
        <w:t xml:space="preserve"> for the 2024 evaluation cycle). Horizontal blue bars indicate the net directional movement of total combined societal expenditures as individual variables are toggled deterministically between their empirical 95% Probabilistic Sensitivity Analysis (PSA) boundary thresholds. Inline metrics specify extreme system outcomes, revealing Indirect Morbidity Productivity Loss as the primary driver of mathematical variance, shifting the cumulative burden to a maximum threshold of </w:t>
      </w:r>
      <m:oMath>
        <m:r>
          <m:rPr>
            <m:sty m:val="p"/>
          </m:rPr>
          <w:rPr>
            <w:rFonts w:ascii="Cambria Math" w:hAnsi="Cambria Math"/>
          </w:rPr>
          <m:t>$9.46</m:t>
        </m:r>
        <m:r>
          <m:rPr>
            <m:nor/>
          </m:rPr>
          <m:t>M</m:t>
        </m:r>
        <m:r>
          <m:rPr>
            <m:sty m:val="p"/>
          </m:rPr>
          <w:rPr>
            <w:rFonts w:ascii="Cambria Math" w:hAnsi="Cambria Math"/>
          </w:rPr>
          <m:t>.</m:t>
        </m:r>
      </m:oMath>
      <w:r w:rsidR="00B612F9" w:rsidRPr="00B612F9">
        <w:t xml:space="preserve"> All secondary components are fixed statically to point-estimates during individual parameter test runs. HCA: Human Capital Approach.</w:t>
      </w:r>
    </w:p>
    <w:p w14:paraId="65F35CD8" w14:textId="77777777" w:rsidR="00B612F9" w:rsidRDefault="00B612F9" w:rsidP="004E6BA5">
      <w:pPr>
        <w:spacing w:before="100" w:beforeAutospacing="1" w:after="100" w:afterAutospacing="1"/>
        <w:jc w:val="both"/>
        <w:outlineLvl w:val="2"/>
        <w:rPr>
          <w:rStyle w:val="Heading3Char"/>
          <w:b/>
          <w:bCs/>
          <w:color w:val="auto"/>
          <w:sz w:val="24"/>
          <w:szCs w:val="24"/>
        </w:rPr>
      </w:pPr>
    </w:p>
    <w:p w14:paraId="0921718A" w14:textId="343D0937" w:rsidR="009F1411" w:rsidRPr="00924238" w:rsidRDefault="009F1411" w:rsidP="00924238">
      <w:pPr>
        <w:pStyle w:val="Heading2"/>
        <w:rPr>
          <w:rFonts w:ascii="Times New Roman" w:hAnsi="Times New Roman" w:cs="Times New Roman"/>
          <w:b/>
          <w:bCs/>
          <w:color w:val="auto"/>
          <w:sz w:val="24"/>
          <w:szCs w:val="24"/>
        </w:rPr>
      </w:pPr>
      <w:bookmarkStart w:id="23" w:name="_Toc235161903"/>
      <w:r w:rsidRPr="00924238">
        <w:rPr>
          <w:rFonts w:ascii="Times New Roman" w:hAnsi="Times New Roman" w:cs="Times New Roman"/>
          <w:b/>
          <w:bCs/>
          <w:color w:val="auto"/>
          <w:sz w:val="24"/>
          <w:szCs w:val="24"/>
        </w:rPr>
        <w:t>Table S5: The CHEERS 2022 checklist</w:t>
      </w:r>
      <w:bookmarkEnd w:id="23"/>
      <w:r w:rsidR="00D36FF3" w:rsidRPr="00924238">
        <w:rPr>
          <w:rFonts w:ascii="Times New Roman" w:hAnsi="Times New Roman" w:cs="Times New Roman"/>
          <w:b/>
          <w:bCs/>
          <w:color w:val="auto"/>
          <w:sz w:val="24"/>
          <w:szCs w:val="24"/>
        </w:rPr>
        <w:t xml:space="preserve"> </w:t>
      </w:r>
    </w:p>
    <w:tbl>
      <w:tblPr>
        <w:tblStyle w:val="TableGrid"/>
        <w:tblW w:w="0" w:type="auto"/>
        <w:tblLook w:val="04A0" w:firstRow="1" w:lastRow="0" w:firstColumn="1" w:lastColumn="0" w:noHBand="0" w:noVBand="1"/>
      </w:tblPr>
      <w:tblGrid>
        <w:gridCol w:w="2182"/>
        <w:gridCol w:w="630"/>
        <w:gridCol w:w="3033"/>
        <w:gridCol w:w="3505"/>
      </w:tblGrid>
      <w:tr w:rsidR="009F1411" w:rsidRPr="009F1411" w14:paraId="682C207B" w14:textId="77777777" w:rsidTr="005D5A94">
        <w:tc>
          <w:tcPr>
            <w:tcW w:w="0" w:type="auto"/>
            <w:hideMark/>
          </w:tcPr>
          <w:p w14:paraId="1D1AD1EE" w14:textId="77777777" w:rsidR="009F1411" w:rsidRPr="009F1411" w:rsidRDefault="009F1411">
            <w:pPr>
              <w:jc w:val="center"/>
              <w:rPr>
                <w:b/>
                <w:bCs/>
                <w:sz w:val="18"/>
                <w:szCs w:val="18"/>
              </w:rPr>
            </w:pPr>
            <w:r w:rsidRPr="009F1411">
              <w:rPr>
                <w:b/>
                <w:bCs/>
                <w:sz w:val="18"/>
                <w:szCs w:val="18"/>
              </w:rPr>
              <w:t>Section/topic</w:t>
            </w:r>
          </w:p>
        </w:tc>
        <w:tc>
          <w:tcPr>
            <w:tcW w:w="0" w:type="auto"/>
            <w:hideMark/>
          </w:tcPr>
          <w:p w14:paraId="28F4502F" w14:textId="77777777" w:rsidR="009F1411" w:rsidRPr="009F1411" w:rsidRDefault="009F1411">
            <w:pPr>
              <w:jc w:val="center"/>
              <w:rPr>
                <w:b/>
                <w:bCs/>
                <w:sz w:val="18"/>
                <w:szCs w:val="18"/>
              </w:rPr>
            </w:pPr>
            <w:r w:rsidRPr="009F1411">
              <w:rPr>
                <w:b/>
                <w:bCs/>
                <w:sz w:val="18"/>
                <w:szCs w:val="18"/>
              </w:rPr>
              <w:t>Item No</w:t>
            </w:r>
          </w:p>
        </w:tc>
        <w:tc>
          <w:tcPr>
            <w:tcW w:w="3033" w:type="dxa"/>
            <w:hideMark/>
          </w:tcPr>
          <w:p w14:paraId="3FB4E1CF" w14:textId="77777777" w:rsidR="009F1411" w:rsidRPr="009F1411" w:rsidRDefault="009F1411">
            <w:pPr>
              <w:jc w:val="center"/>
              <w:rPr>
                <w:b/>
                <w:bCs/>
                <w:sz w:val="18"/>
                <w:szCs w:val="18"/>
              </w:rPr>
            </w:pPr>
            <w:r w:rsidRPr="009F1411">
              <w:rPr>
                <w:b/>
                <w:bCs/>
                <w:sz w:val="18"/>
                <w:szCs w:val="18"/>
              </w:rPr>
              <w:t>Guidance for reporting</w:t>
            </w:r>
          </w:p>
        </w:tc>
        <w:tc>
          <w:tcPr>
            <w:tcW w:w="3505" w:type="dxa"/>
            <w:hideMark/>
          </w:tcPr>
          <w:p w14:paraId="194787A9" w14:textId="77777777" w:rsidR="009F1411" w:rsidRPr="009F1411" w:rsidRDefault="009F1411">
            <w:pPr>
              <w:jc w:val="center"/>
              <w:rPr>
                <w:b/>
                <w:bCs/>
                <w:sz w:val="18"/>
                <w:szCs w:val="18"/>
              </w:rPr>
            </w:pPr>
            <w:r w:rsidRPr="009F1411">
              <w:rPr>
                <w:b/>
                <w:bCs/>
                <w:sz w:val="18"/>
                <w:szCs w:val="18"/>
              </w:rPr>
              <w:t>Reported in section</w:t>
            </w:r>
          </w:p>
        </w:tc>
      </w:tr>
      <w:tr w:rsidR="009F1411" w:rsidRPr="009F1411" w14:paraId="15BF3B36" w14:textId="77777777" w:rsidTr="005D5A94">
        <w:tc>
          <w:tcPr>
            <w:tcW w:w="0" w:type="auto"/>
            <w:hideMark/>
          </w:tcPr>
          <w:p w14:paraId="7FE6F076" w14:textId="77777777" w:rsidR="009F1411" w:rsidRPr="009F1411" w:rsidRDefault="009F1411">
            <w:pPr>
              <w:rPr>
                <w:sz w:val="18"/>
                <w:szCs w:val="18"/>
              </w:rPr>
            </w:pPr>
            <w:r w:rsidRPr="009F1411">
              <w:rPr>
                <w:rStyle w:val="Strong"/>
                <w:sz w:val="18"/>
                <w:szCs w:val="18"/>
              </w:rPr>
              <w:t>Title</w:t>
            </w:r>
          </w:p>
        </w:tc>
        <w:tc>
          <w:tcPr>
            <w:tcW w:w="0" w:type="auto"/>
            <w:hideMark/>
          </w:tcPr>
          <w:p w14:paraId="59A3E0A4" w14:textId="77777777" w:rsidR="009F1411" w:rsidRPr="009F1411" w:rsidRDefault="009F1411">
            <w:pPr>
              <w:rPr>
                <w:sz w:val="18"/>
                <w:szCs w:val="18"/>
              </w:rPr>
            </w:pPr>
            <w:r w:rsidRPr="009F1411">
              <w:rPr>
                <w:sz w:val="18"/>
                <w:szCs w:val="18"/>
              </w:rPr>
              <w:t>1</w:t>
            </w:r>
          </w:p>
        </w:tc>
        <w:tc>
          <w:tcPr>
            <w:tcW w:w="3033" w:type="dxa"/>
            <w:hideMark/>
          </w:tcPr>
          <w:p w14:paraId="7EEDE47E" w14:textId="77777777" w:rsidR="009F1411" w:rsidRPr="009F1411" w:rsidRDefault="009F1411">
            <w:pPr>
              <w:rPr>
                <w:sz w:val="18"/>
                <w:szCs w:val="18"/>
              </w:rPr>
            </w:pPr>
            <w:r w:rsidRPr="009F1411">
              <w:rPr>
                <w:sz w:val="18"/>
                <w:szCs w:val="18"/>
              </w:rPr>
              <w:t>Identify the study as an economic evaluation and specify the interventions being compared.</w:t>
            </w:r>
          </w:p>
        </w:tc>
        <w:tc>
          <w:tcPr>
            <w:tcW w:w="3505" w:type="dxa"/>
            <w:hideMark/>
          </w:tcPr>
          <w:p w14:paraId="0763ABB7" w14:textId="5176F79A" w:rsidR="009F1411" w:rsidRPr="009F1411" w:rsidRDefault="00322DE8">
            <w:pPr>
              <w:rPr>
                <w:sz w:val="18"/>
                <w:szCs w:val="18"/>
              </w:rPr>
            </w:pPr>
            <w:r w:rsidRPr="00322DE8">
              <w:rPr>
                <w:sz w:val="18"/>
                <w:szCs w:val="18"/>
              </w:rPr>
              <w:t xml:space="preserve">Title (reflects the primary epidemiological finding of the study. The economic evaluation and cost-of-illness analyses are </w:t>
            </w:r>
            <w:r w:rsidRPr="00322DE8">
              <w:rPr>
                <w:sz w:val="18"/>
                <w:szCs w:val="18"/>
              </w:rPr>
              <w:lastRenderedPageBreak/>
              <w:t>described in the Abstract, Online Methods, Results, and Discussion).</w:t>
            </w:r>
          </w:p>
        </w:tc>
      </w:tr>
      <w:tr w:rsidR="009F1411" w:rsidRPr="009F1411" w14:paraId="4D321880" w14:textId="77777777" w:rsidTr="005D5A94">
        <w:tc>
          <w:tcPr>
            <w:tcW w:w="0" w:type="auto"/>
            <w:hideMark/>
          </w:tcPr>
          <w:p w14:paraId="644F5524" w14:textId="77777777" w:rsidR="009F1411" w:rsidRPr="009F1411" w:rsidRDefault="009F1411">
            <w:pPr>
              <w:rPr>
                <w:sz w:val="18"/>
                <w:szCs w:val="18"/>
              </w:rPr>
            </w:pPr>
            <w:r w:rsidRPr="009F1411">
              <w:rPr>
                <w:rStyle w:val="Strong"/>
                <w:sz w:val="18"/>
                <w:szCs w:val="18"/>
              </w:rPr>
              <w:lastRenderedPageBreak/>
              <w:t>Abstract</w:t>
            </w:r>
          </w:p>
        </w:tc>
        <w:tc>
          <w:tcPr>
            <w:tcW w:w="0" w:type="auto"/>
            <w:hideMark/>
          </w:tcPr>
          <w:p w14:paraId="52822DB4" w14:textId="77777777" w:rsidR="009F1411" w:rsidRPr="009F1411" w:rsidRDefault="009F1411">
            <w:pPr>
              <w:rPr>
                <w:sz w:val="18"/>
                <w:szCs w:val="18"/>
              </w:rPr>
            </w:pPr>
            <w:r w:rsidRPr="009F1411">
              <w:rPr>
                <w:sz w:val="18"/>
                <w:szCs w:val="18"/>
              </w:rPr>
              <w:t>2</w:t>
            </w:r>
          </w:p>
        </w:tc>
        <w:tc>
          <w:tcPr>
            <w:tcW w:w="3033" w:type="dxa"/>
            <w:hideMark/>
          </w:tcPr>
          <w:p w14:paraId="6720343F" w14:textId="77777777" w:rsidR="009F1411" w:rsidRPr="009F1411" w:rsidRDefault="009F1411">
            <w:pPr>
              <w:rPr>
                <w:sz w:val="18"/>
                <w:szCs w:val="18"/>
              </w:rPr>
            </w:pPr>
            <w:r w:rsidRPr="009F1411">
              <w:rPr>
                <w:sz w:val="18"/>
                <w:szCs w:val="18"/>
              </w:rPr>
              <w:t>Provide a structured summary that highlights context, key methods, results, and alternative analyses.</w:t>
            </w:r>
          </w:p>
        </w:tc>
        <w:tc>
          <w:tcPr>
            <w:tcW w:w="3505" w:type="dxa"/>
            <w:hideMark/>
          </w:tcPr>
          <w:p w14:paraId="59813744" w14:textId="28FA093D" w:rsidR="009F1411" w:rsidRPr="009F1411" w:rsidRDefault="00322DE8">
            <w:pPr>
              <w:rPr>
                <w:sz w:val="18"/>
                <w:szCs w:val="18"/>
              </w:rPr>
            </w:pPr>
            <w:r w:rsidRPr="00322DE8">
              <w:rPr>
                <w:sz w:val="18"/>
                <w:szCs w:val="18"/>
              </w:rPr>
              <w:t>Abstract (reported in Nature Medicine's required unstructured format, summarizing the study background, analytical framework, principal findings, and policy implications).</w:t>
            </w:r>
          </w:p>
        </w:tc>
      </w:tr>
      <w:tr w:rsidR="009F1411" w:rsidRPr="009F1411" w14:paraId="2D474A05" w14:textId="77777777" w:rsidTr="005D5A94">
        <w:tc>
          <w:tcPr>
            <w:tcW w:w="0" w:type="auto"/>
            <w:hideMark/>
          </w:tcPr>
          <w:p w14:paraId="15E2B674" w14:textId="77777777" w:rsidR="009F1411" w:rsidRPr="009F1411" w:rsidRDefault="009F1411">
            <w:pPr>
              <w:rPr>
                <w:sz w:val="18"/>
                <w:szCs w:val="18"/>
              </w:rPr>
            </w:pPr>
            <w:r w:rsidRPr="009F1411">
              <w:rPr>
                <w:rStyle w:val="Strong"/>
                <w:sz w:val="18"/>
                <w:szCs w:val="18"/>
              </w:rPr>
              <w:t>Introduction</w:t>
            </w:r>
          </w:p>
        </w:tc>
        <w:tc>
          <w:tcPr>
            <w:tcW w:w="0" w:type="auto"/>
            <w:hideMark/>
          </w:tcPr>
          <w:p w14:paraId="357E2C59" w14:textId="77777777" w:rsidR="009F1411" w:rsidRPr="009F1411" w:rsidRDefault="009F1411">
            <w:pPr>
              <w:rPr>
                <w:sz w:val="18"/>
                <w:szCs w:val="18"/>
              </w:rPr>
            </w:pPr>
            <w:r w:rsidRPr="009F1411">
              <w:rPr>
                <w:sz w:val="18"/>
                <w:szCs w:val="18"/>
              </w:rPr>
              <w:t>3</w:t>
            </w:r>
          </w:p>
        </w:tc>
        <w:tc>
          <w:tcPr>
            <w:tcW w:w="3033" w:type="dxa"/>
            <w:hideMark/>
          </w:tcPr>
          <w:p w14:paraId="4478329D" w14:textId="77777777" w:rsidR="009F1411" w:rsidRPr="009F1411" w:rsidRDefault="009F1411">
            <w:pPr>
              <w:rPr>
                <w:sz w:val="18"/>
                <w:szCs w:val="18"/>
              </w:rPr>
            </w:pPr>
            <w:r w:rsidRPr="009F1411">
              <w:rPr>
                <w:sz w:val="18"/>
                <w:szCs w:val="18"/>
              </w:rPr>
              <w:t>Give the context for the study, the study question, and its practical relevance for decision making in policy or practice.</w:t>
            </w:r>
          </w:p>
        </w:tc>
        <w:tc>
          <w:tcPr>
            <w:tcW w:w="3505" w:type="dxa"/>
            <w:hideMark/>
          </w:tcPr>
          <w:p w14:paraId="523A9A89" w14:textId="59DA3ED9" w:rsidR="009F1411" w:rsidRPr="009F1411" w:rsidRDefault="00322DE8">
            <w:pPr>
              <w:rPr>
                <w:sz w:val="18"/>
                <w:szCs w:val="18"/>
              </w:rPr>
            </w:pPr>
            <w:r w:rsidRPr="00322DE8">
              <w:rPr>
                <w:sz w:val="18"/>
                <w:szCs w:val="18"/>
              </w:rPr>
              <w:t>Introduction</w:t>
            </w:r>
            <w:r>
              <w:rPr>
                <w:sz w:val="18"/>
                <w:szCs w:val="18"/>
              </w:rPr>
              <w:t>.</w:t>
            </w:r>
          </w:p>
        </w:tc>
      </w:tr>
      <w:tr w:rsidR="009F1411" w:rsidRPr="009F1411" w14:paraId="66B17866" w14:textId="77777777" w:rsidTr="005D5A94">
        <w:tc>
          <w:tcPr>
            <w:tcW w:w="0" w:type="auto"/>
            <w:hideMark/>
          </w:tcPr>
          <w:p w14:paraId="22EF69E6" w14:textId="77777777" w:rsidR="009F1411" w:rsidRPr="009F1411" w:rsidRDefault="009F1411">
            <w:pPr>
              <w:rPr>
                <w:sz w:val="18"/>
                <w:szCs w:val="18"/>
              </w:rPr>
            </w:pPr>
            <w:r w:rsidRPr="009F1411">
              <w:rPr>
                <w:rStyle w:val="Strong"/>
                <w:sz w:val="18"/>
                <w:szCs w:val="18"/>
              </w:rPr>
              <w:t>Methods</w:t>
            </w:r>
          </w:p>
        </w:tc>
        <w:tc>
          <w:tcPr>
            <w:tcW w:w="0" w:type="auto"/>
            <w:hideMark/>
          </w:tcPr>
          <w:p w14:paraId="55BE6C5A" w14:textId="77777777" w:rsidR="009F1411" w:rsidRPr="009F1411" w:rsidRDefault="009F1411">
            <w:pPr>
              <w:rPr>
                <w:sz w:val="18"/>
                <w:szCs w:val="18"/>
              </w:rPr>
            </w:pPr>
          </w:p>
        </w:tc>
        <w:tc>
          <w:tcPr>
            <w:tcW w:w="3033" w:type="dxa"/>
            <w:hideMark/>
          </w:tcPr>
          <w:p w14:paraId="054FA3B2" w14:textId="77777777" w:rsidR="009F1411" w:rsidRPr="009F1411" w:rsidRDefault="009F1411">
            <w:pPr>
              <w:rPr>
                <w:sz w:val="18"/>
                <w:szCs w:val="18"/>
              </w:rPr>
            </w:pPr>
          </w:p>
        </w:tc>
        <w:tc>
          <w:tcPr>
            <w:tcW w:w="3505" w:type="dxa"/>
            <w:hideMark/>
          </w:tcPr>
          <w:p w14:paraId="5B47A5D3" w14:textId="77777777" w:rsidR="009F1411" w:rsidRPr="009F1411" w:rsidRDefault="009F1411">
            <w:pPr>
              <w:rPr>
                <w:sz w:val="18"/>
                <w:szCs w:val="18"/>
              </w:rPr>
            </w:pPr>
          </w:p>
        </w:tc>
      </w:tr>
      <w:tr w:rsidR="009F1411" w:rsidRPr="009F1411" w14:paraId="32352909" w14:textId="77777777" w:rsidTr="005D5A94">
        <w:tc>
          <w:tcPr>
            <w:tcW w:w="0" w:type="auto"/>
            <w:hideMark/>
          </w:tcPr>
          <w:p w14:paraId="4164DEB6" w14:textId="77777777" w:rsidR="009F1411" w:rsidRPr="009F1411" w:rsidRDefault="009F1411">
            <w:pPr>
              <w:rPr>
                <w:sz w:val="18"/>
                <w:szCs w:val="18"/>
              </w:rPr>
            </w:pPr>
            <w:r w:rsidRPr="009F1411">
              <w:rPr>
                <w:sz w:val="18"/>
                <w:szCs w:val="18"/>
              </w:rPr>
              <w:t>Health economic analysis plan</w:t>
            </w:r>
          </w:p>
        </w:tc>
        <w:tc>
          <w:tcPr>
            <w:tcW w:w="0" w:type="auto"/>
            <w:hideMark/>
          </w:tcPr>
          <w:p w14:paraId="55C0B70B" w14:textId="77777777" w:rsidR="009F1411" w:rsidRPr="009F1411" w:rsidRDefault="009F1411">
            <w:pPr>
              <w:rPr>
                <w:sz w:val="18"/>
                <w:szCs w:val="18"/>
              </w:rPr>
            </w:pPr>
            <w:r w:rsidRPr="009F1411">
              <w:rPr>
                <w:sz w:val="18"/>
                <w:szCs w:val="18"/>
              </w:rPr>
              <w:t>4</w:t>
            </w:r>
          </w:p>
        </w:tc>
        <w:tc>
          <w:tcPr>
            <w:tcW w:w="3033" w:type="dxa"/>
            <w:hideMark/>
          </w:tcPr>
          <w:p w14:paraId="5D3B1369" w14:textId="77777777" w:rsidR="009F1411" w:rsidRPr="009F1411" w:rsidRDefault="009F1411">
            <w:pPr>
              <w:rPr>
                <w:sz w:val="18"/>
                <w:szCs w:val="18"/>
              </w:rPr>
            </w:pPr>
            <w:r w:rsidRPr="009F1411">
              <w:rPr>
                <w:sz w:val="18"/>
                <w:szCs w:val="18"/>
              </w:rPr>
              <w:t>Indicate whether a health economic analysis plan was developed and where available.</w:t>
            </w:r>
          </w:p>
        </w:tc>
        <w:tc>
          <w:tcPr>
            <w:tcW w:w="3505" w:type="dxa"/>
            <w:hideMark/>
          </w:tcPr>
          <w:p w14:paraId="3E648AFF" w14:textId="5CEAB805" w:rsidR="009F1411" w:rsidRPr="009F1411" w:rsidRDefault="00322DE8">
            <w:pPr>
              <w:rPr>
                <w:sz w:val="18"/>
                <w:szCs w:val="18"/>
              </w:rPr>
            </w:pPr>
            <w:r w:rsidRPr="00322DE8">
              <w:rPr>
                <w:sz w:val="18"/>
                <w:szCs w:val="18"/>
              </w:rPr>
              <w:t>Online Methods (Cost of Illness Analysis and Supplementary Methods).</w:t>
            </w:r>
          </w:p>
        </w:tc>
      </w:tr>
      <w:tr w:rsidR="009F1411" w:rsidRPr="009F1411" w14:paraId="104459BE" w14:textId="77777777" w:rsidTr="005D5A94">
        <w:tc>
          <w:tcPr>
            <w:tcW w:w="0" w:type="auto"/>
            <w:hideMark/>
          </w:tcPr>
          <w:p w14:paraId="3C74144A" w14:textId="77777777" w:rsidR="009F1411" w:rsidRPr="009F1411" w:rsidRDefault="009F1411">
            <w:pPr>
              <w:rPr>
                <w:sz w:val="18"/>
                <w:szCs w:val="18"/>
              </w:rPr>
            </w:pPr>
            <w:r w:rsidRPr="009F1411">
              <w:rPr>
                <w:sz w:val="18"/>
                <w:szCs w:val="18"/>
              </w:rPr>
              <w:t>Study population</w:t>
            </w:r>
          </w:p>
        </w:tc>
        <w:tc>
          <w:tcPr>
            <w:tcW w:w="0" w:type="auto"/>
            <w:hideMark/>
          </w:tcPr>
          <w:p w14:paraId="4C3B2270" w14:textId="77777777" w:rsidR="009F1411" w:rsidRPr="009F1411" w:rsidRDefault="009F1411">
            <w:pPr>
              <w:rPr>
                <w:sz w:val="18"/>
                <w:szCs w:val="18"/>
              </w:rPr>
            </w:pPr>
            <w:r w:rsidRPr="009F1411">
              <w:rPr>
                <w:sz w:val="18"/>
                <w:szCs w:val="18"/>
              </w:rPr>
              <w:t>5</w:t>
            </w:r>
          </w:p>
        </w:tc>
        <w:tc>
          <w:tcPr>
            <w:tcW w:w="3033" w:type="dxa"/>
            <w:hideMark/>
          </w:tcPr>
          <w:p w14:paraId="13A50E70" w14:textId="77777777" w:rsidR="009F1411" w:rsidRPr="009F1411" w:rsidRDefault="009F1411">
            <w:pPr>
              <w:rPr>
                <w:sz w:val="18"/>
                <w:szCs w:val="18"/>
              </w:rPr>
            </w:pPr>
            <w:r w:rsidRPr="009F1411">
              <w:rPr>
                <w:sz w:val="18"/>
                <w:szCs w:val="18"/>
              </w:rPr>
              <w:t>Describe characteristics of the study population (such as age range, demographics, socioeconomic, or clinical characteristics).</w:t>
            </w:r>
          </w:p>
        </w:tc>
        <w:tc>
          <w:tcPr>
            <w:tcW w:w="3505" w:type="dxa"/>
            <w:hideMark/>
          </w:tcPr>
          <w:p w14:paraId="3E2799CE" w14:textId="30CE6523" w:rsidR="009F1411" w:rsidRPr="009F1411" w:rsidRDefault="00322DE8">
            <w:pPr>
              <w:rPr>
                <w:sz w:val="18"/>
                <w:szCs w:val="18"/>
              </w:rPr>
            </w:pPr>
            <w:r w:rsidRPr="00322DE8">
              <w:rPr>
                <w:sz w:val="18"/>
                <w:szCs w:val="18"/>
              </w:rPr>
              <w:t>Online Methods (Study setting, surveillance data sources and epidemiological modelling); Supplementary Methods.</w:t>
            </w:r>
          </w:p>
        </w:tc>
      </w:tr>
      <w:tr w:rsidR="009F1411" w:rsidRPr="009F1411" w14:paraId="5688FE1A" w14:textId="77777777" w:rsidTr="005D5A94">
        <w:tc>
          <w:tcPr>
            <w:tcW w:w="0" w:type="auto"/>
            <w:hideMark/>
          </w:tcPr>
          <w:p w14:paraId="293382B3" w14:textId="77777777" w:rsidR="009F1411" w:rsidRPr="009F1411" w:rsidRDefault="009F1411">
            <w:pPr>
              <w:rPr>
                <w:sz w:val="18"/>
                <w:szCs w:val="18"/>
              </w:rPr>
            </w:pPr>
            <w:r w:rsidRPr="009F1411">
              <w:rPr>
                <w:sz w:val="18"/>
                <w:szCs w:val="18"/>
              </w:rPr>
              <w:t>Setting and location</w:t>
            </w:r>
          </w:p>
        </w:tc>
        <w:tc>
          <w:tcPr>
            <w:tcW w:w="0" w:type="auto"/>
            <w:hideMark/>
          </w:tcPr>
          <w:p w14:paraId="3829DB1A" w14:textId="77777777" w:rsidR="009F1411" w:rsidRPr="009F1411" w:rsidRDefault="009F1411">
            <w:pPr>
              <w:rPr>
                <w:sz w:val="18"/>
                <w:szCs w:val="18"/>
              </w:rPr>
            </w:pPr>
            <w:r w:rsidRPr="009F1411">
              <w:rPr>
                <w:sz w:val="18"/>
                <w:szCs w:val="18"/>
              </w:rPr>
              <w:t>6</w:t>
            </w:r>
          </w:p>
        </w:tc>
        <w:tc>
          <w:tcPr>
            <w:tcW w:w="3033" w:type="dxa"/>
            <w:hideMark/>
          </w:tcPr>
          <w:p w14:paraId="38C758A0" w14:textId="77777777" w:rsidR="009F1411" w:rsidRPr="009F1411" w:rsidRDefault="009F1411">
            <w:pPr>
              <w:rPr>
                <w:sz w:val="18"/>
                <w:szCs w:val="18"/>
              </w:rPr>
            </w:pPr>
            <w:r w:rsidRPr="009F1411">
              <w:rPr>
                <w:sz w:val="18"/>
                <w:szCs w:val="18"/>
              </w:rPr>
              <w:t>Provide relevant contextual information that may influence findings.</w:t>
            </w:r>
          </w:p>
        </w:tc>
        <w:tc>
          <w:tcPr>
            <w:tcW w:w="3505" w:type="dxa"/>
            <w:hideMark/>
          </w:tcPr>
          <w:p w14:paraId="529FC658" w14:textId="15826DC7" w:rsidR="009F1411" w:rsidRPr="009F1411" w:rsidRDefault="00322DE8">
            <w:pPr>
              <w:rPr>
                <w:sz w:val="18"/>
                <w:szCs w:val="18"/>
              </w:rPr>
            </w:pPr>
            <w:r w:rsidRPr="00322DE8">
              <w:rPr>
                <w:sz w:val="18"/>
                <w:szCs w:val="18"/>
              </w:rPr>
              <w:t>Methods (Study setting); Online Methods; Supplementary Methods.</w:t>
            </w:r>
          </w:p>
        </w:tc>
      </w:tr>
      <w:tr w:rsidR="009F1411" w:rsidRPr="009F1411" w14:paraId="4F6557C8" w14:textId="77777777" w:rsidTr="005D5A94">
        <w:tc>
          <w:tcPr>
            <w:tcW w:w="0" w:type="auto"/>
            <w:hideMark/>
          </w:tcPr>
          <w:p w14:paraId="60890702" w14:textId="77777777" w:rsidR="009F1411" w:rsidRPr="009F1411" w:rsidRDefault="009F1411">
            <w:pPr>
              <w:rPr>
                <w:sz w:val="18"/>
                <w:szCs w:val="18"/>
              </w:rPr>
            </w:pPr>
            <w:r w:rsidRPr="009F1411">
              <w:rPr>
                <w:sz w:val="18"/>
                <w:szCs w:val="18"/>
              </w:rPr>
              <w:t>Comparators</w:t>
            </w:r>
          </w:p>
        </w:tc>
        <w:tc>
          <w:tcPr>
            <w:tcW w:w="0" w:type="auto"/>
            <w:hideMark/>
          </w:tcPr>
          <w:p w14:paraId="03DEB039" w14:textId="77777777" w:rsidR="009F1411" w:rsidRPr="009F1411" w:rsidRDefault="009F1411">
            <w:pPr>
              <w:rPr>
                <w:sz w:val="18"/>
                <w:szCs w:val="18"/>
              </w:rPr>
            </w:pPr>
            <w:r w:rsidRPr="009F1411">
              <w:rPr>
                <w:sz w:val="18"/>
                <w:szCs w:val="18"/>
              </w:rPr>
              <w:t>7</w:t>
            </w:r>
          </w:p>
        </w:tc>
        <w:tc>
          <w:tcPr>
            <w:tcW w:w="3033" w:type="dxa"/>
            <w:hideMark/>
          </w:tcPr>
          <w:p w14:paraId="111B1BAE" w14:textId="77777777" w:rsidR="009F1411" w:rsidRPr="009F1411" w:rsidRDefault="009F1411">
            <w:pPr>
              <w:rPr>
                <w:sz w:val="18"/>
                <w:szCs w:val="18"/>
              </w:rPr>
            </w:pPr>
            <w:r w:rsidRPr="009F1411">
              <w:rPr>
                <w:sz w:val="18"/>
                <w:szCs w:val="18"/>
              </w:rPr>
              <w:t>Describe the interventions or strategies being compared and why chosen.</w:t>
            </w:r>
          </w:p>
        </w:tc>
        <w:tc>
          <w:tcPr>
            <w:tcW w:w="3505" w:type="dxa"/>
            <w:hideMark/>
          </w:tcPr>
          <w:p w14:paraId="580192B0" w14:textId="080C3D0A" w:rsidR="009F1411" w:rsidRPr="009F1411" w:rsidRDefault="00322DE8">
            <w:pPr>
              <w:rPr>
                <w:sz w:val="18"/>
                <w:szCs w:val="18"/>
              </w:rPr>
            </w:pPr>
            <w:r w:rsidRPr="00322DE8">
              <w:rPr>
                <w:sz w:val="18"/>
                <w:szCs w:val="18"/>
              </w:rPr>
              <w:t>Not applicable. This was a burden-of-disease and cost-of-illness study rather than a comparative economic evaluation.</w:t>
            </w:r>
          </w:p>
        </w:tc>
      </w:tr>
      <w:tr w:rsidR="009F1411" w:rsidRPr="009F1411" w14:paraId="56CBA041" w14:textId="77777777" w:rsidTr="005D5A94">
        <w:tc>
          <w:tcPr>
            <w:tcW w:w="0" w:type="auto"/>
            <w:hideMark/>
          </w:tcPr>
          <w:p w14:paraId="7DE5786E" w14:textId="77777777" w:rsidR="009F1411" w:rsidRPr="009F1411" w:rsidRDefault="009F1411">
            <w:pPr>
              <w:rPr>
                <w:sz w:val="18"/>
                <w:szCs w:val="18"/>
              </w:rPr>
            </w:pPr>
            <w:r w:rsidRPr="009F1411">
              <w:rPr>
                <w:sz w:val="18"/>
                <w:szCs w:val="18"/>
              </w:rPr>
              <w:t>Perspective</w:t>
            </w:r>
          </w:p>
        </w:tc>
        <w:tc>
          <w:tcPr>
            <w:tcW w:w="0" w:type="auto"/>
            <w:hideMark/>
          </w:tcPr>
          <w:p w14:paraId="674A1FED" w14:textId="77777777" w:rsidR="009F1411" w:rsidRPr="009F1411" w:rsidRDefault="009F1411">
            <w:pPr>
              <w:rPr>
                <w:sz w:val="18"/>
                <w:szCs w:val="18"/>
              </w:rPr>
            </w:pPr>
            <w:r w:rsidRPr="009F1411">
              <w:rPr>
                <w:sz w:val="18"/>
                <w:szCs w:val="18"/>
              </w:rPr>
              <w:t>8</w:t>
            </w:r>
          </w:p>
        </w:tc>
        <w:tc>
          <w:tcPr>
            <w:tcW w:w="3033" w:type="dxa"/>
            <w:hideMark/>
          </w:tcPr>
          <w:p w14:paraId="21B7ACA1" w14:textId="77777777" w:rsidR="009F1411" w:rsidRPr="009F1411" w:rsidRDefault="009F1411">
            <w:pPr>
              <w:rPr>
                <w:sz w:val="18"/>
                <w:szCs w:val="18"/>
              </w:rPr>
            </w:pPr>
            <w:r w:rsidRPr="009F1411">
              <w:rPr>
                <w:sz w:val="18"/>
                <w:szCs w:val="18"/>
              </w:rPr>
              <w:t>State the perspective(s) adopted by the study and why chosen.</w:t>
            </w:r>
          </w:p>
        </w:tc>
        <w:tc>
          <w:tcPr>
            <w:tcW w:w="3505" w:type="dxa"/>
            <w:hideMark/>
          </w:tcPr>
          <w:p w14:paraId="1E6654B0" w14:textId="1568C74D" w:rsidR="009F1411" w:rsidRPr="009F1411" w:rsidRDefault="00322DE8">
            <w:pPr>
              <w:rPr>
                <w:sz w:val="18"/>
                <w:szCs w:val="18"/>
              </w:rPr>
            </w:pPr>
            <w:r w:rsidRPr="00322DE8">
              <w:rPr>
                <w:sz w:val="18"/>
                <w:szCs w:val="18"/>
              </w:rPr>
              <w:t>Online Methods (Cost of Illness Analysis).</w:t>
            </w:r>
          </w:p>
        </w:tc>
      </w:tr>
      <w:tr w:rsidR="009F1411" w:rsidRPr="009F1411" w14:paraId="6E37D118" w14:textId="77777777" w:rsidTr="005D5A94">
        <w:tc>
          <w:tcPr>
            <w:tcW w:w="0" w:type="auto"/>
            <w:hideMark/>
          </w:tcPr>
          <w:p w14:paraId="5CCFBFEB" w14:textId="77777777" w:rsidR="009F1411" w:rsidRPr="009F1411" w:rsidRDefault="009F1411">
            <w:pPr>
              <w:rPr>
                <w:sz w:val="18"/>
                <w:szCs w:val="18"/>
              </w:rPr>
            </w:pPr>
            <w:r w:rsidRPr="009F1411">
              <w:rPr>
                <w:sz w:val="18"/>
                <w:szCs w:val="18"/>
              </w:rPr>
              <w:t>Time horizon</w:t>
            </w:r>
          </w:p>
        </w:tc>
        <w:tc>
          <w:tcPr>
            <w:tcW w:w="0" w:type="auto"/>
            <w:hideMark/>
          </w:tcPr>
          <w:p w14:paraId="29028033" w14:textId="77777777" w:rsidR="009F1411" w:rsidRPr="009F1411" w:rsidRDefault="009F1411">
            <w:pPr>
              <w:rPr>
                <w:sz w:val="18"/>
                <w:szCs w:val="18"/>
              </w:rPr>
            </w:pPr>
            <w:r w:rsidRPr="009F1411">
              <w:rPr>
                <w:sz w:val="18"/>
                <w:szCs w:val="18"/>
              </w:rPr>
              <w:t>9</w:t>
            </w:r>
          </w:p>
        </w:tc>
        <w:tc>
          <w:tcPr>
            <w:tcW w:w="3033" w:type="dxa"/>
            <w:hideMark/>
          </w:tcPr>
          <w:p w14:paraId="5FFCF898" w14:textId="77777777" w:rsidR="009F1411" w:rsidRPr="009F1411" w:rsidRDefault="009F1411">
            <w:pPr>
              <w:rPr>
                <w:sz w:val="18"/>
                <w:szCs w:val="18"/>
              </w:rPr>
            </w:pPr>
            <w:r w:rsidRPr="009F1411">
              <w:rPr>
                <w:sz w:val="18"/>
                <w:szCs w:val="18"/>
              </w:rPr>
              <w:t>State the time horizon for the study and why appropriate.</w:t>
            </w:r>
          </w:p>
        </w:tc>
        <w:tc>
          <w:tcPr>
            <w:tcW w:w="3505" w:type="dxa"/>
            <w:hideMark/>
          </w:tcPr>
          <w:p w14:paraId="06D9D7C8" w14:textId="21E4F0FF" w:rsidR="009F1411" w:rsidRPr="009F1411" w:rsidRDefault="00322DE8">
            <w:pPr>
              <w:rPr>
                <w:sz w:val="18"/>
                <w:szCs w:val="18"/>
              </w:rPr>
            </w:pPr>
            <w:r w:rsidRPr="00322DE8">
              <w:rPr>
                <w:sz w:val="18"/>
                <w:szCs w:val="18"/>
              </w:rPr>
              <w:t>Methods (Study period and Cost of Illness Analysis).</w:t>
            </w:r>
          </w:p>
        </w:tc>
      </w:tr>
      <w:tr w:rsidR="009F1411" w:rsidRPr="009F1411" w14:paraId="670BC421" w14:textId="77777777" w:rsidTr="005D5A94">
        <w:tc>
          <w:tcPr>
            <w:tcW w:w="0" w:type="auto"/>
            <w:hideMark/>
          </w:tcPr>
          <w:p w14:paraId="6E5D83D2" w14:textId="77777777" w:rsidR="009F1411" w:rsidRPr="009F1411" w:rsidRDefault="009F1411">
            <w:pPr>
              <w:rPr>
                <w:sz w:val="18"/>
                <w:szCs w:val="18"/>
              </w:rPr>
            </w:pPr>
            <w:r w:rsidRPr="009F1411">
              <w:rPr>
                <w:sz w:val="18"/>
                <w:szCs w:val="18"/>
              </w:rPr>
              <w:t>Discount rate</w:t>
            </w:r>
          </w:p>
        </w:tc>
        <w:tc>
          <w:tcPr>
            <w:tcW w:w="0" w:type="auto"/>
            <w:hideMark/>
          </w:tcPr>
          <w:p w14:paraId="1497041B" w14:textId="77777777" w:rsidR="009F1411" w:rsidRPr="009F1411" w:rsidRDefault="009F1411">
            <w:pPr>
              <w:rPr>
                <w:sz w:val="18"/>
                <w:szCs w:val="18"/>
              </w:rPr>
            </w:pPr>
            <w:r w:rsidRPr="009F1411">
              <w:rPr>
                <w:sz w:val="18"/>
                <w:szCs w:val="18"/>
              </w:rPr>
              <w:t>10</w:t>
            </w:r>
          </w:p>
        </w:tc>
        <w:tc>
          <w:tcPr>
            <w:tcW w:w="3033" w:type="dxa"/>
            <w:hideMark/>
          </w:tcPr>
          <w:p w14:paraId="00853A2F" w14:textId="77777777" w:rsidR="009F1411" w:rsidRPr="009F1411" w:rsidRDefault="009F1411">
            <w:pPr>
              <w:rPr>
                <w:sz w:val="18"/>
                <w:szCs w:val="18"/>
              </w:rPr>
            </w:pPr>
            <w:r w:rsidRPr="009F1411">
              <w:rPr>
                <w:sz w:val="18"/>
                <w:szCs w:val="18"/>
              </w:rPr>
              <w:t>Report the discount rate(s) and reason chosen.</w:t>
            </w:r>
          </w:p>
        </w:tc>
        <w:tc>
          <w:tcPr>
            <w:tcW w:w="3505" w:type="dxa"/>
            <w:hideMark/>
          </w:tcPr>
          <w:p w14:paraId="1215BD4C" w14:textId="462451ED" w:rsidR="009F1411" w:rsidRPr="009F1411" w:rsidRDefault="00322DE8">
            <w:pPr>
              <w:rPr>
                <w:sz w:val="18"/>
                <w:szCs w:val="18"/>
              </w:rPr>
            </w:pPr>
            <w:r w:rsidRPr="00322DE8">
              <w:rPr>
                <w:sz w:val="18"/>
                <w:szCs w:val="18"/>
              </w:rPr>
              <w:t>Online Methods (DALY estimation and mortality valuation).</w:t>
            </w:r>
          </w:p>
        </w:tc>
      </w:tr>
      <w:tr w:rsidR="009F1411" w:rsidRPr="009F1411" w14:paraId="09EA5991" w14:textId="77777777" w:rsidTr="005D5A94">
        <w:tc>
          <w:tcPr>
            <w:tcW w:w="0" w:type="auto"/>
            <w:hideMark/>
          </w:tcPr>
          <w:p w14:paraId="4970222F" w14:textId="77777777" w:rsidR="009F1411" w:rsidRPr="009F1411" w:rsidRDefault="009F1411">
            <w:pPr>
              <w:rPr>
                <w:sz w:val="18"/>
                <w:szCs w:val="18"/>
              </w:rPr>
            </w:pPr>
            <w:r w:rsidRPr="009F1411">
              <w:rPr>
                <w:sz w:val="18"/>
                <w:szCs w:val="18"/>
              </w:rPr>
              <w:t>Selection of outcomes</w:t>
            </w:r>
          </w:p>
        </w:tc>
        <w:tc>
          <w:tcPr>
            <w:tcW w:w="0" w:type="auto"/>
            <w:hideMark/>
          </w:tcPr>
          <w:p w14:paraId="6DDC2E6D" w14:textId="77777777" w:rsidR="009F1411" w:rsidRPr="009F1411" w:rsidRDefault="009F1411">
            <w:pPr>
              <w:rPr>
                <w:sz w:val="18"/>
                <w:szCs w:val="18"/>
              </w:rPr>
            </w:pPr>
            <w:r w:rsidRPr="009F1411">
              <w:rPr>
                <w:sz w:val="18"/>
                <w:szCs w:val="18"/>
              </w:rPr>
              <w:t>11</w:t>
            </w:r>
          </w:p>
        </w:tc>
        <w:tc>
          <w:tcPr>
            <w:tcW w:w="3033" w:type="dxa"/>
            <w:hideMark/>
          </w:tcPr>
          <w:p w14:paraId="32EE0522" w14:textId="77777777" w:rsidR="009F1411" w:rsidRPr="009F1411" w:rsidRDefault="009F1411">
            <w:pPr>
              <w:rPr>
                <w:sz w:val="18"/>
                <w:szCs w:val="18"/>
              </w:rPr>
            </w:pPr>
            <w:r w:rsidRPr="009F1411">
              <w:rPr>
                <w:sz w:val="18"/>
                <w:szCs w:val="18"/>
              </w:rPr>
              <w:t>Describe what outcomes were used as the measure(s) of benefit(s) and harm(s).</w:t>
            </w:r>
          </w:p>
        </w:tc>
        <w:tc>
          <w:tcPr>
            <w:tcW w:w="3505" w:type="dxa"/>
            <w:hideMark/>
          </w:tcPr>
          <w:p w14:paraId="7047B4A7" w14:textId="3B00ED94" w:rsidR="009F1411" w:rsidRPr="009F1411" w:rsidRDefault="00322DE8">
            <w:pPr>
              <w:rPr>
                <w:sz w:val="18"/>
                <w:szCs w:val="18"/>
              </w:rPr>
            </w:pPr>
            <w:r w:rsidRPr="00322DE8">
              <w:rPr>
                <w:sz w:val="18"/>
                <w:szCs w:val="18"/>
              </w:rPr>
              <w:t>Methods (Epidemiological modelling and Cost of Illness Analysis).</w:t>
            </w:r>
          </w:p>
        </w:tc>
      </w:tr>
      <w:tr w:rsidR="009F1411" w:rsidRPr="009F1411" w14:paraId="20284A11" w14:textId="77777777" w:rsidTr="005D5A94">
        <w:tc>
          <w:tcPr>
            <w:tcW w:w="0" w:type="auto"/>
            <w:hideMark/>
          </w:tcPr>
          <w:p w14:paraId="7E7ABC8E" w14:textId="77777777" w:rsidR="009F1411" w:rsidRPr="009F1411" w:rsidRDefault="009F1411">
            <w:pPr>
              <w:rPr>
                <w:sz w:val="18"/>
                <w:szCs w:val="18"/>
              </w:rPr>
            </w:pPr>
            <w:r w:rsidRPr="009F1411">
              <w:rPr>
                <w:sz w:val="18"/>
                <w:szCs w:val="18"/>
              </w:rPr>
              <w:t>Measurement of outcomes</w:t>
            </w:r>
          </w:p>
        </w:tc>
        <w:tc>
          <w:tcPr>
            <w:tcW w:w="0" w:type="auto"/>
            <w:hideMark/>
          </w:tcPr>
          <w:p w14:paraId="45A08C38" w14:textId="77777777" w:rsidR="009F1411" w:rsidRPr="009F1411" w:rsidRDefault="009F1411">
            <w:pPr>
              <w:rPr>
                <w:sz w:val="18"/>
                <w:szCs w:val="18"/>
              </w:rPr>
            </w:pPr>
            <w:r w:rsidRPr="009F1411">
              <w:rPr>
                <w:sz w:val="18"/>
                <w:szCs w:val="18"/>
              </w:rPr>
              <w:t>12</w:t>
            </w:r>
          </w:p>
        </w:tc>
        <w:tc>
          <w:tcPr>
            <w:tcW w:w="3033" w:type="dxa"/>
            <w:hideMark/>
          </w:tcPr>
          <w:p w14:paraId="3B302B1E" w14:textId="77777777" w:rsidR="009F1411" w:rsidRPr="009F1411" w:rsidRDefault="009F1411">
            <w:pPr>
              <w:rPr>
                <w:sz w:val="18"/>
                <w:szCs w:val="18"/>
              </w:rPr>
            </w:pPr>
            <w:r w:rsidRPr="009F1411">
              <w:rPr>
                <w:sz w:val="18"/>
                <w:szCs w:val="18"/>
              </w:rPr>
              <w:t>Describe how outcomes used to capture benefit(s) and harm(s) were measured.</w:t>
            </w:r>
          </w:p>
        </w:tc>
        <w:tc>
          <w:tcPr>
            <w:tcW w:w="3505" w:type="dxa"/>
            <w:hideMark/>
          </w:tcPr>
          <w:p w14:paraId="41F2F185" w14:textId="30E64B95" w:rsidR="009F1411" w:rsidRPr="009F1411" w:rsidRDefault="00322DE8">
            <w:pPr>
              <w:rPr>
                <w:sz w:val="18"/>
                <w:szCs w:val="18"/>
              </w:rPr>
            </w:pPr>
            <w:r w:rsidRPr="00322DE8">
              <w:rPr>
                <w:sz w:val="18"/>
                <w:szCs w:val="18"/>
              </w:rPr>
              <w:t>Methods (DLNM modelling, attributable risk estimation and Cost of Illness Analysis).</w:t>
            </w:r>
          </w:p>
        </w:tc>
      </w:tr>
      <w:tr w:rsidR="009F1411" w:rsidRPr="009F1411" w14:paraId="6F4D7CE1" w14:textId="77777777" w:rsidTr="005D5A94">
        <w:tc>
          <w:tcPr>
            <w:tcW w:w="0" w:type="auto"/>
            <w:hideMark/>
          </w:tcPr>
          <w:p w14:paraId="44AE4458" w14:textId="77777777" w:rsidR="009F1411" w:rsidRPr="009F1411" w:rsidRDefault="009F1411">
            <w:pPr>
              <w:rPr>
                <w:sz w:val="18"/>
                <w:szCs w:val="18"/>
              </w:rPr>
            </w:pPr>
            <w:r w:rsidRPr="009F1411">
              <w:rPr>
                <w:sz w:val="18"/>
                <w:szCs w:val="18"/>
              </w:rPr>
              <w:t>Valuation of outcomes</w:t>
            </w:r>
          </w:p>
        </w:tc>
        <w:tc>
          <w:tcPr>
            <w:tcW w:w="0" w:type="auto"/>
            <w:hideMark/>
          </w:tcPr>
          <w:p w14:paraId="6C80B976" w14:textId="77777777" w:rsidR="009F1411" w:rsidRPr="009F1411" w:rsidRDefault="009F1411">
            <w:pPr>
              <w:rPr>
                <w:sz w:val="18"/>
                <w:szCs w:val="18"/>
              </w:rPr>
            </w:pPr>
            <w:r w:rsidRPr="009F1411">
              <w:rPr>
                <w:sz w:val="18"/>
                <w:szCs w:val="18"/>
              </w:rPr>
              <w:t>13</w:t>
            </w:r>
          </w:p>
        </w:tc>
        <w:tc>
          <w:tcPr>
            <w:tcW w:w="3033" w:type="dxa"/>
            <w:hideMark/>
          </w:tcPr>
          <w:p w14:paraId="2157C760" w14:textId="77777777" w:rsidR="009F1411" w:rsidRPr="009F1411" w:rsidRDefault="009F1411">
            <w:pPr>
              <w:rPr>
                <w:sz w:val="18"/>
                <w:szCs w:val="18"/>
              </w:rPr>
            </w:pPr>
            <w:r w:rsidRPr="009F1411">
              <w:rPr>
                <w:sz w:val="18"/>
                <w:szCs w:val="18"/>
              </w:rPr>
              <w:t>Describe the population and methods used to measure and value outcomes.</w:t>
            </w:r>
          </w:p>
        </w:tc>
        <w:tc>
          <w:tcPr>
            <w:tcW w:w="3505" w:type="dxa"/>
            <w:hideMark/>
          </w:tcPr>
          <w:p w14:paraId="3F8869BE" w14:textId="14861F8D" w:rsidR="009F1411" w:rsidRPr="009F1411" w:rsidRDefault="00322DE8">
            <w:pPr>
              <w:rPr>
                <w:sz w:val="18"/>
                <w:szCs w:val="18"/>
              </w:rPr>
            </w:pPr>
            <w:r w:rsidRPr="00322DE8">
              <w:rPr>
                <w:sz w:val="18"/>
                <w:szCs w:val="18"/>
              </w:rPr>
              <w:t>Online Methods (DALY estimation and economic valuation); Supplementary Methods.</w:t>
            </w:r>
          </w:p>
        </w:tc>
      </w:tr>
      <w:tr w:rsidR="009F1411" w:rsidRPr="009F1411" w14:paraId="57600B89" w14:textId="77777777" w:rsidTr="005D5A94">
        <w:tc>
          <w:tcPr>
            <w:tcW w:w="0" w:type="auto"/>
            <w:hideMark/>
          </w:tcPr>
          <w:p w14:paraId="0ABCC24C" w14:textId="77777777" w:rsidR="009F1411" w:rsidRPr="009F1411" w:rsidRDefault="009F1411">
            <w:pPr>
              <w:rPr>
                <w:sz w:val="18"/>
                <w:szCs w:val="18"/>
              </w:rPr>
            </w:pPr>
            <w:r w:rsidRPr="009F1411">
              <w:rPr>
                <w:sz w:val="18"/>
                <w:szCs w:val="18"/>
              </w:rPr>
              <w:t>Measurement and valuation of resources and costs</w:t>
            </w:r>
          </w:p>
        </w:tc>
        <w:tc>
          <w:tcPr>
            <w:tcW w:w="0" w:type="auto"/>
            <w:hideMark/>
          </w:tcPr>
          <w:p w14:paraId="06768926" w14:textId="77777777" w:rsidR="009F1411" w:rsidRPr="009F1411" w:rsidRDefault="009F1411">
            <w:pPr>
              <w:rPr>
                <w:sz w:val="18"/>
                <w:szCs w:val="18"/>
              </w:rPr>
            </w:pPr>
            <w:r w:rsidRPr="009F1411">
              <w:rPr>
                <w:sz w:val="18"/>
                <w:szCs w:val="18"/>
              </w:rPr>
              <w:t>14</w:t>
            </w:r>
          </w:p>
        </w:tc>
        <w:tc>
          <w:tcPr>
            <w:tcW w:w="3033" w:type="dxa"/>
            <w:hideMark/>
          </w:tcPr>
          <w:p w14:paraId="0C781860" w14:textId="77777777" w:rsidR="009F1411" w:rsidRPr="009F1411" w:rsidRDefault="009F1411">
            <w:pPr>
              <w:rPr>
                <w:sz w:val="18"/>
                <w:szCs w:val="18"/>
              </w:rPr>
            </w:pPr>
            <w:r w:rsidRPr="009F1411">
              <w:rPr>
                <w:sz w:val="18"/>
                <w:szCs w:val="18"/>
              </w:rPr>
              <w:t>Describe how costs were valued.</w:t>
            </w:r>
          </w:p>
        </w:tc>
        <w:tc>
          <w:tcPr>
            <w:tcW w:w="3505" w:type="dxa"/>
            <w:hideMark/>
          </w:tcPr>
          <w:p w14:paraId="764BDCBC" w14:textId="12200688" w:rsidR="009F1411" w:rsidRPr="009F1411" w:rsidRDefault="00322DE8">
            <w:pPr>
              <w:rPr>
                <w:sz w:val="18"/>
                <w:szCs w:val="18"/>
              </w:rPr>
            </w:pPr>
            <w:r w:rsidRPr="00322DE8">
              <w:rPr>
                <w:sz w:val="18"/>
                <w:szCs w:val="18"/>
              </w:rPr>
              <w:t>Online Methods (Cost of Illness Analysis); Supplementary Table S5</w:t>
            </w:r>
          </w:p>
        </w:tc>
      </w:tr>
      <w:tr w:rsidR="009F1411" w:rsidRPr="009F1411" w14:paraId="0D356CB2" w14:textId="77777777" w:rsidTr="005D5A94">
        <w:tc>
          <w:tcPr>
            <w:tcW w:w="0" w:type="auto"/>
            <w:hideMark/>
          </w:tcPr>
          <w:p w14:paraId="1AA76E8C" w14:textId="77777777" w:rsidR="009F1411" w:rsidRPr="009F1411" w:rsidRDefault="009F1411">
            <w:pPr>
              <w:rPr>
                <w:sz w:val="18"/>
                <w:szCs w:val="18"/>
              </w:rPr>
            </w:pPr>
            <w:r w:rsidRPr="009F1411">
              <w:rPr>
                <w:sz w:val="18"/>
                <w:szCs w:val="18"/>
              </w:rPr>
              <w:t>Currency, price date, and conversion</w:t>
            </w:r>
          </w:p>
        </w:tc>
        <w:tc>
          <w:tcPr>
            <w:tcW w:w="0" w:type="auto"/>
            <w:hideMark/>
          </w:tcPr>
          <w:p w14:paraId="2448BA4B" w14:textId="77777777" w:rsidR="009F1411" w:rsidRPr="009F1411" w:rsidRDefault="009F1411">
            <w:pPr>
              <w:rPr>
                <w:sz w:val="18"/>
                <w:szCs w:val="18"/>
              </w:rPr>
            </w:pPr>
            <w:r w:rsidRPr="009F1411">
              <w:rPr>
                <w:sz w:val="18"/>
                <w:szCs w:val="18"/>
              </w:rPr>
              <w:t>15</w:t>
            </w:r>
          </w:p>
        </w:tc>
        <w:tc>
          <w:tcPr>
            <w:tcW w:w="3033" w:type="dxa"/>
            <w:hideMark/>
          </w:tcPr>
          <w:p w14:paraId="151F8306" w14:textId="77777777" w:rsidR="009F1411" w:rsidRPr="009F1411" w:rsidRDefault="009F1411">
            <w:pPr>
              <w:rPr>
                <w:sz w:val="18"/>
                <w:szCs w:val="18"/>
              </w:rPr>
            </w:pPr>
            <w:r w:rsidRPr="009F1411">
              <w:rPr>
                <w:sz w:val="18"/>
                <w:szCs w:val="18"/>
              </w:rPr>
              <w:t>Report the dates of the estimated resource quantities and unit costs, plus the currency and year of conversion.</w:t>
            </w:r>
          </w:p>
        </w:tc>
        <w:tc>
          <w:tcPr>
            <w:tcW w:w="3505" w:type="dxa"/>
            <w:hideMark/>
          </w:tcPr>
          <w:p w14:paraId="74F2445C" w14:textId="3563536E" w:rsidR="009F1411" w:rsidRPr="009F1411" w:rsidRDefault="00322DE8">
            <w:pPr>
              <w:rPr>
                <w:sz w:val="18"/>
                <w:szCs w:val="18"/>
              </w:rPr>
            </w:pPr>
            <w:r w:rsidRPr="00322DE8">
              <w:rPr>
                <w:sz w:val="18"/>
                <w:szCs w:val="18"/>
              </w:rPr>
              <w:t>Online Methods (Cost of Illness Analysis).</w:t>
            </w:r>
          </w:p>
        </w:tc>
      </w:tr>
      <w:tr w:rsidR="009F1411" w:rsidRPr="009F1411" w14:paraId="7F3C88A4" w14:textId="77777777" w:rsidTr="005D5A94">
        <w:tc>
          <w:tcPr>
            <w:tcW w:w="0" w:type="auto"/>
            <w:hideMark/>
          </w:tcPr>
          <w:p w14:paraId="55979219" w14:textId="77777777" w:rsidR="009F1411" w:rsidRPr="009F1411" w:rsidRDefault="009F1411">
            <w:pPr>
              <w:rPr>
                <w:sz w:val="18"/>
                <w:szCs w:val="18"/>
              </w:rPr>
            </w:pPr>
            <w:r w:rsidRPr="009F1411">
              <w:rPr>
                <w:sz w:val="18"/>
                <w:szCs w:val="18"/>
              </w:rPr>
              <w:t>Rationale and description of model</w:t>
            </w:r>
          </w:p>
        </w:tc>
        <w:tc>
          <w:tcPr>
            <w:tcW w:w="0" w:type="auto"/>
            <w:hideMark/>
          </w:tcPr>
          <w:p w14:paraId="32CCB415" w14:textId="77777777" w:rsidR="009F1411" w:rsidRPr="009F1411" w:rsidRDefault="009F1411">
            <w:pPr>
              <w:rPr>
                <w:sz w:val="18"/>
                <w:szCs w:val="18"/>
              </w:rPr>
            </w:pPr>
            <w:r w:rsidRPr="009F1411">
              <w:rPr>
                <w:sz w:val="18"/>
                <w:szCs w:val="18"/>
              </w:rPr>
              <w:t>16</w:t>
            </w:r>
          </w:p>
        </w:tc>
        <w:tc>
          <w:tcPr>
            <w:tcW w:w="3033" w:type="dxa"/>
            <w:hideMark/>
          </w:tcPr>
          <w:p w14:paraId="72254BCA" w14:textId="77777777" w:rsidR="009F1411" w:rsidRPr="009F1411" w:rsidRDefault="009F1411">
            <w:pPr>
              <w:rPr>
                <w:sz w:val="18"/>
                <w:szCs w:val="18"/>
              </w:rPr>
            </w:pPr>
            <w:r w:rsidRPr="009F1411">
              <w:rPr>
                <w:sz w:val="18"/>
                <w:szCs w:val="18"/>
              </w:rPr>
              <w:t>If modelling is used, describe in detail and why used. Report if the model is publicly available and where it can be accessed.</w:t>
            </w:r>
          </w:p>
        </w:tc>
        <w:tc>
          <w:tcPr>
            <w:tcW w:w="3505" w:type="dxa"/>
            <w:hideMark/>
          </w:tcPr>
          <w:p w14:paraId="1BD96D23" w14:textId="170207B0" w:rsidR="009F1411" w:rsidRPr="009F1411" w:rsidRDefault="00322DE8">
            <w:pPr>
              <w:rPr>
                <w:sz w:val="18"/>
                <w:szCs w:val="18"/>
              </w:rPr>
            </w:pPr>
            <w:r w:rsidRPr="00322DE8">
              <w:rPr>
                <w:sz w:val="18"/>
                <w:szCs w:val="18"/>
              </w:rPr>
              <w:t>Methods (Two-stage DLNM framework, multivariate meta-analysis, hierarchical attribution framework and Monte Carlo simulation); code availability statement.</w:t>
            </w:r>
          </w:p>
        </w:tc>
      </w:tr>
      <w:tr w:rsidR="009F1411" w:rsidRPr="009F1411" w14:paraId="0D59EA8D" w14:textId="77777777" w:rsidTr="005D5A94">
        <w:tc>
          <w:tcPr>
            <w:tcW w:w="0" w:type="auto"/>
            <w:hideMark/>
          </w:tcPr>
          <w:p w14:paraId="5052ECDE" w14:textId="77777777" w:rsidR="009F1411" w:rsidRPr="009F1411" w:rsidRDefault="009F1411">
            <w:pPr>
              <w:rPr>
                <w:sz w:val="18"/>
                <w:szCs w:val="18"/>
              </w:rPr>
            </w:pPr>
            <w:r w:rsidRPr="009F1411">
              <w:rPr>
                <w:sz w:val="18"/>
                <w:szCs w:val="18"/>
              </w:rPr>
              <w:t>Analytics and assumptions</w:t>
            </w:r>
          </w:p>
        </w:tc>
        <w:tc>
          <w:tcPr>
            <w:tcW w:w="0" w:type="auto"/>
            <w:hideMark/>
          </w:tcPr>
          <w:p w14:paraId="1855F311" w14:textId="77777777" w:rsidR="009F1411" w:rsidRPr="009F1411" w:rsidRDefault="009F1411">
            <w:pPr>
              <w:rPr>
                <w:sz w:val="18"/>
                <w:szCs w:val="18"/>
              </w:rPr>
            </w:pPr>
            <w:r w:rsidRPr="009F1411">
              <w:rPr>
                <w:sz w:val="18"/>
                <w:szCs w:val="18"/>
              </w:rPr>
              <w:t>17</w:t>
            </w:r>
          </w:p>
        </w:tc>
        <w:tc>
          <w:tcPr>
            <w:tcW w:w="3033" w:type="dxa"/>
            <w:hideMark/>
          </w:tcPr>
          <w:p w14:paraId="345A94AA" w14:textId="77777777" w:rsidR="009F1411" w:rsidRPr="009F1411" w:rsidRDefault="009F1411">
            <w:pPr>
              <w:rPr>
                <w:sz w:val="18"/>
                <w:szCs w:val="18"/>
              </w:rPr>
            </w:pPr>
            <w:r w:rsidRPr="009F1411">
              <w:rPr>
                <w:sz w:val="18"/>
                <w:szCs w:val="18"/>
              </w:rPr>
              <w:t xml:space="preserve">Describe any methods for </w:t>
            </w:r>
            <w:proofErr w:type="spellStart"/>
            <w:r w:rsidRPr="009F1411">
              <w:rPr>
                <w:sz w:val="18"/>
                <w:szCs w:val="18"/>
              </w:rPr>
              <w:t>analysing</w:t>
            </w:r>
            <w:proofErr w:type="spellEnd"/>
            <w:r w:rsidRPr="009F1411">
              <w:rPr>
                <w:sz w:val="18"/>
                <w:szCs w:val="18"/>
              </w:rPr>
              <w:t xml:space="preserve"> or statistically transforming data, any extrapolation methods, and approaches for validating any model used.</w:t>
            </w:r>
          </w:p>
        </w:tc>
        <w:tc>
          <w:tcPr>
            <w:tcW w:w="3505" w:type="dxa"/>
            <w:hideMark/>
          </w:tcPr>
          <w:p w14:paraId="12060E29" w14:textId="4DF6562A" w:rsidR="009F1411" w:rsidRPr="009F1411" w:rsidRDefault="00322DE8">
            <w:pPr>
              <w:rPr>
                <w:sz w:val="18"/>
                <w:szCs w:val="18"/>
              </w:rPr>
            </w:pPr>
            <w:r w:rsidRPr="00322DE8">
              <w:rPr>
                <w:sz w:val="18"/>
                <w:szCs w:val="18"/>
              </w:rPr>
              <w:t>Methods (Statistical Analysis); Online Methods; Supplementary Methods.</w:t>
            </w:r>
          </w:p>
        </w:tc>
      </w:tr>
      <w:tr w:rsidR="009F1411" w:rsidRPr="009F1411" w14:paraId="7BE0F298" w14:textId="77777777" w:rsidTr="005D5A94">
        <w:tc>
          <w:tcPr>
            <w:tcW w:w="0" w:type="auto"/>
            <w:hideMark/>
          </w:tcPr>
          <w:p w14:paraId="4D87EAC7" w14:textId="77777777" w:rsidR="009F1411" w:rsidRPr="009F1411" w:rsidRDefault="009F1411">
            <w:pPr>
              <w:rPr>
                <w:sz w:val="18"/>
                <w:szCs w:val="18"/>
              </w:rPr>
            </w:pPr>
            <w:r w:rsidRPr="009F1411">
              <w:rPr>
                <w:sz w:val="18"/>
                <w:szCs w:val="18"/>
              </w:rPr>
              <w:t>Characterizing heterogeneity</w:t>
            </w:r>
          </w:p>
        </w:tc>
        <w:tc>
          <w:tcPr>
            <w:tcW w:w="0" w:type="auto"/>
            <w:hideMark/>
          </w:tcPr>
          <w:p w14:paraId="7246C009" w14:textId="77777777" w:rsidR="009F1411" w:rsidRPr="009F1411" w:rsidRDefault="009F1411">
            <w:pPr>
              <w:rPr>
                <w:sz w:val="18"/>
                <w:szCs w:val="18"/>
              </w:rPr>
            </w:pPr>
            <w:r w:rsidRPr="009F1411">
              <w:rPr>
                <w:sz w:val="18"/>
                <w:szCs w:val="18"/>
              </w:rPr>
              <w:t>18</w:t>
            </w:r>
          </w:p>
        </w:tc>
        <w:tc>
          <w:tcPr>
            <w:tcW w:w="3033" w:type="dxa"/>
            <w:hideMark/>
          </w:tcPr>
          <w:p w14:paraId="1F42211E" w14:textId="77777777" w:rsidR="009F1411" w:rsidRPr="009F1411" w:rsidRDefault="009F1411">
            <w:pPr>
              <w:rPr>
                <w:sz w:val="18"/>
                <w:szCs w:val="18"/>
              </w:rPr>
            </w:pPr>
            <w:r w:rsidRPr="009F1411">
              <w:rPr>
                <w:sz w:val="18"/>
                <w:szCs w:val="18"/>
              </w:rPr>
              <w:t>Describe any methods used for estimating how the results of the study vary for subgroups.</w:t>
            </w:r>
          </w:p>
        </w:tc>
        <w:tc>
          <w:tcPr>
            <w:tcW w:w="3505" w:type="dxa"/>
            <w:hideMark/>
          </w:tcPr>
          <w:p w14:paraId="46FD3B83" w14:textId="0F83743A" w:rsidR="009F1411" w:rsidRPr="009F1411" w:rsidRDefault="00322DE8">
            <w:pPr>
              <w:rPr>
                <w:sz w:val="18"/>
                <w:szCs w:val="18"/>
              </w:rPr>
            </w:pPr>
            <w:r w:rsidRPr="00322DE8">
              <w:rPr>
                <w:sz w:val="18"/>
                <w:szCs w:val="18"/>
              </w:rPr>
              <w:t>Methods (District-level DLNM, multivariate meta-analysis and meta-regression using climate zone and urbanization moderators).</w:t>
            </w:r>
          </w:p>
        </w:tc>
      </w:tr>
      <w:tr w:rsidR="009F1411" w:rsidRPr="009F1411" w14:paraId="429EFBBC" w14:textId="77777777" w:rsidTr="005D5A94">
        <w:tc>
          <w:tcPr>
            <w:tcW w:w="0" w:type="auto"/>
            <w:hideMark/>
          </w:tcPr>
          <w:p w14:paraId="7FC7A188" w14:textId="77777777" w:rsidR="009F1411" w:rsidRPr="009F1411" w:rsidRDefault="009F1411">
            <w:pPr>
              <w:rPr>
                <w:sz w:val="18"/>
                <w:szCs w:val="18"/>
              </w:rPr>
            </w:pPr>
            <w:r w:rsidRPr="009F1411">
              <w:rPr>
                <w:sz w:val="18"/>
                <w:szCs w:val="18"/>
              </w:rPr>
              <w:t>Characterizing distributional effects</w:t>
            </w:r>
          </w:p>
        </w:tc>
        <w:tc>
          <w:tcPr>
            <w:tcW w:w="0" w:type="auto"/>
            <w:hideMark/>
          </w:tcPr>
          <w:p w14:paraId="288CE966" w14:textId="77777777" w:rsidR="009F1411" w:rsidRPr="009F1411" w:rsidRDefault="009F1411">
            <w:pPr>
              <w:rPr>
                <w:sz w:val="18"/>
                <w:szCs w:val="18"/>
              </w:rPr>
            </w:pPr>
            <w:r w:rsidRPr="009F1411">
              <w:rPr>
                <w:sz w:val="18"/>
                <w:szCs w:val="18"/>
              </w:rPr>
              <w:t>19</w:t>
            </w:r>
          </w:p>
        </w:tc>
        <w:tc>
          <w:tcPr>
            <w:tcW w:w="3033" w:type="dxa"/>
            <w:hideMark/>
          </w:tcPr>
          <w:p w14:paraId="40E2C5CC" w14:textId="77777777" w:rsidR="009F1411" w:rsidRPr="009F1411" w:rsidRDefault="009F1411">
            <w:pPr>
              <w:rPr>
                <w:sz w:val="18"/>
                <w:szCs w:val="18"/>
              </w:rPr>
            </w:pPr>
            <w:r w:rsidRPr="009F1411">
              <w:rPr>
                <w:sz w:val="18"/>
                <w:szCs w:val="18"/>
              </w:rPr>
              <w:t>Describe how impacts are distributed across different individuals or adjustments made to reflect priority populations.</w:t>
            </w:r>
          </w:p>
        </w:tc>
        <w:tc>
          <w:tcPr>
            <w:tcW w:w="3505" w:type="dxa"/>
            <w:hideMark/>
          </w:tcPr>
          <w:p w14:paraId="56CAF17C" w14:textId="04D5134C" w:rsidR="009F1411" w:rsidRPr="009F1411" w:rsidRDefault="005D5A94">
            <w:pPr>
              <w:rPr>
                <w:sz w:val="18"/>
                <w:szCs w:val="18"/>
              </w:rPr>
            </w:pPr>
            <w:r w:rsidRPr="005D5A94">
              <w:rPr>
                <w:sz w:val="18"/>
                <w:szCs w:val="18"/>
              </w:rPr>
              <w:t xml:space="preserve">Online </w:t>
            </w:r>
            <w:r>
              <w:rPr>
                <w:sz w:val="18"/>
                <w:szCs w:val="18"/>
              </w:rPr>
              <w:t xml:space="preserve">and supplementary </w:t>
            </w:r>
            <w:r w:rsidRPr="005D5A94">
              <w:rPr>
                <w:sz w:val="18"/>
                <w:szCs w:val="18"/>
              </w:rPr>
              <w:t xml:space="preserve">Methods (Age-specific epidemiological and economic </w:t>
            </w:r>
            <w:r w:rsidRPr="005D5A94">
              <w:rPr>
                <w:sz w:val="18"/>
                <w:szCs w:val="18"/>
              </w:rPr>
              <w:t>parameterization</w:t>
            </w:r>
            <w:r w:rsidRPr="005D5A94">
              <w:rPr>
                <w:sz w:val="18"/>
                <w:szCs w:val="18"/>
              </w:rPr>
              <w:t>).</w:t>
            </w:r>
          </w:p>
        </w:tc>
      </w:tr>
      <w:tr w:rsidR="009F1411" w:rsidRPr="009F1411" w14:paraId="12035459" w14:textId="77777777" w:rsidTr="005D5A94">
        <w:tc>
          <w:tcPr>
            <w:tcW w:w="0" w:type="auto"/>
            <w:hideMark/>
          </w:tcPr>
          <w:p w14:paraId="682C4565" w14:textId="77777777" w:rsidR="009F1411" w:rsidRPr="009F1411" w:rsidRDefault="009F1411">
            <w:pPr>
              <w:rPr>
                <w:sz w:val="18"/>
                <w:szCs w:val="18"/>
              </w:rPr>
            </w:pPr>
            <w:r w:rsidRPr="009F1411">
              <w:rPr>
                <w:sz w:val="18"/>
                <w:szCs w:val="18"/>
              </w:rPr>
              <w:lastRenderedPageBreak/>
              <w:t>Characterizing uncertainty</w:t>
            </w:r>
          </w:p>
        </w:tc>
        <w:tc>
          <w:tcPr>
            <w:tcW w:w="0" w:type="auto"/>
            <w:hideMark/>
          </w:tcPr>
          <w:p w14:paraId="056F1554" w14:textId="77777777" w:rsidR="009F1411" w:rsidRPr="009F1411" w:rsidRDefault="009F1411">
            <w:pPr>
              <w:rPr>
                <w:sz w:val="18"/>
                <w:szCs w:val="18"/>
              </w:rPr>
            </w:pPr>
            <w:r w:rsidRPr="009F1411">
              <w:rPr>
                <w:sz w:val="18"/>
                <w:szCs w:val="18"/>
              </w:rPr>
              <w:t>20</w:t>
            </w:r>
          </w:p>
        </w:tc>
        <w:tc>
          <w:tcPr>
            <w:tcW w:w="3033" w:type="dxa"/>
            <w:hideMark/>
          </w:tcPr>
          <w:p w14:paraId="1191DEA2" w14:textId="4EC3D5B2" w:rsidR="009F1411" w:rsidRPr="009F1411" w:rsidRDefault="009F1411">
            <w:pPr>
              <w:rPr>
                <w:sz w:val="18"/>
                <w:szCs w:val="18"/>
              </w:rPr>
            </w:pPr>
            <w:r w:rsidRPr="009F1411">
              <w:rPr>
                <w:sz w:val="18"/>
                <w:szCs w:val="18"/>
              </w:rPr>
              <w:t xml:space="preserve">Describe methods to </w:t>
            </w:r>
            <w:r w:rsidR="005D5A94" w:rsidRPr="009F1411">
              <w:rPr>
                <w:sz w:val="18"/>
                <w:szCs w:val="18"/>
              </w:rPr>
              <w:t>characterize</w:t>
            </w:r>
            <w:r w:rsidRPr="009F1411">
              <w:rPr>
                <w:sz w:val="18"/>
                <w:szCs w:val="18"/>
              </w:rPr>
              <w:t xml:space="preserve"> any sources of uncertainty in the analysis.</w:t>
            </w:r>
          </w:p>
        </w:tc>
        <w:tc>
          <w:tcPr>
            <w:tcW w:w="3505" w:type="dxa"/>
            <w:hideMark/>
          </w:tcPr>
          <w:p w14:paraId="24169949" w14:textId="3CE02437" w:rsidR="009F1411" w:rsidRPr="009F1411" w:rsidRDefault="005D5A94">
            <w:pPr>
              <w:rPr>
                <w:sz w:val="18"/>
                <w:szCs w:val="18"/>
              </w:rPr>
            </w:pPr>
            <w:r w:rsidRPr="005D5A94">
              <w:rPr>
                <w:sz w:val="18"/>
                <w:szCs w:val="18"/>
              </w:rPr>
              <w:t>Methods (Monte Carlo uncertainty propagation); Supplementary Methods.</w:t>
            </w:r>
          </w:p>
        </w:tc>
      </w:tr>
      <w:tr w:rsidR="009F1411" w:rsidRPr="009F1411" w14:paraId="1E5261EF" w14:textId="77777777" w:rsidTr="005D5A94">
        <w:tc>
          <w:tcPr>
            <w:tcW w:w="0" w:type="auto"/>
            <w:hideMark/>
          </w:tcPr>
          <w:p w14:paraId="24C7911B" w14:textId="77777777" w:rsidR="009F1411" w:rsidRPr="009F1411" w:rsidRDefault="009F1411">
            <w:pPr>
              <w:rPr>
                <w:sz w:val="18"/>
                <w:szCs w:val="18"/>
              </w:rPr>
            </w:pPr>
            <w:r w:rsidRPr="009F1411">
              <w:rPr>
                <w:sz w:val="18"/>
                <w:szCs w:val="18"/>
              </w:rPr>
              <w:t>Approach to engagement with patients and others affected by the study</w:t>
            </w:r>
          </w:p>
        </w:tc>
        <w:tc>
          <w:tcPr>
            <w:tcW w:w="0" w:type="auto"/>
            <w:hideMark/>
          </w:tcPr>
          <w:p w14:paraId="17168A2F" w14:textId="77777777" w:rsidR="009F1411" w:rsidRPr="009F1411" w:rsidRDefault="009F1411">
            <w:pPr>
              <w:rPr>
                <w:sz w:val="18"/>
                <w:szCs w:val="18"/>
              </w:rPr>
            </w:pPr>
            <w:r w:rsidRPr="009F1411">
              <w:rPr>
                <w:sz w:val="18"/>
                <w:szCs w:val="18"/>
              </w:rPr>
              <w:t>21</w:t>
            </w:r>
          </w:p>
        </w:tc>
        <w:tc>
          <w:tcPr>
            <w:tcW w:w="3033" w:type="dxa"/>
            <w:hideMark/>
          </w:tcPr>
          <w:p w14:paraId="56BFEA97" w14:textId="77777777" w:rsidR="009F1411" w:rsidRPr="009F1411" w:rsidRDefault="009F1411">
            <w:pPr>
              <w:rPr>
                <w:sz w:val="18"/>
                <w:szCs w:val="18"/>
              </w:rPr>
            </w:pPr>
            <w:r w:rsidRPr="009F1411">
              <w:rPr>
                <w:sz w:val="18"/>
                <w:szCs w:val="18"/>
              </w:rPr>
              <w:t>Describe any approaches to engage patients or service recipients, the general public, communities, or stakeholders (such as clinicians or payers) in the design of the study.</w:t>
            </w:r>
          </w:p>
        </w:tc>
        <w:tc>
          <w:tcPr>
            <w:tcW w:w="3505" w:type="dxa"/>
            <w:hideMark/>
          </w:tcPr>
          <w:p w14:paraId="1B978191" w14:textId="234AC6BC" w:rsidR="009F1411" w:rsidRPr="009F1411" w:rsidRDefault="005D5A94">
            <w:pPr>
              <w:rPr>
                <w:sz w:val="18"/>
                <w:szCs w:val="18"/>
              </w:rPr>
            </w:pPr>
            <w:r w:rsidRPr="005D5A94">
              <w:rPr>
                <w:sz w:val="18"/>
                <w:szCs w:val="18"/>
              </w:rPr>
              <w:t>National dengue and entomological surveillance data were generated through routine public health surveillance systems. No direct patient or community participant involvement was undertaken because the study used secondary, aggregated surveillance data without individual-level patient information. Public health stakeholders, including collaborators from the Ministry of Health, Sri Lanka, were actively engaged in study conceptualization, interpretation of findings, and refinement of the indicator framework. Ministry of Health collaborators contributed to the design and implementation of the pilot material-partitioning survey used to characterize plastic-associated larval habitats.</w:t>
            </w:r>
          </w:p>
        </w:tc>
      </w:tr>
      <w:tr w:rsidR="009F1411" w:rsidRPr="009F1411" w14:paraId="53AD9FAB" w14:textId="77777777" w:rsidTr="005D5A94">
        <w:tc>
          <w:tcPr>
            <w:tcW w:w="0" w:type="auto"/>
            <w:hideMark/>
          </w:tcPr>
          <w:p w14:paraId="5983C186" w14:textId="77777777" w:rsidR="009F1411" w:rsidRPr="009F1411" w:rsidRDefault="009F1411">
            <w:pPr>
              <w:rPr>
                <w:sz w:val="18"/>
                <w:szCs w:val="18"/>
              </w:rPr>
            </w:pPr>
            <w:r w:rsidRPr="009F1411">
              <w:rPr>
                <w:rStyle w:val="Strong"/>
                <w:sz w:val="18"/>
                <w:szCs w:val="18"/>
              </w:rPr>
              <w:t>Results</w:t>
            </w:r>
          </w:p>
        </w:tc>
        <w:tc>
          <w:tcPr>
            <w:tcW w:w="0" w:type="auto"/>
            <w:hideMark/>
          </w:tcPr>
          <w:p w14:paraId="2EA41842" w14:textId="77777777" w:rsidR="009F1411" w:rsidRPr="009F1411" w:rsidRDefault="009F1411">
            <w:pPr>
              <w:rPr>
                <w:sz w:val="18"/>
                <w:szCs w:val="18"/>
              </w:rPr>
            </w:pPr>
          </w:p>
        </w:tc>
        <w:tc>
          <w:tcPr>
            <w:tcW w:w="3033" w:type="dxa"/>
            <w:hideMark/>
          </w:tcPr>
          <w:p w14:paraId="68436900" w14:textId="77777777" w:rsidR="009F1411" w:rsidRPr="009F1411" w:rsidRDefault="009F1411">
            <w:pPr>
              <w:rPr>
                <w:sz w:val="18"/>
                <w:szCs w:val="18"/>
              </w:rPr>
            </w:pPr>
          </w:p>
        </w:tc>
        <w:tc>
          <w:tcPr>
            <w:tcW w:w="3505" w:type="dxa"/>
            <w:hideMark/>
          </w:tcPr>
          <w:p w14:paraId="7D201AB5" w14:textId="77777777" w:rsidR="009F1411" w:rsidRPr="009F1411" w:rsidRDefault="009F1411">
            <w:pPr>
              <w:rPr>
                <w:sz w:val="18"/>
                <w:szCs w:val="18"/>
              </w:rPr>
            </w:pPr>
          </w:p>
        </w:tc>
      </w:tr>
      <w:tr w:rsidR="009F1411" w:rsidRPr="009F1411" w14:paraId="76DBD4B2" w14:textId="77777777" w:rsidTr="005D5A94">
        <w:tc>
          <w:tcPr>
            <w:tcW w:w="0" w:type="auto"/>
            <w:hideMark/>
          </w:tcPr>
          <w:p w14:paraId="46D33E02" w14:textId="77777777" w:rsidR="009F1411" w:rsidRPr="009F1411" w:rsidRDefault="009F1411">
            <w:pPr>
              <w:rPr>
                <w:sz w:val="18"/>
                <w:szCs w:val="18"/>
              </w:rPr>
            </w:pPr>
            <w:r w:rsidRPr="009F1411">
              <w:rPr>
                <w:sz w:val="18"/>
                <w:szCs w:val="18"/>
              </w:rPr>
              <w:t>Study parameters</w:t>
            </w:r>
          </w:p>
        </w:tc>
        <w:tc>
          <w:tcPr>
            <w:tcW w:w="0" w:type="auto"/>
            <w:hideMark/>
          </w:tcPr>
          <w:p w14:paraId="30FEB93B" w14:textId="77777777" w:rsidR="009F1411" w:rsidRPr="009F1411" w:rsidRDefault="009F1411">
            <w:pPr>
              <w:rPr>
                <w:sz w:val="18"/>
                <w:szCs w:val="18"/>
              </w:rPr>
            </w:pPr>
            <w:r w:rsidRPr="009F1411">
              <w:rPr>
                <w:sz w:val="18"/>
                <w:szCs w:val="18"/>
              </w:rPr>
              <w:t>22</w:t>
            </w:r>
          </w:p>
        </w:tc>
        <w:tc>
          <w:tcPr>
            <w:tcW w:w="3033" w:type="dxa"/>
            <w:hideMark/>
          </w:tcPr>
          <w:p w14:paraId="3714D27E" w14:textId="77777777" w:rsidR="009F1411" w:rsidRPr="009F1411" w:rsidRDefault="009F1411">
            <w:pPr>
              <w:rPr>
                <w:sz w:val="18"/>
                <w:szCs w:val="18"/>
              </w:rPr>
            </w:pPr>
            <w:r w:rsidRPr="009F1411">
              <w:rPr>
                <w:sz w:val="18"/>
                <w:szCs w:val="18"/>
              </w:rPr>
              <w:t>Report all analytic inputs (such as values, ranges, references) including uncertainty or distributional assumptions.</w:t>
            </w:r>
          </w:p>
        </w:tc>
        <w:tc>
          <w:tcPr>
            <w:tcW w:w="3505" w:type="dxa"/>
            <w:hideMark/>
          </w:tcPr>
          <w:p w14:paraId="34DBFF3F" w14:textId="1B0A054F" w:rsidR="009F1411" w:rsidRPr="009F1411" w:rsidRDefault="005D5A94">
            <w:pPr>
              <w:rPr>
                <w:sz w:val="18"/>
                <w:szCs w:val="18"/>
              </w:rPr>
            </w:pPr>
            <w:r w:rsidRPr="005D5A94">
              <w:rPr>
                <w:sz w:val="18"/>
                <w:szCs w:val="18"/>
              </w:rPr>
              <w:t>Supplementary Table S5 and Supplementary Methods.</w:t>
            </w:r>
          </w:p>
        </w:tc>
      </w:tr>
      <w:tr w:rsidR="009F1411" w:rsidRPr="009F1411" w14:paraId="428C5773" w14:textId="77777777" w:rsidTr="005D5A94">
        <w:tc>
          <w:tcPr>
            <w:tcW w:w="0" w:type="auto"/>
            <w:hideMark/>
          </w:tcPr>
          <w:p w14:paraId="6A7BB56F" w14:textId="77777777" w:rsidR="009F1411" w:rsidRPr="009F1411" w:rsidRDefault="009F1411">
            <w:pPr>
              <w:rPr>
                <w:sz w:val="18"/>
                <w:szCs w:val="18"/>
              </w:rPr>
            </w:pPr>
            <w:r w:rsidRPr="009F1411">
              <w:rPr>
                <w:sz w:val="18"/>
                <w:szCs w:val="18"/>
              </w:rPr>
              <w:t>Summary of main results</w:t>
            </w:r>
          </w:p>
        </w:tc>
        <w:tc>
          <w:tcPr>
            <w:tcW w:w="0" w:type="auto"/>
            <w:hideMark/>
          </w:tcPr>
          <w:p w14:paraId="26EC5E6F" w14:textId="77777777" w:rsidR="009F1411" w:rsidRPr="009F1411" w:rsidRDefault="009F1411">
            <w:pPr>
              <w:rPr>
                <w:sz w:val="18"/>
                <w:szCs w:val="18"/>
              </w:rPr>
            </w:pPr>
            <w:r w:rsidRPr="009F1411">
              <w:rPr>
                <w:sz w:val="18"/>
                <w:szCs w:val="18"/>
              </w:rPr>
              <w:t>23</w:t>
            </w:r>
          </w:p>
        </w:tc>
        <w:tc>
          <w:tcPr>
            <w:tcW w:w="3033" w:type="dxa"/>
            <w:hideMark/>
          </w:tcPr>
          <w:p w14:paraId="54EF8C82" w14:textId="77777777" w:rsidR="009F1411" w:rsidRPr="009F1411" w:rsidRDefault="009F1411">
            <w:pPr>
              <w:rPr>
                <w:sz w:val="18"/>
                <w:szCs w:val="18"/>
              </w:rPr>
            </w:pPr>
            <w:r w:rsidRPr="009F1411">
              <w:rPr>
                <w:sz w:val="18"/>
                <w:szCs w:val="18"/>
              </w:rPr>
              <w:t xml:space="preserve">Report the mean values for the main categories of costs and outcomes of interest and </w:t>
            </w:r>
            <w:proofErr w:type="spellStart"/>
            <w:r w:rsidRPr="009F1411">
              <w:rPr>
                <w:sz w:val="18"/>
                <w:szCs w:val="18"/>
              </w:rPr>
              <w:t>summarise</w:t>
            </w:r>
            <w:proofErr w:type="spellEnd"/>
            <w:r w:rsidRPr="009F1411">
              <w:rPr>
                <w:sz w:val="18"/>
                <w:szCs w:val="18"/>
              </w:rPr>
              <w:t xml:space="preserve"> them in the most appropriate overall measure.</w:t>
            </w:r>
          </w:p>
        </w:tc>
        <w:tc>
          <w:tcPr>
            <w:tcW w:w="3505" w:type="dxa"/>
            <w:hideMark/>
          </w:tcPr>
          <w:p w14:paraId="04EE3C4F" w14:textId="7A258DFD" w:rsidR="009F1411" w:rsidRPr="009F1411" w:rsidRDefault="005D5A94">
            <w:pPr>
              <w:rPr>
                <w:sz w:val="18"/>
                <w:szCs w:val="18"/>
              </w:rPr>
            </w:pPr>
            <w:r w:rsidRPr="005D5A94">
              <w:rPr>
                <w:sz w:val="18"/>
                <w:szCs w:val="18"/>
              </w:rPr>
              <w:t>Results (Attributable burden estimates and Cost of Illness Analysis).</w:t>
            </w:r>
          </w:p>
        </w:tc>
      </w:tr>
      <w:tr w:rsidR="009F1411" w:rsidRPr="009F1411" w14:paraId="56F13A13" w14:textId="77777777" w:rsidTr="005D5A94">
        <w:tc>
          <w:tcPr>
            <w:tcW w:w="0" w:type="auto"/>
            <w:hideMark/>
          </w:tcPr>
          <w:p w14:paraId="1D03ABD3" w14:textId="77777777" w:rsidR="009F1411" w:rsidRPr="009F1411" w:rsidRDefault="009F1411">
            <w:pPr>
              <w:rPr>
                <w:sz w:val="18"/>
                <w:szCs w:val="18"/>
              </w:rPr>
            </w:pPr>
            <w:r w:rsidRPr="009F1411">
              <w:rPr>
                <w:sz w:val="18"/>
                <w:szCs w:val="18"/>
              </w:rPr>
              <w:t>Effect of uncertainty</w:t>
            </w:r>
          </w:p>
        </w:tc>
        <w:tc>
          <w:tcPr>
            <w:tcW w:w="0" w:type="auto"/>
            <w:hideMark/>
          </w:tcPr>
          <w:p w14:paraId="30E37759" w14:textId="77777777" w:rsidR="009F1411" w:rsidRPr="009F1411" w:rsidRDefault="009F1411">
            <w:pPr>
              <w:rPr>
                <w:sz w:val="18"/>
                <w:szCs w:val="18"/>
              </w:rPr>
            </w:pPr>
            <w:r w:rsidRPr="009F1411">
              <w:rPr>
                <w:sz w:val="18"/>
                <w:szCs w:val="18"/>
              </w:rPr>
              <w:t>24</w:t>
            </w:r>
          </w:p>
        </w:tc>
        <w:tc>
          <w:tcPr>
            <w:tcW w:w="3033" w:type="dxa"/>
            <w:hideMark/>
          </w:tcPr>
          <w:p w14:paraId="216665EE" w14:textId="77777777" w:rsidR="009F1411" w:rsidRPr="009F1411" w:rsidRDefault="009F1411">
            <w:pPr>
              <w:rPr>
                <w:sz w:val="18"/>
                <w:szCs w:val="18"/>
              </w:rPr>
            </w:pPr>
            <w:r w:rsidRPr="009F1411">
              <w:rPr>
                <w:sz w:val="18"/>
                <w:szCs w:val="18"/>
              </w:rPr>
              <w:t>Describe how uncertainty about analytic judgments, inputs, or projections affect findings. Report the effect of choice of discount rate and time horizon, if applicable.</w:t>
            </w:r>
          </w:p>
        </w:tc>
        <w:tc>
          <w:tcPr>
            <w:tcW w:w="3505" w:type="dxa"/>
            <w:hideMark/>
          </w:tcPr>
          <w:p w14:paraId="706111B5" w14:textId="6409A954" w:rsidR="009F1411" w:rsidRPr="009F1411" w:rsidRDefault="005D5A94">
            <w:pPr>
              <w:rPr>
                <w:sz w:val="18"/>
                <w:szCs w:val="18"/>
              </w:rPr>
            </w:pPr>
            <w:r w:rsidRPr="005D5A94">
              <w:rPr>
                <w:sz w:val="18"/>
                <w:szCs w:val="18"/>
              </w:rPr>
              <w:t>Results (95% uncertainty intervals); Supplementary Methods (probabilistic sensitivity analysis).</w:t>
            </w:r>
          </w:p>
        </w:tc>
      </w:tr>
      <w:tr w:rsidR="009F1411" w:rsidRPr="009F1411" w14:paraId="54C11AC4" w14:textId="77777777" w:rsidTr="005D5A94">
        <w:tc>
          <w:tcPr>
            <w:tcW w:w="0" w:type="auto"/>
            <w:hideMark/>
          </w:tcPr>
          <w:p w14:paraId="7F4DC556" w14:textId="77777777" w:rsidR="009F1411" w:rsidRPr="009F1411" w:rsidRDefault="009F1411">
            <w:pPr>
              <w:rPr>
                <w:sz w:val="18"/>
                <w:szCs w:val="18"/>
              </w:rPr>
            </w:pPr>
            <w:r w:rsidRPr="009F1411">
              <w:rPr>
                <w:sz w:val="18"/>
                <w:szCs w:val="18"/>
              </w:rPr>
              <w:t>Effect of engagement with patients and others affected by the study</w:t>
            </w:r>
          </w:p>
        </w:tc>
        <w:tc>
          <w:tcPr>
            <w:tcW w:w="0" w:type="auto"/>
            <w:hideMark/>
          </w:tcPr>
          <w:p w14:paraId="65987DA9" w14:textId="77777777" w:rsidR="009F1411" w:rsidRPr="009F1411" w:rsidRDefault="009F1411">
            <w:pPr>
              <w:rPr>
                <w:sz w:val="18"/>
                <w:szCs w:val="18"/>
              </w:rPr>
            </w:pPr>
            <w:r w:rsidRPr="009F1411">
              <w:rPr>
                <w:sz w:val="18"/>
                <w:szCs w:val="18"/>
              </w:rPr>
              <w:t>25</w:t>
            </w:r>
          </w:p>
        </w:tc>
        <w:tc>
          <w:tcPr>
            <w:tcW w:w="3033" w:type="dxa"/>
            <w:hideMark/>
          </w:tcPr>
          <w:p w14:paraId="26199B2E" w14:textId="77777777" w:rsidR="009F1411" w:rsidRPr="009F1411" w:rsidRDefault="009F1411">
            <w:pPr>
              <w:rPr>
                <w:sz w:val="18"/>
                <w:szCs w:val="18"/>
              </w:rPr>
            </w:pPr>
            <w:r w:rsidRPr="009F1411">
              <w:rPr>
                <w:sz w:val="18"/>
                <w:szCs w:val="18"/>
              </w:rPr>
              <w:t>Report on any difference patient/service recipient, general public, community, or stakeholder involvement made to the approach or findings of the study.</w:t>
            </w:r>
          </w:p>
        </w:tc>
        <w:tc>
          <w:tcPr>
            <w:tcW w:w="3505" w:type="dxa"/>
            <w:hideMark/>
          </w:tcPr>
          <w:p w14:paraId="3F6304EF" w14:textId="1780E052" w:rsidR="009F1411" w:rsidRPr="009F1411" w:rsidRDefault="005D5A94">
            <w:pPr>
              <w:rPr>
                <w:sz w:val="18"/>
                <w:szCs w:val="18"/>
              </w:rPr>
            </w:pPr>
            <w:r w:rsidRPr="005D5A94">
              <w:rPr>
                <w:sz w:val="18"/>
                <w:szCs w:val="18"/>
              </w:rPr>
              <w:t>No patient or community participants were involved in the design, conduct, or reporting of this secondary-data modelling study. Public health stakeholders, including collaborators from the National Dengue Control Unit and Ministry of Health, Sri Lanka, contributed technical input regarding surveillance practices, habitat classification, and the design of the material-partitioning pilot survey. These contributions informed the contextualization of surveillance data and the feasibility of the indicator framework but did not influence the statistical modelling procedures, parameter estimation, or interpretation of quantitative effects.</w:t>
            </w:r>
          </w:p>
        </w:tc>
      </w:tr>
      <w:tr w:rsidR="009F1411" w:rsidRPr="009F1411" w14:paraId="73709953" w14:textId="77777777" w:rsidTr="005D5A94">
        <w:tc>
          <w:tcPr>
            <w:tcW w:w="0" w:type="auto"/>
            <w:hideMark/>
          </w:tcPr>
          <w:p w14:paraId="0F2CB828" w14:textId="77777777" w:rsidR="009F1411" w:rsidRPr="009F1411" w:rsidRDefault="009F1411">
            <w:pPr>
              <w:rPr>
                <w:sz w:val="18"/>
                <w:szCs w:val="18"/>
              </w:rPr>
            </w:pPr>
            <w:r w:rsidRPr="009F1411">
              <w:rPr>
                <w:rStyle w:val="Strong"/>
                <w:sz w:val="18"/>
                <w:szCs w:val="18"/>
              </w:rPr>
              <w:t>Discussion</w:t>
            </w:r>
          </w:p>
        </w:tc>
        <w:tc>
          <w:tcPr>
            <w:tcW w:w="0" w:type="auto"/>
            <w:hideMark/>
          </w:tcPr>
          <w:p w14:paraId="41A1A009" w14:textId="77777777" w:rsidR="009F1411" w:rsidRPr="009F1411" w:rsidRDefault="009F1411">
            <w:pPr>
              <w:rPr>
                <w:sz w:val="18"/>
                <w:szCs w:val="18"/>
              </w:rPr>
            </w:pPr>
          </w:p>
        </w:tc>
        <w:tc>
          <w:tcPr>
            <w:tcW w:w="3033" w:type="dxa"/>
            <w:hideMark/>
          </w:tcPr>
          <w:p w14:paraId="70855A60" w14:textId="77777777" w:rsidR="009F1411" w:rsidRPr="009F1411" w:rsidRDefault="009F1411">
            <w:pPr>
              <w:rPr>
                <w:sz w:val="18"/>
                <w:szCs w:val="18"/>
              </w:rPr>
            </w:pPr>
          </w:p>
        </w:tc>
        <w:tc>
          <w:tcPr>
            <w:tcW w:w="3505" w:type="dxa"/>
            <w:hideMark/>
          </w:tcPr>
          <w:p w14:paraId="46E8FE4D" w14:textId="77777777" w:rsidR="009F1411" w:rsidRPr="009F1411" w:rsidRDefault="009F1411">
            <w:pPr>
              <w:rPr>
                <w:sz w:val="18"/>
                <w:szCs w:val="18"/>
              </w:rPr>
            </w:pPr>
          </w:p>
        </w:tc>
      </w:tr>
      <w:tr w:rsidR="009F1411" w:rsidRPr="009F1411" w14:paraId="7CDC6B39" w14:textId="77777777" w:rsidTr="005D5A94">
        <w:tc>
          <w:tcPr>
            <w:tcW w:w="0" w:type="auto"/>
            <w:hideMark/>
          </w:tcPr>
          <w:p w14:paraId="41B6FEB0" w14:textId="77777777" w:rsidR="009F1411" w:rsidRPr="009F1411" w:rsidRDefault="009F1411">
            <w:pPr>
              <w:rPr>
                <w:sz w:val="18"/>
                <w:szCs w:val="18"/>
              </w:rPr>
            </w:pPr>
            <w:r w:rsidRPr="009F1411">
              <w:rPr>
                <w:sz w:val="18"/>
                <w:szCs w:val="18"/>
              </w:rPr>
              <w:t>Study findings, limitations, generalizability, and current knowledge</w:t>
            </w:r>
          </w:p>
        </w:tc>
        <w:tc>
          <w:tcPr>
            <w:tcW w:w="0" w:type="auto"/>
            <w:hideMark/>
          </w:tcPr>
          <w:p w14:paraId="2455713E" w14:textId="77777777" w:rsidR="009F1411" w:rsidRPr="009F1411" w:rsidRDefault="009F1411">
            <w:pPr>
              <w:rPr>
                <w:sz w:val="18"/>
                <w:szCs w:val="18"/>
              </w:rPr>
            </w:pPr>
            <w:r w:rsidRPr="009F1411">
              <w:rPr>
                <w:sz w:val="18"/>
                <w:szCs w:val="18"/>
              </w:rPr>
              <w:t>26</w:t>
            </w:r>
          </w:p>
        </w:tc>
        <w:tc>
          <w:tcPr>
            <w:tcW w:w="3033" w:type="dxa"/>
            <w:hideMark/>
          </w:tcPr>
          <w:p w14:paraId="7CE6200D" w14:textId="77777777" w:rsidR="009F1411" w:rsidRPr="00BD4361" w:rsidRDefault="009F1411">
            <w:pPr>
              <w:rPr>
                <w:sz w:val="18"/>
                <w:szCs w:val="18"/>
                <w:highlight w:val="yellow"/>
              </w:rPr>
            </w:pPr>
            <w:r w:rsidRPr="005D5A94">
              <w:rPr>
                <w:sz w:val="18"/>
                <w:szCs w:val="18"/>
              </w:rPr>
              <w:t>Report key findings, limitations, ethical or equity considerations not captured, and how these could affect patients, policy, or practice.</w:t>
            </w:r>
          </w:p>
        </w:tc>
        <w:tc>
          <w:tcPr>
            <w:tcW w:w="3505" w:type="dxa"/>
            <w:hideMark/>
          </w:tcPr>
          <w:p w14:paraId="23688C55" w14:textId="03B51643" w:rsidR="009F1411" w:rsidRPr="009F1411" w:rsidRDefault="005D5A94">
            <w:pPr>
              <w:rPr>
                <w:sz w:val="18"/>
                <w:szCs w:val="18"/>
              </w:rPr>
            </w:pPr>
            <w:r w:rsidRPr="005D5A94">
              <w:rPr>
                <w:sz w:val="18"/>
                <w:szCs w:val="18"/>
              </w:rPr>
              <w:t>Discussion (including Strengths, Limitations and Policy Implications).</w:t>
            </w:r>
          </w:p>
        </w:tc>
      </w:tr>
      <w:tr w:rsidR="009F1411" w:rsidRPr="009F1411" w14:paraId="42CF26B4" w14:textId="77777777" w:rsidTr="005D5A94">
        <w:tc>
          <w:tcPr>
            <w:tcW w:w="0" w:type="auto"/>
            <w:hideMark/>
          </w:tcPr>
          <w:p w14:paraId="2F0A5B73" w14:textId="77777777" w:rsidR="009F1411" w:rsidRPr="009F1411" w:rsidRDefault="009F1411">
            <w:pPr>
              <w:rPr>
                <w:sz w:val="18"/>
                <w:szCs w:val="18"/>
              </w:rPr>
            </w:pPr>
            <w:r w:rsidRPr="009F1411">
              <w:rPr>
                <w:rStyle w:val="Strong"/>
                <w:sz w:val="18"/>
                <w:szCs w:val="18"/>
              </w:rPr>
              <w:t>Other relevant information</w:t>
            </w:r>
          </w:p>
        </w:tc>
        <w:tc>
          <w:tcPr>
            <w:tcW w:w="0" w:type="auto"/>
            <w:hideMark/>
          </w:tcPr>
          <w:p w14:paraId="3B631A47" w14:textId="77777777" w:rsidR="009F1411" w:rsidRPr="009F1411" w:rsidRDefault="009F1411">
            <w:pPr>
              <w:rPr>
                <w:sz w:val="18"/>
                <w:szCs w:val="18"/>
              </w:rPr>
            </w:pPr>
          </w:p>
        </w:tc>
        <w:tc>
          <w:tcPr>
            <w:tcW w:w="3033" w:type="dxa"/>
            <w:hideMark/>
          </w:tcPr>
          <w:p w14:paraId="63F3E4EA" w14:textId="77777777" w:rsidR="009F1411" w:rsidRPr="009F1411" w:rsidRDefault="009F1411">
            <w:pPr>
              <w:rPr>
                <w:sz w:val="18"/>
                <w:szCs w:val="18"/>
              </w:rPr>
            </w:pPr>
          </w:p>
        </w:tc>
        <w:tc>
          <w:tcPr>
            <w:tcW w:w="3505" w:type="dxa"/>
            <w:hideMark/>
          </w:tcPr>
          <w:p w14:paraId="1EA1DE05" w14:textId="77777777" w:rsidR="009F1411" w:rsidRPr="009F1411" w:rsidRDefault="009F1411">
            <w:pPr>
              <w:rPr>
                <w:sz w:val="18"/>
                <w:szCs w:val="18"/>
              </w:rPr>
            </w:pPr>
          </w:p>
        </w:tc>
      </w:tr>
      <w:tr w:rsidR="009F1411" w:rsidRPr="009F1411" w14:paraId="29243BB1" w14:textId="77777777" w:rsidTr="005D5A94">
        <w:tc>
          <w:tcPr>
            <w:tcW w:w="0" w:type="auto"/>
            <w:hideMark/>
          </w:tcPr>
          <w:p w14:paraId="200CACC5" w14:textId="77777777" w:rsidR="009F1411" w:rsidRPr="009F1411" w:rsidRDefault="009F1411">
            <w:pPr>
              <w:rPr>
                <w:sz w:val="18"/>
                <w:szCs w:val="18"/>
              </w:rPr>
            </w:pPr>
            <w:r w:rsidRPr="009F1411">
              <w:rPr>
                <w:sz w:val="18"/>
                <w:szCs w:val="18"/>
              </w:rPr>
              <w:t>Source of funding</w:t>
            </w:r>
          </w:p>
        </w:tc>
        <w:tc>
          <w:tcPr>
            <w:tcW w:w="0" w:type="auto"/>
            <w:hideMark/>
          </w:tcPr>
          <w:p w14:paraId="214CD231" w14:textId="77777777" w:rsidR="009F1411" w:rsidRPr="009F1411" w:rsidRDefault="009F1411">
            <w:pPr>
              <w:rPr>
                <w:sz w:val="18"/>
                <w:szCs w:val="18"/>
              </w:rPr>
            </w:pPr>
            <w:r w:rsidRPr="009F1411">
              <w:rPr>
                <w:sz w:val="18"/>
                <w:szCs w:val="18"/>
              </w:rPr>
              <w:t>27</w:t>
            </w:r>
          </w:p>
        </w:tc>
        <w:tc>
          <w:tcPr>
            <w:tcW w:w="3033" w:type="dxa"/>
            <w:hideMark/>
          </w:tcPr>
          <w:p w14:paraId="1B28665D" w14:textId="77777777" w:rsidR="009F1411" w:rsidRPr="009F1411" w:rsidRDefault="009F1411">
            <w:pPr>
              <w:rPr>
                <w:sz w:val="18"/>
                <w:szCs w:val="18"/>
              </w:rPr>
            </w:pPr>
            <w:r w:rsidRPr="009F1411">
              <w:rPr>
                <w:sz w:val="18"/>
                <w:szCs w:val="18"/>
              </w:rPr>
              <w:t>Describe how the study was funded and any role of the funder in the identification, design, conduct, and reporting of the analysis.</w:t>
            </w:r>
          </w:p>
        </w:tc>
        <w:tc>
          <w:tcPr>
            <w:tcW w:w="3505" w:type="dxa"/>
            <w:hideMark/>
          </w:tcPr>
          <w:p w14:paraId="77EBB8FA" w14:textId="6B2AECAF" w:rsidR="009F1411" w:rsidRPr="009F1411" w:rsidRDefault="005D5A94">
            <w:pPr>
              <w:rPr>
                <w:sz w:val="18"/>
                <w:szCs w:val="18"/>
              </w:rPr>
            </w:pPr>
            <w:r w:rsidRPr="005D5A94">
              <w:rPr>
                <w:sz w:val="18"/>
                <w:szCs w:val="18"/>
              </w:rPr>
              <w:t>Funding Statement.</w:t>
            </w:r>
          </w:p>
        </w:tc>
      </w:tr>
      <w:tr w:rsidR="009F1411" w:rsidRPr="009F1411" w14:paraId="69A6EF10" w14:textId="77777777" w:rsidTr="005D5A94">
        <w:tc>
          <w:tcPr>
            <w:tcW w:w="0" w:type="auto"/>
            <w:hideMark/>
          </w:tcPr>
          <w:p w14:paraId="6E12CC4A" w14:textId="77777777" w:rsidR="009F1411" w:rsidRPr="009F1411" w:rsidRDefault="009F1411">
            <w:pPr>
              <w:rPr>
                <w:sz w:val="18"/>
                <w:szCs w:val="18"/>
              </w:rPr>
            </w:pPr>
            <w:r w:rsidRPr="009F1411">
              <w:rPr>
                <w:sz w:val="18"/>
                <w:szCs w:val="18"/>
              </w:rPr>
              <w:t>Conflicts of interest</w:t>
            </w:r>
          </w:p>
        </w:tc>
        <w:tc>
          <w:tcPr>
            <w:tcW w:w="0" w:type="auto"/>
            <w:hideMark/>
          </w:tcPr>
          <w:p w14:paraId="62342EAA" w14:textId="77777777" w:rsidR="009F1411" w:rsidRPr="009F1411" w:rsidRDefault="009F1411">
            <w:pPr>
              <w:rPr>
                <w:sz w:val="18"/>
                <w:szCs w:val="18"/>
              </w:rPr>
            </w:pPr>
            <w:r w:rsidRPr="009F1411">
              <w:rPr>
                <w:sz w:val="18"/>
                <w:szCs w:val="18"/>
              </w:rPr>
              <w:t>28</w:t>
            </w:r>
          </w:p>
        </w:tc>
        <w:tc>
          <w:tcPr>
            <w:tcW w:w="3033" w:type="dxa"/>
            <w:hideMark/>
          </w:tcPr>
          <w:p w14:paraId="06EF0C4C" w14:textId="77777777" w:rsidR="009F1411" w:rsidRPr="009F1411" w:rsidRDefault="009F1411">
            <w:pPr>
              <w:rPr>
                <w:sz w:val="18"/>
                <w:szCs w:val="18"/>
              </w:rPr>
            </w:pPr>
            <w:r w:rsidRPr="009F1411">
              <w:rPr>
                <w:sz w:val="18"/>
                <w:szCs w:val="18"/>
              </w:rPr>
              <w:t xml:space="preserve">Report authors conflicts of interest according to journal or International </w:t>
            </w:r>
            <w:r w:rsidRPr="009F1411">
              <w:rPr>
                <w:sz w:val="18"/>
                <w:szCs w:val="18"/>
              </w:rPr>
              <w:lastRenderedPageBreak/>
              <w:t>Committee of Medical Journal Editors requirements.</w:t>
            </w:r>
          </w:p>
        </w:tc>
        <w:tc>
          <w:tcPr>
            <w:tcW w:w="3505" w:type="dxa"/>
            <w:hideMark/>
          </w:tcPr>
          <w:p w14:paraId="1BB77F9A" w14:textId="68C6DAE0" w:rsidR="009F1411" w:rsidRPr="009F1411" w:rsidRDefault="009F1411">
            <w:pPr>
              <w:rPr>
                <w:sz w:val="18"/>
                <w:szCs w:val="18"/>
              </w:rPr>
            </w:pPr>
            <w:r w:rsidRPr="009F1411">
              <w:rPr>
                <w:sz w:val="18"/>
                <w:szCs w:val="18"/>
              </w:rPr>
              <w:lastRenderedPageBreak/>
              <w:t>Competing Interests Statement</w:t>
            </w:r>
            <w:r w:rsidR="005D5A94">
              <w:rPr>
                <w:sz w:val="18"/>
                <w:szCs w:val="18"/>
              </w:rPr>
              <w:t>.</w:t>
            </w:r>
          </w:p>
        </w:tc>
      </w:tr>
    </w:tbl>
    <w:p w14:paraId="00BFADCF" w14:textId="77777777" w:rsidR="00B54AB9" w:rsidRDefault="00B54AB9" w:rsidP="001D4AC5">
      <w:pPr>
        <w:jc w:val="both"/>
        <w:rPr>
          <w:lang w:val="en-GB"/>
        </w:rPr>
      </w:pPr>
    </w:p>
    <w:p w14:paraId="603FA127" w14:textId="77777777" w:rsidR="00C95738" w:rsidRDefault="00C95738" w:rsidP="001D4AC5">
      <w:pPr>
        <w:jc w:val="both"/>
        <w:rPr>
          <w:lang w:val="en-GB"/>
        </w:rPr>
      </w:pPr>
    </w:p>
    <w:p w14:paraId="3912AEE6" w14:textId="77777777" w:rsidR="006B5328" w:rsidRDefault="006B5328" w:rsidP="001D4AC5">
      <w:pPr>
        <w:jc w:val="both"/>
        <w:rPr>
          <w:lang w:val="en-GB"/>
        </w:rPr>
      </w:pPr>
    </w:p>
    <w:p w14:paraId="46BD5150" w14:textId="1D9E8D7E" w:rsidR="006B5328" w:rsidRDefault="006B5328" w:rsidP="001D4AC5">
      <w:pPr>
        <w:jc w:val="both"/>
        <w:rPr>
          <w:lang w:val="en-GB"/>
        </w:rPr>
      </w:pPr>
    </w:p>
    <w:p w14:paraId="0F2F9A86" w14:textId="77777777" w:rsidR="006B5328" w:rsidRDefault="006B5328" w:rsidP="001D4AC5">
      <w:pPr>
        <w:jc w:val="both"/>
        <w:rPr>
          <w:lang w:val="en-GB"/>
        </w:rPr>
      </w:pPr>
    </w:p>
    <w:p w14:paraId="63BBC40A" w14:textId="77777777" w:rsidR="006B5328" w:rsidRDefault="00C95738">
      <w:pPr>
        <w:autoSpaceDE w:val="0"/>
        <w:autoSpaceDN w:val="0"/>
        <w:ind w:left="640" w:hanging="640"/>
        <w:divId w:val="485324977"/>
        <w:rPr>
          <w:lang w:val="en-GB"/>
        </w:rPr>
      </w:pPr>
      <w:r w:rsidRPr="00C95738">
        <w:rPr>
          <w:lang w:val="en-GB"/>
        </w:rPr>
        <w:t>Reference:</w:t>
      </w:r>
    </w:p>
    <w:sdt>
      <w:sdtPr>
        <w:rPr>
          <w:color w:val="000000"/>
          <w:lang w:val="en-GB"/>
        </w:rPr>
        <w:tag w:val="MENDELEY_BIBLIOGRAPHY"/>
        <w:id w:val="2006384235"/>
        <w:placeholder>
          <w:docPart w:val="DefaultPlaceholder_-1854013440"/>
        </w:placeholder>
      </w:sdtPr>
      <w:sdtContent>
        <w:p w14:paraId="45812037" w14:textId="77777777" w:rsidR="00744149" w:rsidRPr="00744149" w:rsidRDefault="00744149">
          <w:pPr>
            <w:autoSpaceDE w:val="0"/>
            <w:autoSpaceDN w:val="0"/>
            <w:ind w:hanging="640"/>
            <w:divId w:val="1442719263"/>
            <w:rPr>
              <w:color w:val="000000"/>
            </w:rPr>
          </w:pPr>
          <w:r w:rsidRPr="00744149">
            <w:rPr>
              <w:color w:val="000000"/>
            </w:rPr>
            <w:t>1.</w:t>
          </w:r>
          <w:r w:rsidRPr="00744149">
            <w:rPr>
              <w:color w:val="000000"/>
            </w:rPr>
            <w:tab/>
            <w:t xml:space="preserve">Husereau, D. </w:t>
          </w:r>
          <w:r w:rsidRPr="00744149">
            <w:rPr>
              <w:i/>
              <w:iCs/>
              <w:color w:val="000000"/>
            </w:rPr>
            <w:t>et al.</w:t>
          </w:r>
          <w:r w:rsidRPr="00744149">
            <w:rPr>
              <w:color w:val="000000"/>
            </w:rPr>
            <w:t xml:space="preserve"> Consolidated Health Economic Evaluation Reporting Standards 2022 (CHEERS 2022) Statement: Updated Reporting Guidance for Health Economic Evaluations. </w:t>
          </w:r>
          <w:r w:rsidRPr="00744149">
            <w:rPr>
              <w:i/>
              <w:iCs/>
              <w:color w:val="000000"/>
            </w:rPr>
            <w:t>Value in Health</w:t>
          </w:r>
          <w:r w:rsidRPr="00744149">
            <w:rPr>
              <w:color w:val="000000"/>
            </w:rPr>
            <w:t xml:space="preserve"> </w:t>
          </w:r>
          <w:r w:rsidRPr="00744149">
            <w:rPr>
              <w:b/>
              <w:bCs/>
              <w:color w:val="000000"/>
            </w:rPr>
            <w:t>25</w:t>
          </w:r>
          <w:r w:rsidRPr="00744149">
            <w:rPr>
              <w:color w:val="000000"/>
            </w:rPr>
            <w:t>, 3–9 (2022).</w:t>
          </w:r>
        </w:p>
        <w:p w14:paraId="05BDA4CB" w14:textId="77777777" w:rsidR="00744149" w:rsidRPr="00744149" w:rsidRDefault="00744149">
          <w:pPr>
            <w:autoSpaceDE w:val="0"/>
            <w:autoSpaceDN w:val="0"/>
            <w:ind w:hanging="640"/>
            <w:divId w:val="1447506504"/>
            <w:rPr>
              <w:color w:val="000000"/>
            </w:rPr>
          </w:pPr>
          <w:r w:rsidRPr="00744149">
            <w:rPr>
              <w:color w:val="000000"/>
            </w:rPr>
            <w:t>2.</w:t>
          </w:r>
          <w:r w:rsidRPr="00744149">
            <w:rPr>
              <w:color w:val="000000"/>
            </w:rPr>
            <w:tab/>
            <w:t xml:space="preserve">Gasparrini, A. &amp; Leone, M. Attributable risk from distributed lag models. </w:t>
          </w:r>
          <w:r w:rsidRPr="00744149">
            <w:rPr>
              <w:i/>
              <w:iCs/>
              <w:color w:val="000000"/>
            </w:rPr>
            <w:t xml:space="preserve">BMC Med. Res. </w:t>
          </w:r>
          <w:proofErr w:type="spellStart"/>
          <w:r w:rsidRPr="00744149">
            <w:rPr>
              <w:i/>
              <w:iCs/>
              <w:color w:val="000000"/>
            </w:rPr>
            <w:t>Methodol</w:t>
          </w:r>
          <w:proofErr w:type="spellEnd"/>
          <w:r w:rsidRPr="00744149">
            <w:rPr>
              <w:i/>
              <w:iCs/>
              <w:color w:val="000000"/>
            </w:rPr>
            <w:t>.</w:t>
          </w:r>
          <w:r w:rsidRPr="00744149">
            <w:rPr>
              <w:color w:val="000000"/>
            </w:rPr>
            <w:t xml:space="preserve"> </w:t>
          </w:r>
          <w:r w:rsidRPr="00744149">
            <w:rPr>
              <w:b/>
              <w:bCs/>
              <w:color w:val="000000"/>
            </w:rPr>
            <w:t>14</w:t>
          </w:r>
          <w:r w:rsidRPr="00744149">
            <w:rPr>
              <w:color w:val="000000"/>
            </w:rPr>
            <w:t>, 1–8 (2014).</w:t>
          </w:r>
        </w:p>
        <w:p w14:paraId="5767A5CF" w14:textId="77777777" w:rsidR="00744149" w:rsidRPr="00744149" w:rsidRDefault="00744149">
          <w:pPr>
            <w:autoSpaceDE w:val="0"/>
            <w:autoSpaceDN w:val="0"/>
            <w:ind w:hanging="640"/>
            <w:divId w:val="1727678906"/>
            <w:rPr>
              <w:color w:val="000000"/>
            </w:rPr>
          </w:pPr>
          <w:r w:rsidRPr="00744149">
            <w:rPr>
              <w:color w:val="000000"/>
            </w:rPr>
            <w:t>3.</w:t>
          </w:r>
          <w:r w:rsidRPr="00744149">
            <w:rPr>
              <w:color w:val="000000"/>
            </w:rPr>
            <w:tab/>
          </w:r>
          <w:proofErr w:type="spellStart"/>
          <w:r w:rsidRPr="00744149">
            <w:rPr>
              <w:color w:val="000000"/>
            </w:rPr>
            <w:t>Gasparrinia</w:t>
          </w:r>
          <w:proofErr w:type="spellEnd"/>
          <w:r w:rsidRPr="00744149">
            <w:rPr>
              <w:color w:val="000000"/>
            </w:rPr>
            <w:t xml:space="preserve">, A., Armstrong, B. &amp; Kenward, M. G. Distributed lag non-linear models. </w:t>
          </w:r>
          <w:r w:rsidRPr="00744149">
            <w:rPr>
              <w:i/>
              <w:iCs/>
              <w:color w:val="000000"/>
            </w:rPr>
            <w:t>Stat. Med.</w:t>
          </w:r>
          <w:r w:rsidRPr="00744149">
            <w:rPr>
              <w:color w:val="000000"/>
            </w:rPr>
            <w:t xml:space="preserve"> </w:t>
          </w:r>
          <w:r w:rsidRPr="00744149">
            <w:rPr>
              <w:b/>
              <w:bCs/>
              <w:color w:val="000000"/>
            </w:rPr>
            <w:t>29</w:t>
          </w:r>
          <w:r w:rsidRPr="00744149">
            <w:rPr>
              <w:color w:val="000000"/>
            </w:rPr>
            <w:t>, 2224–2234 (2010).</w:t>
          </w:r>
        </w:p>
        <w:p w14:paraId="3E50DA87" w14:textId="77777777" w:rsidR="00744149" w:rsidRPr="00744149" w:rsidRDefault="00744149">
          <w:pPr>
            <w:autoSpaceDE w:val="0"/>
            <w:autoSpaceDN w:val="0"/>
            <w:ind w:hanging="640"/>
            <w:divId w:val="80414639"/>
            <w:rPr>
              <w:color w:val="000000"/>
            </w:rPr>
          </w:pPr>
          <w:r w:rsidRPr="00744149">
            <w:rPr>
              <w:color w:val="000000"/>
            </w:rPr>
            <w:t>4.</w:t>
          </w:r>
          <w:r w:rsidRPr="00744149">
            <w:rPr>
              <w:color w:val="000000"/>
            </w:rPr>
            <w:tab/>
            <w:t xml:space="preserve">Gasparrini, A. Modeling exposure-lag-response associations with distributed lag non-linear models. </w:t>
          </w:r>
          <w:r w:rsidRPr="00744149">
            <w:rPr>
              <w:i/>
              <w:iCs/>
              <w:color w:val="000000"/>
            </w:rPr>
            <w:t>Stat. Med.</w:t>
          </w:r>
          <w:r w:rsidRPr="00744149">
            <w:rPr>
              <w:color w:val="000000"/>
            </w:rPr>
            <w:t xml:space="preserve"> </w:t>
          </w:r>
          <w:r w:rsidRPr="00744149">
            <w:rPr>
              <w:b/>
              <w:bCs/>
              <w:color w:val="000000"/>
            </w:rPr>
            <w:t>33</w:t>
          </w:r>
          <w:r w:rsidRPr="00744149">
            <w:rPr>
              <w:color w:val="000000"/>
            </w:rPr>
            <w:t>, 881–899 (2014).</w:t>
          </w:r>
        </w:p>
        <w:p w14:paraId="3EDC4F33" w14:textId="77777777" w:rsidR="00744149" w:rsidRPr="00744149" w:rsidRDefault="00744149">
          <w:pPr>
            <w:autoSpaceDE w:val="0"/>
            <w:autoSpaceDN w:val="0"/>
            <w:ind w:hanging="640"/>
            <w:divId w:val="1449736300"/>
            <w:rPr>
              <w:color w:val="000000"/>
            </w:rPr>
          </w:pPr>
          <w:r w:rsidRPr="00744149">
            <w:rPr>
              <w:color w:val="000000"/>
            </w:rPr>
            <w:t>5.</w:t>
          </w:r>
          <w:r w:rsidRPr="00744149">
            <w:rPr>
              <w:color w:val="000000"/>
            </w:rPr>
            <w:tab/>
            <w:t>Gasparrini, A. &amp; Armstrong, B. Reducing and meta-</w:t>
          </w:r>
          <w:proofErr w:type="spellStart"/>
          <w:r w:rsidRPr="00744149">
            <w:rPr>
              <w:color w:val="000000"/>
            </w:rPr>
            <w:t>analysing</w:t>
          </w:r>
          <w:proofErr w:type="spellEnd"/>
          <w:r w:rsidRPr="00744149">
            <w:rPr>
              <w:color w:val="000000"/>
            </w:rPr>
            <w:t xml:space="preserve"> estimates from distributed lag non-linear models. </w:t>
          </w:r>
          <w:r w:rsidRPr="00744149">
            <w:rPr>
              <w:i/>
              <w:iCs/>
              <w:color w:val="000000"/>
            </w:rPr>
            <w:t xml:space="preserve">BMC Med. Res. </w:t>
          </w:r>
          <w:proofErr w:type="spellStart"/>
          <w:r w:rsidRPr="00744149">
            <w:rPr>
              <w:i/>
              <w:iCs/>
              <w:color w:val="000000"/>
            </w:rPr>
            <w:t>Methodol</w:t>
          </w:r>
          <w:proofErr w:type="spellEnd"/>
          <w:r w:rsidRPr="00744149">
            <w:rPr>
              <w:i/>
              <w:iCs/>
              <w:color w:val="000000"/>
            </w:rPr>
            <w:t>.</w:t>
          </w:r>
          <w:r w:rsidRPr="00744149">
            <w:rPr>
              <w:color w:val="000000"/>
            </w:rPr>
            <w:t xml:space="preserve"> </w:t>
          </w:r>
          <w:r w:rsidRPr="00744149">
            <w:rPr>
              <w:b/>
              <w:bCs/>
              <w:color w:val="000000"/>
            </w:rPr>
            <w:t>13</w:t>
          </w:r>
          <w:r w:rsidRPr="00744149">
            <w:rPr>
              <w:color w:val="000000"/>
            </w:rPr>
            <w:t>, 1–10 (2013).</w:t>
          </w:r>
        </w:p>
        <w:p w14:paraId="24D72F6C" w14:textId="77777777" w:rsidR="00744149" w:rsidRPr="00744149" w:rsidRDefault="00744149">
          <w:pPr>
            <w:autoSpaceDE w:val="0"/>
            <w:autoSpaceDN w:val="0"/>
            <w:ind w:hanging="640"/>
            <w:divId w:val="78059721"/>
            <w:rPr>
              <w:color w:val="000000"/>
            </w:rPr>
          </w:pPr>
          <w:r w:rsidRPr="00744149">
            <w:rPr>
              <w:color w:val="000000"/>
            </w:rPr>
            <w:t>6.</w:t>
          </w:r>
          <w:r w:rsidRPr="00744149">
            <w:rPr>
              <w:color w:val="000000"/>
            </w:rPr>
            <w:tab/>
            <w:t xml:space="preserve">Tuyl, F., Gerlach, R. &amp; </w:t>
          </w:r>
          <w:proofErr w:type="spellStart"/>
          <w:r w:rsidRPr="00744149">
            <w:rPr>
              <w:color w:val="000000"/>
            </w:rPr>
            <w:t>Mengersen</w:t>
          </w:r>
          <w:proofErr w:type="spellEnd"/>
          <w:r w:rsidRPr="00744149">
            <w:rPr>
              <w:color w:val="000000"/>
            </w:rPr>
            <w:t xml:space="preserve">, K. A Comparison of Bayes–Laplace, Jeffreys, and Other Priors. </w:t>
          </w:r>
          <w:r w:rsidRPr="00744149">
            <w:rPr>
              <w:i/>
              <w:iCs/>
              <w:color w:val="000000"/>
            </w:rPr>
            <w:t>Am. Stat.</w:t>
          </w:r>
          <w:r w:rsidRPr="00744149">
            <w:rPr>
              <w:color w:val="000000"/>
            </w:rPr>
            <w:t xml:space="preserve"> </w:t>
          </w:r>
          <w:r w:rsidRPr="00744149">
            <w:rPr>
              <w:b/>
              <w:bCs/>
              <w:color w:val="000000"/>
            </w:rPr>
            <w:t>62</w:t>
          </w:r>
          <w:r w:rsidRPr="00744149">
            <w:rPr>
              <w:color w:val="000000"/>
            </w:rPr>
            <w:t>, 40–44 (2008).</w:t>
          </w:r>
        </w:p>
        <w:p w14:paraId="6E42F82E" w14:textId="77777777" w:rsidR="00744149" w:rsidRPr="00744149" w:rsidRDefault="00744149">
          <w:pPr>
            <w:autoSpaceDE w:val="0"/>
            <w:autoSpaceDN w:val="0"/>
            <w:ind w:hanging="640"/>
            <w:divId w:val="1899901206"/>
            <w:rPr>
              <w:color w:val="000000"/>
              <w:lang w:val="de-DE"/>
            </w:rPr>
          </w:pPr>
          <w:r w:rsidRPr="00744149">
            <w:rPr>
              <w:color w:val="000000"/>
            </w:rPr>
            <w:t>7.</w:t>
          </w:r>
          <w:r w:rsidRPr="00744149">
            <w:rPr>
              <w:color w:val="000000"/>
            </w:rPr>
            <w:tab/>
          </w:r>
          <w:proofErr w:type="spellStart"/>
          <w:r w:rsidRPr="00744149">
            <w:rPr>
              <w:color w:val="000000"/>
            </w:rPr>
            <w:t>Thalagala</w:t>
          </w:r>
          <w:proofErr w:type="spellEnd"/>
          <w:r w:rsidRPr="00744149">
            <w:rPr>
              <w:color w:val="000000"/>
            </w:rPr>
            <w:t xml:space="preserve">, N. </w:t>
          </w:r>
          <w:r w:rsidRPr="00744149">
            <w:rPr>
              <w:i/>
              <w:iCs/>
              <w:color w:val="000000"/>
            </w:rPr>
            <w:t>et al.</w:t>
          </w:r>
          <w:r w:rsidRPr="00744149">
            <w:rPr>
              <w:color w:val="000000"/>
            </w:rPr>
            <w:t xml:space="preserve"> Costs of Dengue Control Activities and Hospitalizations in the Public Health Sector during an Epidemic Year in Urban Sri Lanka. </w:t>
          </w:r>
          <w:r w:rsidRPr="00744149">
            <w:rPr>
              <w:i/>
              <w:iCs/>
              <w:color w:val="000000"/>
              <w:lang w:val="de-DE"/>
            </w:rPr>
            <w:t xml:space="preserve">PLoS </w:t>
          </w:r>
          <w:proofErr w:type="spellStart"/>
          <w:r w:rsidRPr="00744149">
            <w:rPr>
              <w:i/>
              <w:iCs/>
              <w:color w:val="000000"/>
              <w:lang w:val="de-DE"/>
            </w:rPr>
            <w:t>Negl</w:t>
          </w:r>
          <w:proofErr w:type="spellEnd"/>
          <w:r w:rsidRPr="00744149">
            <w:rPr>
              <w:i/>
              <w:iCs/>
              <w:color w:val="000000"/>
              <w:lang w:val="de-DE"/>
            </w:rPr>
            <w:t>. Trop. Dis.</w:t>
          </w:r>
          <w:r w:rsidRPr="00744149">
            <w:rPr>
              <w:color w:val="000000"/>
              <w:lang w:val="de-DE"/>
            </w:rPr>
            <w:t xml:space="preserve"> </w:t>
          </w:r>
          <w:r w:rsidRPr="00744149">
            <w:rPr>
              <w:b/>
              <w:bCs/>
              <w:color w:val="000000"/>
              <w:lang w:val="de-DE"/>
            </w:rPr>
            <w:t>10</w:t>
          </w:r>
          <w:r w:rsidRPr="00744149">
            <w:rPr>
              <w:color w:val="000000"/>
              <w:lang w:val="de-DE"/>
            </w:rPr>
            <w:t>, e0004466 (2016).</w:t>
          </w:r>
        </w:p>
        <w:p w14:paraId="1A37F486" w14:textId="77777777" w:rsidR="00744149" w:rsidRPr="00744149" w:rsidRDefault="00744149">
          <w:pPr>
            <w:autoSpaceDE w:val="0"/>
            <w:autoSpaceDN w:val="0"/>
            <w:ind w:hanging="640"/>
            <w:divId w:val="811992125"/>
            <w:rPr>
              <w:color w:val="000000"/>
            </w:rPr>
          </w:pPr>
          <w:r w:rsidRPr="00744149">
            <w:rPr>
              <w:color w:val="000000"/>
              <w:lang w:val="de-DE"/>
            </w:rPr>
            <w:t>8.</w:t>
          </w:r>
          <w:r w:rsidRPr="00744149">
            <w:rPr>
              <w:color w:val="000000"/>
              <w:lang w:val="de-DE"/>
            </w:rPr>
            <w:tab/>
            <w:t xml:space="preserve">Fernando, E. S. </w:t>
          </w:r>
          <w:r w:rsidRPr="00744149">
            <w:rPr>
              <w:i/>
              <w:iCs/>
              <w:color w:val="000000"/>
              <w:lang w:val="de-DE"/>
            </w:rPr>
            <w:t>et al.</w:t>
          </w:r>
          <w:r w:rsidRPr="00744149">
            <w:rPr>
              <w:color w:val="000000"/>
              <w:lang w:val="de-DE"/>
            </w:rPr>
            <w:t xml:space="preserve"> </w:t>
          </w:r>
          <w:r w:rsidRPr="00744149">
            <w:rPr>
              <w:color w:val="000000"/>
            </w:rPr>
            <w:t xml:space="preserve">Household and hospitalization costs of pediatric dengue illness in Colombo, Sri Lanka. </w:t>
          </w:r>
          <w:r w:rsidRPr="00744149">
            <w:rPr>
              <w:i/>
              <w:iCs/>
              <w:color w:val="000000"/>
            </w:rPr>
            <w:t xml:space="preserve">Am J Trop Med </w:t>
          </w:r>
          <w:proofErr w:type="spellStart"/>
          <w:r w:rsidRPr="00744149">
            <w:rPr>
              <w:i/>
              <w:iCs/>
              <w:color w:val="000000"/>
            </w:rPr>
            <w:t>Hyg</w:t>
          </w:r>
          <w:proofErr w:type="spellEnd"/>
          <w:r w:rsidRPr="00744149">
            <w:rPr>
              <w:color w:val="000000"/>
            </w:rPr>
            <w:t xml:space="preserve"> </w:t>
          </w:r>
          <w:r w:rsidRPr="00744149">
            <w:rPr>
              <w:b/>
              <w:bCs/>
              <w:color w:val="000000"/>
            </w:rPr>
            <w:t>105</w:t>
          </w:r>
          <w:r w:rsidRPr="00744149">
            <w:rPr>
              <w:color w:val="000000"/>
            </w:rPr>
            <w:t>, 110–116 (2021).</w:t>
          </w:r>
        </w:p>
        <w:p w14:paraId="6FAC7D3D" w14:textId="77777777" w:rsidR="00744149" w:rsidRPr="00744149" w:rsidRDefault="00744149">
          <w:pPr>
            <w:autoSpaceDE w:val="0"/>
            <w:autoSpaceDN w:val="0"/>
            <w:ind w:hanging="640"/>
            <w:divId w:val="1460149883"/>
            <w:rPr>
              <w:color w:val="000000"/>
            </w:rPr>
          </w:pPr>
          <w:r w:rsidRPr="00744149">
            <w:rPr>
              <w:color w:val="000000"/>
            </w:rPr>
            <w:t>9.</w:t>
          </w:r>
          <w:r w:rsidRPr="00744149">
            <w:rPr>
              <w:color w:val="000000"/>
            </w:rPr>
            <w:tab/>
            <w:t xml:space="preserve">Jo, C. Cost-of-illness studies: concepts, scopes, and methods. </w:t>
          </w:r>
          <w:r w:rsidRPr="00744149">
            <w:rPr>
              <w:i/>
              <w:iCs/>
              <w:color w:val="000000"/>
            </w:rPr>
            <w:t>Clin. Mol. Hepatol.</w:t>
          </w:r>
          <w:r w:rsidRPr="00744149">
            <w:rPr>
              <w:color w:val="000000"/>
            </w:rPr>
            <w:t xml:space="preserve"> </w:t>
          </w:r>
          <w:r w:rsidRPr="00744149">
            <w:rPr>
              <w:b/>
              <w:bCs/>
              <w:color w:val="000000"/>
            </w:rPr>
            <w:t>20</w:t>
          </w:r>
          <w:r w:rsidRPr="00744149">
            <w:rPr>
              <w:color w:val="000000"/>
            </w:rPr>
            <w:t>, 327 (2014).</w:t>
          </w:r>
        </w:p>
        <w:p w14:paraId="474D6EB7" w14:textId="77777777" w:rsidR="00744149" w:rsidRPr="00744149" w:rsidRDefault="00744149">
          <w:pPr>
            <w:autoSpaceDE w:val="0"/>
            <w:autoSpaceDN w:val="0"/>
            <w:ind w:hanging="640"/>
            <w:divId w:val="588851434"/>
            <w:rPr>
              <w:color w:val="000000"/>
            </w:rPr>
          </w:pPr>
          <w:r w:rsidRPr="00744149">
            <w:rPr>
              <w:color w:val="000000"/>
            </w:rPr>
            <w:t>10.</w:t>
          </w:r>
          <w:r w:rsidRPr="00744149">
            <w:rPr>
              <w:color w:val="000000"/>
            </w:rPr>
            <w:tab/>
            <w:t xml:space="preserve">Weerasinghe, N. P. </w:t>
          </w:r>
          <w:r w:rsidRPr="00744149">
            <w:rPr>
              <w:i/>
              <w:iCs/>
              <w:color w:val="000000"/>
            </w:rPr>
            <w:t>et al.</w:t>
          </w:r>
          <w:r w:rsidRPr="00744149">
            <w:rPr>
              <w:color w:val="000000"/>
            </w:rPr>
            <w:t xml:space="preserve"> Direct and indirect costs for hospitalized patients with dengue in Southern Sri Lanka. </w:t>
          </w:r>
          <w:r w:rsidRPr="00744149">
            <w:rPr>
              <w:i/>
              <w:iCs/>
              <w:color w:val="000000"/>
            </w:rPr>
            <w:t>BMC Health Serv Res</w:t>
          </w:r>
          <w:r w:rsidRPr="00744149">
            <w:rPr>
              <w:color w:val="000000"/>
            </w:rPr>
            <w:t xml:space="preserve"> </w:t>
          </w:r>
          <w:r w:rsidRPr="00744149">
            <w:rPr>
              <w:b/>
              <w:bCs/>
              <w:color w:val="000000"/>
            </w:rPr>
            <w:t>22</w:t>
          </w:r>
          <w:r w:rsidRPr="00744149">
            <w:rPr>
              <w:color w:val="000000"/>
            </w:rPr>
            <w:t>, 657 (2022).</w:t>
          </w:r>
        </w:p>
        <w:p w14:paraId="009D4F5B" w14:textId="77777777" w:rsidR="00744149" w:rsidRPr="00744149" w:rsidRDefault="00744149">
          <w:pPr>
            <w:autoSpaceDE w:val="0"/>
            <w:autoSpaceDN w:val="0"/>
            <w:ind w:hanging="640"/>
            <w:divId w:val="1103185601"/>
            <w:rPr>
              <w:color w:val="000000"/>
            </w:rPr>
          </w:pPr>
          <w:r w:rsidRPr="00744149">
            <w:rPr>
              <w:color w:val="000000"/>
            </w:rPr>
            <w:t>11.</w:t>
          </w:r>
          <w:r w:rsidRPr="00744149">
            <w:rPr>
              <w:color w:val="000000"/>
            </w:rPr>
            <w:tab/>
            <w:t xml:space="preserve">Wickramasinghe, Dr. H. T., Ranawaka, Prof. R., Kalra, Dr. P., Hanley, R. &amp; Gallagher, E. Evaluating the Economic Burden of Dengue in Sri Lanka: A Systematic Review of Costs from 2010 to 2024. </w:t>
          </w:r>
          <w:r w:rsidRPr="00744149">
            <w:rPr>
              <w:i/>
              <w:iCs/>
              <w:color w:val="000000"/>
            </w:rPr>
            <w:t>IJID Regions</w:t>
          </w:r>
          <w:r w:rsidRPr="00744149">
            <w:rPr>
              <w:color w:val="000000"/>
            </w:rPr>
            <w:t xml:space="preserve"> </w:t>
          </w:r>
          <w:r w:rsidRPr="00744149">
            <w:rPr>
              <w:b/>
              <w:bCs/>
              <w:color w:val="000000"/>
            </w:rPr>
            <w:t>18</w:t>
          </w:r>
          <w:r w:rsidRPr="00744149">
            <w:rPr>
              <w:color w:val="000000"/>
            </w:rPr>
            <w:t>, 100837 (2026).</w:t>
          </w:r>
        </w:p>
        <w:p w14:paraId="2DFA069D" w14:textId="77777777" w:rsidR="00744149" w:rsidRPr="00744149" w:rsidRDefault="00744149">
          <w:pPr>
            <w:autoSpaceDE w:val="0"/>
            <w:autoSpaceDN w:val="0"/>
            <w:ind w:hanging="640"/>
            <w:divId w:val="1645740360"/>
            <w:rPr>
              <w:color w:val="000000"/>
            </w:rPr>
          </w:pPr>
          <w:r w:rsidRPr="00744149">
            <w:rPr>
              <w:color w:val="000000"/>
            </w:rPr>
            <w:t>12.</w:t>
          </w:r>
          <w:r w:rsidRPr="00744149">
            <w:rPr>
              <w:color w:val="000000"/>
            </w:rPr>
            <w:tab/>
            <w:t>Gross Domestic Product | Central Bank of Sri Lanka. https://www.cbsl.gov.lk/en/statistics/economic-indicators/gross-domestic-product.</w:t>
          </w:r>
        </w:p>
        <w:p w14:paraId="6BDC837C" w14:textId="77777777" w:rsidR="00744149" w:rsidRPr="00744149" w:rsidRDefault="00744149">
          <w:pPr>
            <w:autoSpaceDE w:val="0"/>
            <w:autoSpaceDN w:val="0"/>
            <w:ind w:hanging="640"/>
            <w:divId w:val="1685205796"/>
            <w:rPr>
              <w:color w:val="000000"/>
            </w:rPr>
          </w:pPr>
          <w:r w:rsidRPr="00744149">
            <w:rPr>
              <w:color w:val="000000"/>
            </w:rPr>
            <w:t>13.</w:t>
          </w:r>
          <w:r w:rsidRPr="00744149">
            <w:rPr>
              <w:color w:val="000000"/>
            </w:rPr>
            <w:tab/>
            <w:t xml:space="preserve">Zeng, W., </w:t>
          </w:r>
          <w:proofErr w:type="spellStart"/>
          <w:r w:rsidRPr="00744149">
            <w:rPr>
              <w:color w:val="000000"/>
            </w:rPr>
            <w:t>Halasa</w:t>
          </w:r>
          <w:proofErr w:type="spellEnd"/>
          <w:r w:rsidRPr="00744149">
            <w:rPr>
              <w:color w:val="000000"/>
            </w:rPr>
            <w:t xml:space="preserve">-Rappel, Y. A., Durand, L., </w:t>
          </w:r>
          <w:proofErr w:type="spellStart"/>
          <w:r w:rsidRPr="00744149">
            <w:rPr>
              <w:color w:val="000000"/>
            </w:rPr>
            <w:t>Coudeville</w:t>
          </w:r>
          <w:proofErr w:type="spellEnd"/>
          <w:r w:rsidRPr="00744149">
            <w:rPr>
              <w:color w:val="000000"/>
            </w:rPr>
            <w:t xml:space="preserve">, L. &amp; Shepard, D. S. Impact of a nonfatal dengue episode on disability-adjusted life years: A systematic analysis. </w:t>
          </w:r>
          <w:r w:rsidRPr="00744149">
            <w:rPr>
              <w:i/>
              <w:iCs/>
              <w:color w:val="000000"/>
            </w:rPr>
            <w:t>American Journal of Tropical Medicine and Hygiene</w:t>
          </w:r>
          <w:r w:rsidRPr="00744149">
            <w:rPr>
              <w:color w:val="000000"/>
            </w:rPr>
            <w:t xml:space="preserve"> </w:t>
          </w:r>
          <w:r w:rsidRPr="00744149">
            <w:rPr>
              <w:b/>
              <w:bCs/>
              <w:color w:val="000000"/>
            </w:rPr>
            <w:t>99</w:t>
          </w:r>
          <w:r w:rsidRPr="00744149">
            <w:rPr>
              <w:color w:val="000000"/>
            </w:rPr>
            <w:t>, 1458–1465 (2018).</w:t>
          </w:r>
        </w:p>
        <w:p w14:paraId="05AD1836" w14:textId="77777777" w:rsidR="00744149" w:rsidRPr="00744149" w:rsidRDefault="00744149">
          <w:pPr>
            <w:autoSpaceDE w:val="0"/>
            <w:autoSpaceDN w:val="0"/>
            <w:ind w:hanging="640"/>
            <w:divId w:val="1428647497"/>
            <w:rPr>
              <w:color w:val="000000"/>
            </w:rPr>
          </w:pPr>
          <w:r w:rsidRPr="00744149">
            <w:rPr>
              <w:color w:val="000000"/>
            </w:rPr>
            <w:t>14.</w:t>
          </w:r>
          <w:r w:rsidRPr="00744149">
            <w:rPr>
              <w:color w:val="000000"/>
            </w:rPr>
            <w:tab/>
            <w:t xml:space="preserve">Stanaway, J. D. </w:t>
          </w:r>
          <w:r w:rsidRPr="00744149">
            <w:rPr>
              <w:i/>
              <w:iCs/>
              <w:color w:val="000000"/>
            </w:rPr>
            <w:t>et al.</w:t>
          </w:r>
          <w:r w:rsidRPr="00744149">
            <w:rPr>
              <w:color w:val="000000"/>
            </w:rPr>
            <w:t xml:space="preserve"> The global burden of dengue: an analysis from the Global Burden of Disease Study 2013. </w:t>
          </w:r>
          <w:r w:rsidRPr="00744149">
            <w:rPr>
              <w:i/>
              <w:iCs/>
              <w:color w:val="000000"/>
            </w:rPr>
            <w:t>Lancet Infect. Dis.</w:t>
          </w:r>
          <w:r w:rsidRPr="00744149">
            <w:rPr>
              <w:color w:val="000000"/>
            </w:rPr>
            <w:t xml:space="preserve"> </w:t>
          </w:r>
          <w:r w:rsidRPr="00744149">
            <w:rPr>
              <w:b/>
              <w:bCs/>
              <w:color w:val="000000"/>
            </w:rPr>
            <w:t>16</w:t>
          </w:r>
          <w:r w:rsidRPr="00744149">
            <w:rPr>
              <w:color w:val="000000"/>
            </w:rPr>
            <w:t>, 712–723 (2016).</w:t>
          </w:r>
        </w:p>
        <w:p w14:paraId="5C86778D" w14:textId="77777777" w:rsidR="00744149" w:rsidRPr="00744149" w:rsidRDefault="00744149">
          <w:pPr>
            <w:autoSpaceDE w:val="0"/>
            <w:autoSpaceDN w:val="0"/>
            <w:ind w:hanging="640"/>
            <w:divId w:val="180751841"/>
            <w:rPr>
              <w:color w:val="000000"/>
            </w:rPr>
          </w:pPr>
          <w:r w:rsidRPr="00744149">
            <w:rPr>
              <w:color w:val="000000"/>
            </w:rPr>
            <w:t>15.</w:t>
          </w:r>
          <w:r w:rsidRPr="00744149">
            <w:rPr>
              <w:color w:val="000000"/>
            </w:rPr>
            <w:tab/>
            <w:t xml:space="preserve">Paz-Bailey, G., Adams, L. E., Deen, J., Anderson, K. B. &amp; </w:t>
          </w:r>
          <w:proofErr w:type="spellStart"/>
          <w:r w:rsidRPr="00744149">
            <w:rPr>
              <w:color w:val="000000"/>
            </w:rPr>
            <w:t>Katzelnick</w:t>
          </w:r>
          <w:proofErr w:type="spellEnd"/>
          <w:r w:rsidRPr="00744149">
            <w:rPr>
              <w:color w:val="000000"/>
            </w:rPr>
            <w:t xml:space="preserve">, L. C. Dengue. </w:t>
          </w:r>
          <w:r w:rsidRPr="00744149">
            <w:rPr>
              <w:i/>
              <w:iCs/>
              <w:color w:val="000000"/>
            </w:rPr>
            <w:t>The Lancet</w:t>
          </w:r>
          <w:r w:rsidRPr="00744149">
            <w:rPr>
              <w:color w:val="000000"/>
            </w:rPr>
            <w:t xml:space="preserve"> </w:t>
          </w:r>
          <w:r w:rsidRPr="00744149">
            <w:rPr>
              <w:b/>
              <w:bCs/>
              <w:color w:val="000000"/>
            </w:rPr>
            <w:t>403</w:t>
          </w:r>
          <w:r w:rsidRPr="00744149">
            <w:rPr>
              <w:color w:val="000000"/>
            </w:rPr>
            <w:t>, 667–682 (2024).</w:t>
          </w:r>
        </w:p>
        <w:p w14:paraId="2DA5554F" w14:textId="77777777" w:rsidR="00744149" w:rsidRPr="00744149" w:rsidRDefault="00744149">
          <w:pPr>
            <w:autoSpaceDE w:val="0"/>
            <w:autoSpaceDN w:val="0"/>
            <w:ind w:hanging="640"/>
            <w:divId w:val="309486725"/>
            <w:rPr>
              <w:color w:val="000000"/>
            </w:rPr>
          </w:pPr>
          <w:r w:rsidRPr="00744149">
            <w:rPr>
              <w:color w:val="000000"/>
            </w:rPr>
            <w:t>16.</w:t>
          </w:r>
          <w:r w:rsidRPr="00744149">
            <w:rPr>
              <w:color w:val="000000"/>
            </w:rPr>
            <w:tab/>
            <w:t>HM Treasury. The Green Book: Central Government Guidance on Appraisal and Evaluation. https://www.gov.uk/government/publications/the-green-book-appraisal-and-evaluation-in-central-government.</w:t>
          </w:r>
        </w:p>
        <w:p w14:paraId="64C2529E" w14:textId="3AC67F8E" w:rsidR="00C95738" w:rsidRDefault="00744149" w:rsidP="001D4AC5">
          <w:pPr>
            <w:jc w:val="both"/>
            <w:rPr>
              <w:lang w:val="en-GB"/>
            </w:rPr>
          </w:pPr>
          <w:r w:rsidRPr="00744149">
            <w:rPr>
              <w:color w:val="000000"/>
            </w:rPr>
            <w:t> </w:t>
          </w:r>
        </w:p>
      </w:sdtContent>
    </w:sdt>
    <w:p w14:paraId="6148381E" w14:textId="253ADABF" w:rsidR="00C95738" w:rsidRPr="00C922B3" w:rsidRDefault="00C95738" w:rsidP="001D4AC5">
      <w:pPr>
        <w:jc w:val="both"/>
        <w:rPr>
          <w:lang w:val="en-GB"/>
        </w:rPr>
      </w:pPr>
    </w:p>
    <w:sectPr w:rsidR="00C95738" w:rsidRPr="00C922B3">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7AACD6" w14:textId="77777777" w:rsidR="00D95903" w:rsidRDefault="00D95903" w:rsidP="00450506">
      <w:r>
        <w:separator/>
      </w:r>
    </w:p>
  </w:endnote>
  <w:endnote w:type="continuationSeparator" w:id="0">
    <w:p w14:paraId="4D4C7B21" w14:textId="77777777" w:rsidR="00D95903" w:rsidRDefault="00D95903" w:rsidP="00450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55747528"/>
      <w:docPartObj>
        <w:docPartGallery w:val="Page Numbers (Bottom of Page)"/>
        <w:docPartUnique/>
      </w:docPartObj>
    </w:sdtPr>
    <w:sdtContent>
      <w:p w14:paraId="3ED9DCA0" w14:textId="434A194F" w:rsidR="00450506" w:rsidRDefault="00450506" w:rsidP="007725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EFA2E94" w14:textId="77777777" w:rsidR="00450506" w:rsidRDefault="00450506" w:rsidP="004505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08771541"/>
      <w:docPartObj>
        <w:docPartGallery w:val="Page Numbers (Bottom of Page)"/>
        <w:docPartUnique/>
      </w:docPartObj>
    </w:sdtPr>
    <w:sdtContent>
      <w:p w14:paraId="07884128" w14:textId="01AB8DA0" w:rsidR="00450506" w:rsidRDefault="00450506" w:rsidP="007725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283B5713" w14:textId="77777777" w:rsidR="00450506" w:rsidRDefault="00450506" w:rsidP="004505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684C80" w14:textId="77777777" w:rsidR="00D95903" w:rsidRDefault="00D95903" w:rsidP="00450506">
      <w:r>
        <w:separator/>
      </w:r>
    </w:p>
  </w:footnote>
  <w:footnote w:type="continuationSeparator" w:id="0">
    <w:p w14:paraId="6F76EB99" w14:textId="77777777" w:rsidR="00D95903" w:rsidRDefault="00D95903" w:rsidP="00450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36D62"/>
    <w:multiLevelType w:val="multilevel"/>
    <w:tmpl w:val="340A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1868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B3"/>
    <w:rsid w:val="000020DD"/>
    <w:rsid w:val="00005CCC"/>
    <w:rsid w:val="0000615E"/>
    <w:rsid w:val="00006EBA"/>
    <w:rsid w:val="0001788D"/>
    <w:rsid w:val="00030DBF"/>
    <w:rsid w:val="00041C1A"/>
    <w:rsid w:val="0004694A"/>
    <w:rsid w:val="00060D38"/>
    <w:rsid w:val="00061F50"/>
    <w:rsid w:val="00065144"/>
    <w:rsid w:val="00072B5C"/>
    <w:rsid w:val="00077D5B"/>
    <w:rsid w:val="00087836"/>
    <w:rsid w:val="00092C83"/>
    <w:rsid w:val="0009734A"/>
    <w:rsid w:val="00097DD9"/>
    <w:rsid w:val="00097F82"/>
    <w:rsid w:val="000A1C20"/>
    <w:rsid w:val="000A3E39"/>
    <w:rsid w:val="000A5B4F"/>
    <w:rsid w:val="000A71FA"/>
    <w:rsid w:val="000B217D"/>
    <w:rsid w:val="000B7C9A"/>
    <w:rsid w:val="000C36DA"/>
    <w:rsid w:val="000C40D4"/>
    <w:rsid w:val="000C7578"/>
    <w:rsid w:val="000F1A5A"/>
    <w:rsid w:val="000F23A8"/>
    <w:rsid w:val="000F3621"/>
    <w:rsid w:val="000F5609"/>
    <w:rsid w:val="0010418D"/>
    <w:rsid w:val="00107CEF"/>
    <w:rsid w:val="00114EBA"/>
    <w:rsid w:val="00115E5D"/>
    <w:rsid w:val="001267B8"/>
    <w:rsid w:val="00141E97"/>
    <w:rsid w:val="00146751"/>
    <w:rsid w:val="001506AC"/>
    <w:rsid w:val="00154657"/>
    <w:rsid w:val="0016441F"/>
    <w:rsid w:val="0016728D"/>
    <w:rsid w:val="001713E5"/>
    <w:rsid w:val="00177424"/>
    <w:rsid w:val="00180AA3"/>
    <w:rsid w:val="00191CBE"/>
    <w:rsid w:val="001968E0"/>
    <w:rsid w:val="00197F70"/>
    <w:rsid w:val="001A0EF1"/>
    <w:rsid w:val="001A4C85"/>
    <w:rsid w:val="001A6C68"/>
    <w:rsid w:val="001A7FED"/>
    <w:rsid w:val="001D30B2"/>
    <w:rsid w:val="001D4AC5"/>
    <w:rsid w:val="001E4221"/>
    <w:rsid w:val="001E4823"/>
    <w:rsid w:val="001E5DCD"/>
    <w:rsid w:val="001F1703"/>
    <w:rsid w:val="001F36BE"/>
    <w:rsid w:val="001F437F"/>
    <w:rsid w:val="00204E3A"/>
    <w:rsid w:val="002077F0"/>
    <w:rsid w:val="0021167B"/>
    <w:rsid w:val="0021409F"/>
    <w:rsid w:val="00215151"/>
    <w:rsid w:val="002247F4"/>
    <w:rsid w:val="002272A2"/>
    <w:rsid w:val="0023657F"/>
    <w:rsid w:val="00240154"/>
    <w:rsid w:val="00242100"/>
    <w:rsid w:val="002456BF"/>
    <w:rsid w:val="00262CF1"/>
    <w:rsid w:val="0027341B"/>
    <w:rsid w:val="00284B8A"/>
    <w:rsid w:val="002879CB"/>
    <w:rsid w:val="00292B10"/>
    <w:rsid w:val="002B212E"/>
    <w:rsid w:val="002B220D"/>
    <w:rsid w:val="002B5B69"/>
    <w:rsid w:val="002C359F"/>
    <w:rsid w:val="002D04A2"/>
    <w:rsid w:val="002D2BBB"/>
    <w:rsid w:val="00307B9E"/>
    <w:rsid w:val="003114EF"/>
    <w:rsid w:val="00322DE8"/>
    <w:rsid w:val="003243F8"/>
    <w:rsid w:val="00325A39"/>
    <w:rsid w:val="003342CB"/>
    <w:rsid w:val="00343130"/>
    <w:rsid w:val="003518F8"/>
    <w:rsid w:val="0035229C"/>
    <w:rsid w:val="003579FD"/>
    <w:rsid w:val="0036352C"/>
    <w:rsid w:val="00364252"/>
    <w:rsid w:val="00364637"/>
    <w:rsid w:val="00366E80"/>
    <w:rsid w:val="003712AF"/>
    <w:rsid w:val="00371A87"/>
    <w:rsid w:val="003742E5"/>
    <w:rsid w:val="00375843"/>
    <w:rsid w:val="00375AC5"/>
    <w:rsid w:val="00380354"/>
    <w:rsid w:val="00383833"/>
    <w:rsid w:val="003840AC"/>
    <w:rsid w:val="003845A4"/>
    <w:rsid w:val="00385575"/>
    <w:rsid w:val="00387131"/>
    <w:rsid w:val="00391592"/>
    <w:rsid w:val="00393120"/>
    <w:rsid w:val="003A26C4"/>
    <w:rsid w:val="003A3CC2"/>
    <w:rsid w:val="003D3CFD"/>
    <w:rsid w:val="003F25F7"/>
    <w:rsid w:val="003F34D6"/>
    <w:rsid w:val="004024F9"/>
    <w:rsid w:val="00405555"/>
    <w:rsid w:val="00415852"/>
    <w:rsid w:val="004205D7"/>
    <w:rsid w:val="004230EC"/>
    <w:rsid w:val="00442123"/>
    <w:rsid w:val="00450506"/>
    <w:rsid w:val="00457C8A"/>
    <w:rsid w:val="00461619"/>
    <w:rsid w:val="0047690C"/>
    <w:rsid w:val="004B017E"/>
    <w:rsid w:val="004B0B2A"/>
    <w:rsid w:val="004C1222"/>
    <w:rsid w:val="004C4613"/>
    <w:rsid w:val="004D195F"/>
    <w:rsid w:val="004E35CF"/>
    <w:rsid w:val="004E578B"/>
    <w:rsid w:val="004E6BA5"/>
    <w:rsid w:val="004E73B6"/>
    <w:rsid w:val="004F0D3C"/>
    <w:rsid w:val="00511792"/>
    <w:rsid w:val="00523BF1"/>
    <w:rsid w:val="00524D31"/>
    <w:rsid w:val="0052750A"/>
    <w:rsid w:val="00530461"/>
    <w:rsid w:val="00532C5E"/>
    <w:rsid w:val="00533E37"/>
    <w:rsid w:val="00545A3C"/>
    <w:rsid w:val="00553494"/>
    <w:rsid w:val="00555D04"/>
    <w:rsid w:val="00561CF8"/>
    <w:rsid w:val="00564FF0"/>
    <w:rsid w:val="00565C67"/>
    <w:rsid w:val="00571188"/>
    <w:rsid w:val="0057167E"/>
    <w:rsid w:val="00572A62"/>
    <w:rsid w:val="00573354"/>
    <w:rsid w:val="00590524"/>
    <w:rsid w:val="005928CC"/>
    <w:rsid w:val="005950EB"/>
    <w:rsid w:val="00597251"/>
    <w:rsid w:val="005A0474"/>
    <w:rsid w:val="005A18FB"/>
    <w:rsid w:val="005A1D63"/>
    <w:rsid w:val="005B4F14"/>
    <w:rsid w:val="005B4FD1"/>
    <w:rsid w:val="005B73AE"/>
    <w:rsid w:val="005C5C48"/>
    <w:rsid w:val="005C6B86"/>
    <w:rsid w:val="005D5A94"/>
    <w:rsid w:val="005E000D"/>
    <w:rsid w:val="005E6951"/>
    <w:rsid w:val="005F0C68"/>
    <w:rsid w:val="005F2B50"/>
    <w:rsid w:val="005F56DB"/>
    <w:rsid w:val="005F7685"/>
    <w:rsid w:val="0060731B"/>
    <w:rsid w:val="006325A4"/>
    <w:rsid w:val="00641C13"/>
    <w:rsid w:val="00661CEF"/>
    <w:rsid w:val="0067268C"/>
    <w:rsid w:val="006830A1"/>
    <w:rsid w:val="00685570"/>
    <w:rsid w:val="006932D3"/>
    <w:rsid w:val="00696108"/>
    <w:rsid w:val="00697F88"/>
    <w:rsid w:val="006A7321"/>
    <w:rsid w:val="006B2A4F"/>
    <w:rsid w:val="006B4CB8"/>
    <w:rsid w:val="006B5328"/>
    <w:rsid w:val="006C18D0"/>
    <w:rsid w:val="006C5D5D"/>
    <w:rsid w:val="006C7C2E"/>
    <w:rsid w:val="006D72A4"/>
    <w:rsid w:val="006E22F7"/>
    <w:rsid w:val="006E29EE"/>
    <w:rsid w:val="006E2F9B"/>
    <w:rsid w:val="006E3C0B"/>
    <w:rsid w:val="006F2323"/>
    <w:rsid w:val="006F43FB"/>
    <w:rsid w:val="006F627C"/>
    <w:rsid w:val="00706E2C"/>
    <w:rsid w:val="00710667"/>
    <w:rsid w:val="007139EA"/>
    <w:rsid w:val="0071634D"/>
    <w:rsid w:val="00720F3D"/>
    <w:rsid w:val="007302E8"/>
    <w:rsid w:val="00744149"/>
    <w:rsid w:val="00747EC6"/>
    <w:rsid w:val="00752A57"/>
    <w:rsid w:val="00757B13"/>
    <w:rsid w:val="0076450E"/>
    <w:rsid w:val="007725A9"/>
    <w:rsid w:val="007779C5"/>
    <w:rsid w:val="007836AE"/>
    <w:rsid w:val="007853EF"/>
    <w:rsid w:val="00793ACC"/>
    <w:rsid w:val="007967DA"/>
    <w:rsid w:val="007A1C8B"/>
    <w:rsid w:val="007B5C6C"/>
    <w:rsid w:val="007B7134"/>
    <w:rsid w:val="007C27EC"/>
    <w:rsid w:val="007D5B83"/>
    <w:rsid w:val="007D65EB"/>
    <w:rsid w:val="007E735E"/>
    <w:rsid w:val="007F708E"/>
    <w:rsid w:val="00803AB3"/>
    <w:rsid w:val="0080644E"/>
    <w:rsid w:val="00807BC4"/>
    <w:rsid w:val="00821432"/>
    <w:rsid w:val="008253B6"/>
    <w:rsid w:val="008253FB"/>
    <w:rsid w:val="00837575"/>
    <w:rsid w:val="008423F4"/>
    <w:rsid w:val="00843069"/>
    <w:rsid w:val="00850518"/>
    <w:rsid w:val="00853C8D"/>
    <w:rsid w:val="008547FF"/>
    <w:rsid w:val="00870231"/>
    <w:rsid w:val="00871591"/>
    <w:rsid w:val="00875C07"/>
    <w:rsid w:val="00883A85"/>
    <w:rsid w:val="00883F55"/>
    <w:rsid w:val="0089089A"/>
    <w:rsid w:val="00894C3A"/>
    <w:rsid w:val="00896CED"/>
    <w:rsid w:val="008B6499"/>
    <w:rsid w:val="008C0F67"/>
    <w:rsid w:val="008C40F0"/>
    <w:rsid w:val="008D1098"/>
    <w:rsid w:val="008D5DAC"/>
    <w:rsid w:val="008E3C58"/>
    <w:rsid w:val="008E69FC"/>
    <w:rsid w:val="008F0CA3"/>
    <w:rsid w:val="008F406F"/>
    <w:rsid w:val="00903ED0"/>
    <w:rsid w:val="00912561"/>
    <w:rsid w:val="00917071"/>
    <w:rsid w:val="009212F2"/>
    <w:rsid w:val="009217FF"/>
    <w:rsid w:val="00924238"/>
    <w:rsid w:val="00925178"/>
    <w:rsid w:val="009251C8"/>
    <w:rsid w:val="00927403"/>
    <w:rsid w:val="009277F3"/>
    <w:rsid w:val="0093035D"/>
    <w:rsid w:val="00935478"/>
    <w:rsid w:val="00935E54"/>
    <w:rsid w:val="00941A70"/>
    <w:rsid w:val="00942876"/>
    <w:rsid w:val="009555F1"/>
    <w:rsid w:val="00955CB5"/>
    <w:rsid w:val="00956C15"/>
    <w:rsid w:val="00963700"/>
    <w:rsid w:val="00970898"/>
    <w:rsid w:val="00971BDB"/>
    <w:rsid w:val="00973197"/>
    <w:rsid w:val="00981ADA"/>
    <w:rsid w:val="00995B27"/>
    <w:rsid w:val="009A07E2"/>
    <w:rsid w:val="009A1425"/>
    <w:rsid w:val="009A2BE8"/>
    <w:rsid w:val="009B6B13"/>
    <w:rsid w:val="009D0CB5"/>
    <w:rsid w:val="009E1BB7"/>
    <w:rsid w:val="009E5466"/>
    <w:rsid w:val="009F1411"/>
    <w:rsid w:val="009F3E84"/>
    <w:rsid w:val="009F6C8F"/>
    <w:rsid w:val="00A02C1E"/>
    <w:rsid w:val="00A160C6"/>
    <w:rsid w:val="00A16BF5"/>
    <w:rsid w:val="00A174A7"/>
    <w:rsid w:val="00A2492F"/>
    <w:rsid w:val="00A2715E"/>
    <w:rsid w:val="00A301FC"/>
    <w:rsid w:val="00A447AE"/>
    <w:rsid w:val="00A44ED6"/>
    <w:rsid w:val="00A46B6A"/>
    <w:rsid w:val="00A55592"/>
    <w:rsid w:val="00A56531"/>
    <w:rsid w:val="00A73AB1"/>
    <w:rsid w:val="00A76B19"/>
    <w:rsid w:val="00A93E4F"/>
    <w:rsid w:val="00A945F5"/>
    <w:rsid w:val="00AA070C"/>
    <w:rsid w:val="00AB6CAF"/>
    <w:rsid w:val="00AC4AA0"/>
    <w:rsid w:val="00AC66F9"/>
    <w:rsid w:val="00AC7E92"/>
    <w:rsid w:val="00AD2C19"/>
    <w:rsid w:val="00AE2DDA"/>
    <w:rsid w:val="00AE3B08"/>
    <w:rsid w:val="00AF59C5"/>
    <w:rsid w:val="00B009A9"/>
    <w:rsid w:val="00B01503"/>
    <w:rsid w:val="00B06E80"/>
    <w:rsid w:val="00B104A5"/>
    <w:rsid w:val="00B108A1"/>
    <w:rsid w:val="00B15133"/>
    <w:rsid w:val="00B167F5"/>
    <w:rsid w:val="00B24CB6"/>
    <w:rsid w:val="00B34F32"/>
    <w:rsid w:val="00B45AD0"/>
    <w:rsid w:val="00B50A3D"/>
    <w:rsid w:val="00B54AB9"/>
    <w:rsid w:val="00B560D7"/>
    <w:rsid w:val="00B612F9"/>
    <w:rsid w:val="00B644B6"/>
    <w:rsid w:val="00B64AE1"/>
    <w:rsid w:val="00B65254"/>
    <w:rsid w:val="00B70C01"/>
    <w:rsid w:val="00B718CE"/>
    <w:rsid w:val="00B7270C"/>
    <w:rsid w:val="00B72D65"/>
    <w:rsid w:val="00B72E41"/>
    <w:rsid w:val="00B73C0B"/>
    <w:rsid w:val="00B74324"/>
    <w:rsid w:val="00B80DAA"/>
    <w:rsid w:val="00B811BD"/>
    <w:rsid w:val="00B82641"/>
    <w:rsid w:val="00B90280"/>
    <w:rsid w:val="00B94CBB"/>
    <w:rsid w:val="00B95F8E"/>
    <w:rsid w:val="00BA116D"/>
    <w:rsid w:val="00BA1C41"/>
    <w:rsid w:val="00BB0F00"/>
    <w:rsid w:val="00BB7815"/>
    <w:rsid w:val="00BC4ECA"/>
    <w:rsid w:val="00BD38F2"/>
    <w:rsid w:val="00BD4361"/>
    <w:rsid w:val="00BE0740"/>
    <w:rsid w:val="00BE2DF6"/>
    <w:rsid w:val="00BF73CF"/>
    <w:rsid w:val="00C05101"/>
    <w:rsid w:val="00C13DC4"/>
    <w:rsid w:val="00C200D8"/>
    <w:rsid w:val="00C20178"/>
    <w:rsid w:val="00C220DB"/>
    <w:rsid w:val="00C23852"/>
    <w:rsid w:val="00C24561"/>
    <w:rsid w:val="00C415AB"/>
    <w:rsid w:val="00C52CBB"/>
    <w:rsid w:val="00C557A3"/>
    <w:rsid w:val="00C704F8"/>
    <w:rsid w:val="00C7219A"/>
    <w:rsid w:val="00C775FF"/>
    <w:rsid w:val="00C81B8C"/>
    <w:rsid w:val="00C830F0"/>
    <w:rsid w:val="00C8703E"/>
    <w:rsid w:val="00C90CFE"/>
    <w:rsid w:val="00C922B3"/>
    <w:rsid w:val="00C93D16"/>
    <w:rsid w:val="00C95738"/>
    <w:rsid w:val="00CC41B8"/>
    <w:rsid w:val="00CC616A"/>
    <w:rsid w:val="00CD3247"/>
    <w:rsid w:val="00CD69FF"/>
    <w:rsid w:val="00D000CE"/>
    <w:rsid w:val="00D05473"/>
    <w:rsid w:val="00D11B11"/>
    <w:rsid w:val="00D14F21"/>
    <w:rsid w:val="00D20064"/>
    <w:rsid w:val="00D2072E"/>
    <w:rsid w:val="00D3334E"/>
    <w:rsid w:val="00D33CDA"/>
    <w:rsid w:val="00D36FF3"/>
    <w:rsid w:val="00D40E33"/>
    <w:rsid w:val="00D45A06"/>
    <w:rsid w:val="00D538EF"/>
    <w:rsid w:val="00D54442"/>
    <w:rsid w:val="00D5562A"/>
    <w:rsid w:val="00D67AB5"/>
    <w:rsid w:val="00D75A3F"/>
    <w:rsid w:val="00D75BD2"/>
    <w:rsid w:val="00D85B63"/>
    <w:rsid w:val="00D87B9F"/>
    <w:rsid w:val="00D9344D"/>
    <w:rsid w:val="00D95903"/>
    <w:rsid w:val="00DA19A1"/>
    <w:rsid w:val="00DA60CF"/>
    <w:rsid w:val="00DC6D06"/>
    <w:rsid w:val="00DD42BE"/>
    <w:rsid w:val="00DF3EF5"/>
    <w:rsid w:val="00DF48BD"/>
    <w:rsid w:val="00DF7DE9"/>
    <w:rsid w:val="00E0234D"/>
    <w:rsid w:val="00E122CD"/>
    <w:rsid w:val="00E15C9E"/>
    <w:rsid w:val="00E23AFF"/>
    <w:rsid w:val="00E26728"/>
    <w:rsid w:val="00E30042"/>
    <w:rsid w:val="00E31BD3"/>
    <w:rsid w:val="00E36B17"/>
    <w:rsid w:val="00E3769F"/>
    <w:rsid w:val="00E379D2"/>
    <w:rsid w:val="00E443D8"/>
    <w:rsid w:val="00E509D5"/>
    <w:rsid w:val="00E54BF7"/>
    <w:rsid w:val="00E815DE"/>
    <w:rsid w:val="00E8347E"/>
    <w:rsid w:val="00E83955"/>
    <w:rsid w:val="00E872FB"/>
    <w:rsid w:val="00EA1546"/>
    <w:rsid w:val="00EA7D3F"/>
    <w:rsid w:val="00EB3178"/>
    <w:rsid w:val="00EB53AD"/>
    <w:rsid w:val="00EB6B13"/>
    <w:rsid w:val="00EC448C"/>
    <w:rsid w:val="00ED1BC5"/>
    <w:rsid w:val="00ED7E44"/>
    <w:rsid w:val="00EE0E47"/>
    <w:rsid w:val="00EE4DD6"/>
    <w:rsid w:val="00EE77F6"/>
    <w:rsid w:val="00EF1260"/>
    <w:rsid w:val="00EF7C2D"/>
    <w:rsid w:val="00F13F85"/>
    <w:rsid w:val="00F16845"/>
    <w:rsid w:val="00F25F20"/>
    <w:rsid w:val="00F35F93"/>
    <w:rsid w:val="00F42101"/>
    <w:rsid w:val="00F44AB8"/>
    <w:rsid w:val="00F45944"/>
    <w:rsid w:val="00F50AC6"/>
    <w:rsid w:val="00F60CD7"/>
    <w:rsid w:val="00F61129"/>
    <w:rsid w:val="00F70EF1"/>
    <w:rsid w:val="00F806B0"/>
    <w:rsid w:val="00F825F8"/>
    <w:rsid w:val="00F861A6"/>
    <w:rsid w:val="00F8680B"/>
    <w:rsid w:val="00F907FC"/>
    <w:rsid w:val="00F930C3"/>
    <w:rsid w:val="00FA7728"/>
    <w:rsid w:val="00FB3616"/>
    <w:rsid w:val="00FB5206"/>
    <w:rsid w:val="00FB6940"/>
    <w:rsid w:val="00FC7509"/>
    <w:rsid w:val="00FF0D75"/>
    <w:rsid w:val="00FF1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366F9"/>
  <w15:chartTrackingRefBased/>
  <w15:docId w15:val="{83F31520-0178-B445-B476-4D29BD65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41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922B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C922B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C922B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C922B3"/>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922B3"/>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922B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922B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922B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922B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2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922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922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C922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22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22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2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2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2B3"/>
    <w:rPr>
      <w:rFonts w:eastAsiaTheme="majorEastAsia" w:cstheme="majorBidi"/>
      <w:color w:val="272727" w:themeColor="text1" w:themeTint="D8"/>
    </w:rPr>
  </w:style>
  <w:style w:type="paragraph" w:styleId="Title">
    <w:name w:val="Title"/>
    <w:basedOn w:val="Normal"/>
    <w:next w:val="Normal"/>
    <w:link w:val="TitleChar"/>
    <w:uiPriority w:val="10"/>
    <w:qFormat/>
    <w:rsid w:val="00C922B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2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2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22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2B3"/>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922B3"/>
    <w:rPr>
      <w:i/>
      <w:iCs/>
      <w:color w:val="404040" w:themeColor="text1" w:themeTint="BF"/>
    </w:rPr>
  </w:style>
  <w:style w:type="paragraph" w:styleId="ListParagraph">
    <w:name w:val="List Paragraph"/>
    <w:basedOn w:val="Normal"/>
    <w:uiPriority w:val="34"/>
    <w:qFormat/>
    <w:rsid w:val="00C922B3"/>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922B3"/>
    <w:rPr>
      <w:i/>
      <w:iCs/>
      <w:color w:val="2F5496" w:themeColor="accent1" w:themeShade="BF"/>
    </w:rPr>
  </w:style>
  <w:style w:type="paragraph" w:styleId="IntenseQuote">
    <w:name w:val="Intense Quote"/>
    <w:basedOn w:val="Normal"/>
    <w:next w:val="Normal"/>
    <w:link w:val="IntenseQuoteChar"/>
    <w:uiPriority w:val="30"/>
    <w:qFormat/>
    <w:rsid w:val="00C922B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C922B3"/>
    <w:rPr>
      <w:i/>
      <w:iCs/>
      <w:color w:val="2F5496" w:themeColor="accent1" w:themeShade="BF"/>
    </w:rPr>
  </w:style>
  <w:style w:type="character" w:styleId="IntenseReference">
    <w:name w:val="Intense Reference"/>
    <w:basedOn w:val="DefaultParagraphFont"/>
    <w:uiPriority w:val="32"/>
    <w:qFormat/>
    <w:rsid w:val="00C922B3"/>
    <w:rPr>
      <w:b/>
      <w:bCs/>
      <w:smallCaps/>
      <w:color w:val="2F5496" w:themeColor="accent1" w:themeShade="BF"/>
      <w:spacing w:val="5"/>
    </w:rPr>
  </w:style>
  <w:style w:type="character" w:styleId="Hyperlink">
    <w:name w:val="Hyperlink"/>
    <w:basedOn w:val="DefaultParagraphFont"/>
    <w:uiPriority w:val="99"/>
    <w:unhideWhenUsed/>
    <w:rsid w:val="00A46B6A"/>
    <w:rPr>
      <w:color w:val="0000FF"/>
      <w:u w:val="single"/>
    </w:rPr>
  </w:style>
  <w:style w:type="table" w:styleId="TableGrid">
    <w:name w:val="Table Grid"/>
    <w:basedOn w:val="TableNormal"/>
    <w:uiPriority w:val="39"/>
    <w:rsid w:val="00A46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50506"/>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450506"/>
  </w:style>
  <w:style w:type="character" w:styleId="PageNumber">
    <w:name w:val="page number"/>
    <w:basedOn w:val="DefaultParagraphFont"/>
    <w:uiPriority w:val="99"/>
    <w:semiHidden/>
    <w:unhideWhenUsed/>
    <w:rsid w:val="00450506"/>
  </w:style>
  <w:style w:type="character" w:styleId="Strong">
    <w:name w:val="Strong"/>
    <w:basedOn w:val="DefaultParagraphFont"/>
    <w:uiPriority w:val="22"/>
    <w:qFormat/>
    <w:rsid w:val="00B54AB9"/>
    <w:rPr>
      <w:b/>
      <w:bCs/>
    </w:rPr>
  </w:style>
  <w:style w:type="paragraph" w:styleId="NormalWeb">
    <w:name w:val="Normal (Web)"/>
    <w:basedOn w:val="Normal"/>
    <w:uiPriority w:val="99"/>
    <w:unhideWhenUsed/>
    <w:rsid w:val="00D67AB5"/>
    <w:pPr>
      <w:spacing w:before="100" w:beforeAutospacing="1" w:after="100" w:afterAutospacing="1"/>
    </w:pPr>
  </w:style>
  <w:style w:type="character" w:styleId="PlaceholderText">
    <w:name w:val="Placeholder Text"/>
    <w:basedOn w:val="DefaultParagraphFont"/>
    <w:uiPriority w:val="99"/>
    <w:semiHidden/>
    <w:rsid w:val="00D67AB5"/>
    <w:rPr>
      <w:color w:val="666666"/>
    </w:rPr>
  </w:style>
  <w:style w:type="character" w:customStyle="1" w:styleId="math-inline">
    <w:name w:val="math-inline"/>
    <w:basedOn w:val="DefaultParagraphFont"/>
    <w:rsid w:val="00366E80"/>
  </w:style>
  <w:style w:type="character" w:styleId="CommentReference">
    <w:name w:val="annotation reference"/>
    <w:basedOn w:val="DefaultParagraphFont"/>
    <w:uiPriority w:val="99"/>
    <w:semiHidden/>
    <w:unhideWhenUsed/>
    <w:rsid w:val="00092C83"/>
    <w:rPr>
      <w:sz w:val="16"/>
      <w:szCs w:val="16"/>
    </w:rPr>
  </w:style>
  <w:style w:type="paragraph" w:styleId="CommentText">
    <w:name w:val="annotation text"/>
    <w:basedOn w:val="Normal"/>
    <w:link w:val="CommentTextChar"/>
    <w:uiPriority w:val="99"/>
    <w:unhideWhenUsed/>
    <w:rsid w:val="00092C83"/>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092C83"/>
    <w:rPr>
      <w:sz w:val="20"/>
      <w:szCs w:val="20"/>
    </w:rPr>
  </w:style>
  <w:style w:type="character" w:styleId="Emphasis">
    <w:name w:val="Emphasis"/>
    <w:basedOn w:val="DefaultParagraphFont"/>
    <w:uiPriority w:val="20"/>
    <w:qFormat/>
    <w:rsid w:val="008F0CA3"/>
    <w:rPr>
      <w:i/>
      <w:iCs/>
    </w:rPr>
  </w:style>
  <w:style w:type="paragraph" w:styleId="TOCHeading">
    <w:name w:val="TOC Heading"/>
    <w:basedOn w:val="Heading1"/>
    <w:next w:val="Normal"/>
    <w:uiPriority w:val="39"/>
    <w:unhideWhenUsed/>
    <w:qFormat/>
    <w:rsid w:val="00924238"/>
    <w:pPr>
      <w:spacing w:before="480" w:after="0" w:line="276" w:lineRule="auto"/>
      <w:outlineLvl w:val="9"/>
    </w:pPr>
    <w:rPr>
      <w:b/>
      <w:bCs/>
      <w:kern w:val="0"/>
      <w:sz w:val="28"/>
      <w:szCs w:val="28"/>
      <w14:ligatures w14:val="none"/>
    </w:rPr>
  </w:style>
  <w:style w:type="paragraph" w:styleId="TOC2">
    <w:name w:val="toc 2"/>
    <w:basedOn w:val="Normal"/>
    <w:next w:val="Normal"/>
    <w:autoRedefine/>
    <w:uiPriority w:val="39"/>
    <w:unhideWhenUsed/>
    <w:rsid w:val="00924238"/>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924238"/>
    <w:pPr>
      <w:ind w:left="480"/>
    </w:pPr>
    <w:rPr>
      <w:rFonts w:asciiTheme="minorHAnsi" w:hAnsiTheme="minorHAnsi" w:cstheme="minorHAnsi"/>
      <w:i/>
      <w:iCs/>
      <w:sz w:val="20"/>
      <w:szCs w:val="20"/>
    </w:rPr>
  </w:style>
  <w:style w:type="paragraph" w:styleId="TOC1">
    <w:name w:val="toc 1"/>
    <w:basedOn w:val="Normal"/>
    <w:next w:val="Normal"/>
    <w:autoRedefine/>
    <w:uiPriority w:val="39"/>
    <w:semiHidden/>
    <w:unhideWhenUsed/>
    <w:rsid w:val="00924238"/>
    <w:pPr>
      <w:spacing w:before="120" w:after="120"/>
    </w:pPr>
    <w:rPr>
      <w:rFonts w:asciiTheme="minorHAnsi" w:hAnsiTheme="minorHAnsi" w:cstheme="minorHAnsi"/>
      <w:b/>
      <w:bCs/>
      <w:caps/>
      <w:sz w:val="20"/>
      <w:szCs w:val="20"/>
    </w:rPr>
  </w:style>
  <w:style w:type="paragraph" w:styleId="TOC4">
    <w:name w:val="toc 4"/>
    <w:basedOn w:val="Normal"/>
    <w:next w:val="Normal"/>
    <w:autoRedefine/>
    <w:uiPriority w:val="39"/>
    <w:semiHidden/>
    <w:unhideWhenUsed/>
    <w:rsid w:val="00924238"/>
    <w:pPr>
      <w:ind w:left="72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924238"/>
    <w:pPr>
      <w:ind w:left="96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924238"/>
    <w:pPr>
      <w:ind w:left="12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924238"/>
    <w:pPr>
      <w:ind w:left="144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924238"/>
    <w:pPr>
      <w:ind w:left="168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924238"/>
    <w:pPr>
      <w:ind w:left="1920"/>
    </w:pPr>
    <w:rPr>
      <w:rFonts w:asciiTheme="minorHAnsi" w:hAnsiTheme="minorHAnsi" w:cstheme="minorHAnsi"/>
      <w:sz w:val="18"/>
      <w:szCs w:val="18"/>
    </w:rPr>
  </w:style>
  <w:style w:type="paragraph" w:styleId="NoSpacing">
    <w:name w:val="No Spacing"/>
    <w:uiPriority w:val="1"/>
    <w:qFormat/>
    <w:rsid w:val="004E6BA5"/>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8833">
      <w:marLeft w:val="640"/>
      <w:marRight w:val="0"/>
      <w:marTop w:val="0"/>
      <w:marBottom w:val="0"/>
      <w:divBdr>
        <w:top w:val="none" w:sz="0" w:space="0" w:color="auto"/>
        <w:left w:val="none" w:sz="0" w:space="0" w:color="auto"/>
        <w:bottom w:val="none" w:sz="0" w:space="0" w:color="auto"/>
        <w:right w:val="none" w:sz="0" w:space="0" w:color="auto"/>
      </w:divBdr>
    </w:div>
    <w:div w:id="14310485">
      <w:marLeft w:val="640"/>
      <w:marRight w:val="0"/>
      <w:marTop w:val="0"/>
      <w:marBottom w:val="0"/>
      <w:divBdr>
        <w:top w:val="none" w:sz="0" w:space="0" w:color="auto"/>
        <w:left w:val="none" w:sz="0" w:space="0" w:color="auto"/>
        <w:bottom w:val="none" w:sz="0" w:space="0" w:color="auto"/>
        <w:right w:val="none" w:sz="0" w:space="0" w:color="auto"/>
      </w:divBdr>
    </w:div>
    <w:div w:id="43189136">
      <w:marLeft w:val="640"/>
      <w:marRight w:val="0"/>
      <w:marTop w:val="0"/>
      <w:marBottom w:val="0"/>
      <w:divBdr>
        <w:top w:val="none" w:sz="0" w:space="0" w:color="auto"/>
        <w:left w:val="none" w:sz="0" w:space="0" w:color="auto"/>
        <w:bottom w:val="none" w:sz="0" w:space="0" w:color="auto"/>
        <w:right w:val="none" w:sz="0" w:space="0" w:color="auto"/>
      </w:divBdr>
    </w:div>
    <w:div w:id="50079554">
      <w:marLeft w:val="640"/>
      <w:marRight w:val="0"/>
      <w:marTop w:val="0"/>
      <w:marBottom w:val="0"/>
      <w:divBdr>
        <w:top w:val="none" w:sz="0" w:space="0" w:color="auto"/>
        <w:left w:val="none" w:sz="0" w:space="0" w:color="auto"/>
        <w:bottom w:val="none" w:sz="0" w:space="0" w:color="auto"/>
        <w:right w:val="none" w:sz="0" w:space="0" w:color="auto"/>
      </w:divBdr>
    </w:div>
    <w:div w:id="73626096">
      <w:marLeft w:val="640"/>
      <w:marRight w:val="0"/>
      <w:marTop w:val="0"/>
      <w:marBottom w:val="0"/>
      <w:divBdr>
        <w:top w:val="none" w:sz="0" w:space="0" w:color="auto"/>
        <w:left w:val="none" w:sz="0" w:space="0" w:color="auto"/>
        <w:bottom w:val="none" w:sz="0" w:space="0" w:color="auto"/>
        <w:right w:val="none" w:sz="0" w:space="0" w:color="auto"/>
      </w:divBdr>
    </w:div>
    <w:div w:id="78059721">
      <w:marLeft w:val="640"/>
      <w:marRight w:val="0"/>
      <w:marTop w:val="0"/>
      <w:marBottom w:val="0"/>
      <w:divBdr>
        <w:top w:val="none" w:sz="0" w:space="0" w:color="auto"/>
        <w:left w:val="none" w:sz="0" w:space="0" w:color="auto"/>
        <w:bottom w:val="none" w:sz="0" w:space="0" w:color="auto"/>
        <w:right w:val="none" w:sz="0" w:space="0" w:color="auto"/>
      </w:divBdr>
    </w:div>
    <w:div w:id="80414639">
      <w:marLeft w:val="640"/>
      <w:marRight w:val="0"/>
      <w:marTop w:val="0"/>
      <w:marBottom w:val="0"/>
      <w:divBdr>
        <w:top w:val="none" w:sz="0" w:space="0" w:color="auto"/>
        <w:left w:val="none" w:sz="0" w:space="0" w:color="auto"/>
        <w:bottom w:val="none" w:sz="0" w:space="0" w:color="auto"/>
        <w:right w:val="none" w:sz="0" w:space="0" w:color="auto"/>
      </w:divBdr>
    </w:div>
    <w:div w:id="110520163">
      <w:marLeft w:val="640"/>
      <w:marRight w:val="0"/>
      <w:marTop w:val="0"/>
      <w:marBottom w:val="0"/>
      <w:divBdr>
        <w:top w:val="none" w:sz="0" w:space="0" w:color="auto"/>
        <w:left w:val="none" w:sz="0" w:space="0" w:color="auto"/>
        <w:bottom w:val="none" w:sz="0" w:space="0" w:color="auto"/>
        <w:right w:val="none" w:sz="0" w:space="0" w:color="auto"/>
      </w:divBdr>
    </w:div>
    <w:div w:id="180751841">
      <w:marLeft w:val="640"/>
      <w:marRight w:val="0"/>
      <w:marTop w:val="0"/>
      <w:marBottom w:val="0"/>
      <w:divBdr>
        <w:top w:val="none" w:sz="0" w:space="0" w:color="auto"/>
        <w:left w:val="none" w:sz="0" w:space="0" w:color="auto"/>
        <w:bottom w:val="none" w:sz="0" w:space="0" w:color="auto"/>
        <w:right w:val="none" w:sz="0" w:space="0" w:color="auto"/>
      </w:divBdr>
    </w:div>
    <w:div w:id="250627259">
      <w:marLeft w:val="640"/>
      <w:marRight w:val="0"/>
      <w:marTop w:val="0"/>
      <w:marBottom w:val="0"/>
      <w:divBdr>
        <w:top w:val="none" w:sz="0" w:space="0" w:color="auto"/>
        <w:left w:val="none" w:sz="0" w:space="0" w:color="auto"/>
        <w:bottom w:val="none" w:sz="0" w:space="0" w:color="auto"/>
        <w:right w:val="none" w:sz="0" w:space="0" w:color="auto"/>
      </w:divBdr>
    </w:div>
    <w:div w:id="289284007">
      <w:marLeft w:val="640"/>
      <w:marRight w:val="0"/>
      <w:marTop w:val="0"/>
      <w:marBottom w:val="0"/>
      <w:divBdr>
        <w:top w:val="none" w:sz="0" w:space="0" w:color="auto"/>
        <w:left w:val="none" w:sz="0" w:space="0" w:color="auto"/>
        <w:bottom w:val="none" w:sz="0" w:space="0" w:color="auto"/>
        <w:right w:val="none" w:sz="0" w:space="0" w:color="auto"/>
      </w:divBdr>
    </w:div>
    <w:div w:id="309486725">
      <w:marLeft w:val="640"/>
      <w:marRight w:val="0"/>
      <w:marTop w:val="0"/>
      <w:marBottom w:val="0"/>
      <w:divBdr>
        <w:top w:val="none" w:sz="0" w:space="0" w:color="auto"/>
        <w:left w:val="none" w:sz="0" w:space="0" w:color="auto"/>
        <w:bottom w:val="none" w:sz="0" w:space="0" w:color="auto"/>
        <w:right w:val="none" w:sz="0" w:space="0" w:color="auto"/>
      </w:divBdr>
    </w:div>
    <w:div w:id="318388743">
      <w:marLeft w:val="640"/>
      <w:marRight w:val="0"/>
      <w:marTop w:val="0"/>
      <w:marBottom w:val="0"/>
      <w:divBdr>
        <w:top w:val="none" w:sz="0" w:space="0" w:color="auto"/>
        <w:left w:val="none" w:sz="0" w:space="0" w:color="auto"/>
        <w:bottom w:val="none" w:sz="0" w:space="0" w:color="auto"/>
        <w:right w:val="none" w:sz="0" w:space="0" w:color="auto"/>
      </w:divBdr>
    </w:div>
    <w:div w:id="382676417">
      <w:marLeft w:val="640"/>
      <w:marRight w:val="0"/>
      <w:marTop w:val="0"/>
      <w:marBottom w:val="0"/>
      <w:divBdr>
        <w:top w:val="none" w:sz="0" w:space="0" w:color="auto"/>
        <w:left w:val="none" w:sz="0" w:space="0" w:color="auto"/>
        <w:bottom w:val="none" w:sz="0" w:space="0" w:color="auto"/>
        <w:right w:val="none" w:sz="0" w:space="0" w:color="auto"/>
      </w:divBdr>
    </w:div>
    <w:div w:id="430778151">
      <w:marLeft w:val="640"/>
      <w:marRight w:val="0"/>
      <w:marTop w:val="0"/>
      <w:marBottom w:val="0"/>
      <w:divBdr>
        <w:top w:val="none" w:sz="0" w:space="0" w:color="auto"/>
        <w:left w:val="none" w:sz="0" w:space="0" w:color="auto"/>
        <w:bottom w:val="none" w:sz="0" w:space="0" w:color="auto"/>
        <w:right w:val="none" w:sz="0" w:space="0" w:color="auto"/>
      </w:divBdr>
    </w:div>
    <w:div w:id="437868884">
      <w:marLeft w:val="640"/>
      <w:marRight w:val="0"/>
      <w:marTop w:val="0"/>
      <w:marBottom w:val="0"/>
      <w:divBdr>
        <w:top w:val="none" w:sz="0" w:space="0" w:color="auto"/>
        <w:left w:val="none" w:sz="0" w:space="0" w:color="auto"/>
        <w:bottom w:val="none" w:sz="0" w:space="0" w:color="auto"/>
        <w:right w:val="none" w:sz="0" w:space="0" w:color="auto"/>
      </w:divBdr>
    </w:div>
    <w:div w:id="485324977">
      <w:marLeft w:val="640"/>
      <w:marRight w:val="0"/>
      <w:marTop w:val="0"/>
      <w:marBottom w:val="0"/>
      <w:divBdr>
        <w:top w:val="none" w:sz="0" w:space="0" w:color="auto"/>
        <w:left w:val="none" w:sz="0" w:space="0" w:color="auto"/>
        <w:bottom w:val="none" w:sz="0" w:space="0" w:color="auto"/>
        <w:right w:val="none" w:sz="0" w:space="0" w:color="auto"/>
      </w:divBdr>
    </w:div>
    <w:div w:id="489102354">
      <w:marLeft w:val="640"/>
      <w:marRight w:val="0"/>
      <w:marTop w:val="0"/>
      <w:marBottom w:val="0"/>
      <w:divBdr>
        <w:top w:val="none" w:sz="0" w:space="0" w:color="auto"/>
        <w:left w:val="none" w:sz="0" w:space="0" w:color="auto"/>
        <w:bottom w:val="none" w:sz="0" w:space="0" w:color="auto"/>
        <w:right w:val="none" w:sz="0" w:space="0" w:color="auto"/>
      </w:divBdr>
    </w:div>
    <w:div w:id="501968891">
      <w:marLeft w:val="640"/>
      <w:marRight w:val="0"/>
      <w:marTop w:val="0"/>
      <w:marBottom w:val="0"/>
      <w:divBdr>
        <w:top w:val="none" w:sz="0" w:space="0" w:color="auto"/>
        <w:left w:val="none" w:sz="0" w:space="0" w:color="auto"/>
        <w:bottom w:val="none" w:sz="0" w:space="0" w:color="auto"/>
        <w:right w:val="none" w:sz="0" w:space="0" w:color="auto"/>
      </w:divBdr>
    </w:div>
    <w:div w:id="516504686">
      <w:marLeft w:val="640"/>
      <w:marRight w:val="0"/>
      <w:marTop w:val="0"/>
      <w:marBottom w:val="0"/>
      <w:divBdr>
        <w:top w:val="none" w:sz="0" w:space="0" w:color="auto"/>
        <w:left w:val="none" w:sz="0" w:space="0" w:color="auto"/>
        <w:bottom w:val="none" w:sz="0" w:space="0" w:color="auto"/>
        <w:right w:val="none" w:sz="0" w:space="0" w:color="auto"/>
      </w:divBdr>
    </w:div>
    <w:div w:id="563032295">
      <w:marLeft w:val="640"/>
      <w:marRight w:val="0"/>
      <w:marTop w:val="0"/>
      <w:marBottom w:val="0"/>
      <w:divBdr>
        <w:top w:val="none" w:sz="0" w:space="0" w:color="auto"/>
        <w:left w:val="none" w:sz="0" w:space="0" w:color="auto"/>
        <w:bottom w:val="none" w:sz="0" w:space="0" w:color="auto"/>
        <w:right w:val="none" w:sz="0" w:space="0" w:color="auto"/>
      </w:divBdr>
    </w:div>
    <w:div w:id="588851434">
      <w:marLeft w:val="640"/>
      <w:marRight w:val="0"/>
      <w:marTop w:val="0"/>
      <w:marBottom w:val="0"/>
      <w:divBdr>
        <w:top w:val="none" w:sz="0" w:space="0" w:color="auto"/>
        <w:left w:val="none" w:sz="0" w:space="0" w:color="auto"/>
        <w:bottom w:val="none" w:sz="0" w:space="0" w:color="auto"/>
        <w:right w:val="none" w:sz="0" w:space="0" w:color="auto"/>
      </w:divBdr>
    </w:div>
    <w:div w:id="591426904">
      <w:marLeft w:val="640"/>
      <w:marRight w:val="0"/>
      <w:marTop w:val="0"/>
      <w:marBottom w:val="0"/>
      <w:divBdr>
        <w:top w:val="none" w:sz="0" w:space="0" w:color="auto"/>
        <w:left w:val="none" w:sz="0" w:space="0" w:color="auto"/>
        <w:bottom w:val="none" w:sz="0" w:space="0" w:color="auto"/>
        <w:right w:val="none" w:sz="0" w:space="0" w:color="auto"/>
      </w:divBdr>
    </w:div>
    <w:div w:id="647169568">
      <w:marLeft w:val="640"/>
      <w:marRight w:val="0"/>
      <w:marTop w:val="0"/>
      <w:marBottom w:val="0"/>
      <w:divBdr>
        <w:top w:val="none" w:sz="0" w:space="0" w:color="auto"/>
        <w:left w:val="none" w:sz="0" w:space="0" w:color="auto"/>
        <w:bottom w:val="none" w:sz="0" w:space="0" w:color="auto"/>
        <w:right w:val="none" w:sz="0" w:space="0" w:color="auto"/>
      </w:divBdr>
    </w:div>
    <w:div w:id="693650629">
      <w:marLeft w:val="640"/>
      <w:marRight w:val="0"/>
      <w:marTop w:val="0"/>
      <w:marBottom w:val="0"/>
      <w:divBdr>
        <w:top w:val="none" w:sz="0" w:space="0" w:color="auto"/>
        <w:left w:val="none" w:sz="0" w:space="0" w:color="auto"/>
        <w:bottom w:val="none" w:sz="0" w:space="0" w:color="auto"/>
        <w:right w:val="none" w:sz="0" w:space="0" w:color="auto"/>
      </w:divBdr>
    </w:div>
    <w:div w:id="744650823">
      <w:marLeft w:val="640"/>
      <w:marRight w:val="0"/>
      <w:marTop w:val="0"/>
      <w:marBottom w:val="0"/>
      <w:divBdr>
        <w:top w:val="none" w:sz="0" w:space="0" w:color="auto"/>
        <w:left w:val="none" w:sz="0" w:space="0" w:color="auto"/>
        <w:bottom w:val="none" w:sz="0" w:space="0" w:color="auto"/>
        <w:right w:val="none" w:sz="0" w:space="0" w:color="auto"/>
      </w:divBdr>
    </w:div>
    <w:div w:id="811992125">
      <w:marLeft w:val="640"/>
      <w:marRight w:val="0"/>
      <w:marTop w:val="0"/>
      <w:marBottom w:val="0"/>
      <w:divBdr>
        <w:top w:val="none" w:sz="0" w:space="0" w:color="auto"/>
        <w:left w:val="none" w:sz="0" w:space="0" w:color="auto"/>
        <w:bottom w:val="none" w:sz="0" w:space="0" w:color="auto"/>
        <w:right w:val="none" w:sz="0" w:space="0" w:color="auto"/>
      </w:divBdr>
    </w:div>
    <w:div w:id="838081514">
      <w:marLeft w:val="640"/>
      <w:marRight w:val="0"/>
      <w:marTop w:val="0"/>
      <w:marBottom w:val="0"/>
      <w:divBdr>
        <w:top w:val="none" w:sz="0" w:space="0" w:color="auto"/>
        <w:left w:val="none" w:sz="0" w:space="0" w:color="auto"/>
        <w:bottom w:val="none" w:sz="0" w:space="0" w:color="auto"/>
        <w:right w:val="none" w:sz="0" w:space="0" w:color="auto"/>
      </w:divBdr>
    </w:div>
    <w:div w:id="914558482">
      <w:marLeft w:val="640"/>
      <w:marRight w:val="0"/>
      <w:marTop w:val="0"/>
      <w:marBottom w:val="0"/>
      <w:divBdr>
        <w:top w:val="none" w:sz="0" w:space="0" w:color="auto"/>
        <w:left w:val="none" w:sz="0" w:space="0" w:color="auto"/>
        <w:bottom w:val="none" w:sz="0" w:space="0" w:color="auto"/>
        <w:right w:val="none" w:sz="0" w:space="0" w:color="auto"/>
      </w:divBdr>
    </w:div>
    <w:div w:id="915437333">
      <w:marLeft w:val="640"/>
      <w:marRight w:val="0"/>
      <w:marTop w:val="0"/>
      <w:marBottom w:val="0"/>
      <w:divBdr>
        <w:top w:val="none" w:sz="0" w:space="0" w:color="auto"/>
        <w:left w:val="none" w:sz="0" w:space="0" w:color="auto"/>
        <w:bottom w:val="none" w:sz="0" w:space="0" w:color="auto"/>
        <w:right w:val="none" w:sz="0" w:space="0" w:color="auto"/>
      </w:divBdr>
    </w:div>
    <w:div w:id="965088694">
      <w:marLeft w:val="640"/>
      <w:marRight w:val="0"/>
      <w:marTop w:val="0"/>
      <w:marBottom w:val="0"/>
      <w:divBdr>
        <w:top w:val="none" w:sz="0" w:space="0" w:color="auto"/>
        <w:left w:val="none" w:sz="0" w:space="0" w:color="auto"/>
        <w:bottom w:val="none" w:sz="0" w:space="0" w:color="auto"/>
        <w:right w:val="none" w:sz="0" w:space="0" w:color="auto"/>
      </w:divBdr>
    </w:div>
    <w:div w:id="1018233139">
      <w:marLeft w:val="640"/>
      <w:marRight w:val="0"/>
      <w:marTop w:val="0"/>
      <w:marBottom w:val="0"/>
      <w:divBdr>
        <w:top w:val="none" w:sz="0" w:space="0" w:color="auto"/>
        <w:left w:val="none" w:sz="0" w:space="0" w:color="auto"/>
        <w:bottom w:val="none" w:sz="0" w:space="0" w:color="auto"/>
        <w:right w:val="none" w:sz="0" w:space="0" w:color="auto"/>
      </w:divBdr>
    </w:div>
    <w:div w:id="1039277134">
      <w:marLeft w:val="640"/>
      <w:marRight w:val="0"/>
      <w:marTop w:val="0"/>
      <w:marBottom w:val="0"/>
      <w:divBdr>
        <w:top w:val="none" w:sz="0" w:space="0" w:color="auto"/>
        <w:left w:val="none" w:sz="0" w:space="0" w:color="auto"/>
        <w:bottom w:val="none" w:sz="0" w:space="0" w:color="auto"/>
        <w:right w:val="none" w:sz="0" w:space="0" w:color="auto"/>
      </w:divBdr>
    </w:div>
    <w:div w:id="1076587175">
      <w:marLeft w:val="640"/>
      <w:marRight w:val="0"/>
      <w:marTop w:val="0"/>
      <w:marBottom w:val="0"/>
      <w:divBdr>
        <w:top w:val="none" w:sz="0" w:space="0" w:color="auto"/>
        <w:left w:val="none" w:sz="0" w:space="0" w:color="auto"/>
        <w:bottom w:val="none" w:sz="0" w:space="0" w:color="auto"/>
        <w:right w:val="none" w:sz="0" w:space="0" w:color="auto"/>
      </w:divBdr>
    </w:div>
    <w:div w:id="1103185601">
      <w:marLeft w:val="640"/>
      <w:marRight w:val="0"/>
      <w:marTop w:val="0"/>
      <w:marBottom w:val="0"/>
      <w:divBdr>
        <w:top w:val="none" w:sz="0" w:space="0" w:color="auto"/>
        <w:left w:val="none" w:sz="0" w:space="0" w:color="auto"/>
        <w:bottom w:val="none" w:sz="0" w:space="0" w:color="auto"/>
        <w:right w:val="none" w:sz="0" w:space="0" w:color="auto"/>
      </w:divBdr>
    </w:div>
    <w:div w:id="1144933419">
      <w:marLeft w:val="640"/>
      <w:marRight w:val="0"/>
      <w:marTop w:val="0"/>
      <w:marBottom w:val="0"/>
      <w:divBdr>
        <w:top w:val="none" w:sz="0" w:space="0" w:color="auto"/>
        <w:left w:val="none" w:sz="0" w:space="0" w:color="auto"/>
        <w:bottom w:val="none" w:sz="0" w:space="0" w:color="auto"/>
        <w:right w:val="none" w:sz="0" w:space="0" w:color="auto"/>
      </w:divBdr>
    </w:div>
    <w:div w:id="1152142079">
      <w:marLeft w:val="640"/>
      <w:marRight w:val="0"/>
      <w:marTop w:val="0"/>
      <w:marBottom w:val="0"/>
      <w:divBdr>
        <w:top w:val="none" w:sz="0" w:space="0" w:color="auto"/>
        <w:left w:val="none" w:sz="0" w:space="0" w:color="auto"/>
        <w:bottom w:val="none" w:sz="0" w:space="0" w:color="auto"/>
        <w:right w:val="none" w:sz="0" w:space="0" w:color="auto"/>
      </w:divBdr>
    </w:div>
    <w:div w:id="1170556979">
      <w:marLeft w:val="640"/>
      <w:marRight w:val="0"/>
      <w:marTop w:val="0"/>
      <w:marBottom w:val="0"/>
      <w:divBdr>
        <w:top w:val="none" w:sz="0" w:space="0" w:color="auto"/>
        <w:left w:val="none" w:sz="0" w:space="0" w:color="auto"/>
        <w:bottom w:val="none" w:sz="0" w:space="0" w:color="auto"/>
        <w:right w:val="none" w:sz="0" w:space="0" w:color="auto"/>
      </w:divBdr>
    </w:div>
    <w:div w:id="1185485138">
      <w:marLeft w:val="640"/>
      <w:marRight w:val="0"/>
      <w:marTop w:val="0"/>
      <w:marBottom w:val="0"/>
      <w:divBdr>
        <w:top w:val="none" w:sz="0" w:space="0" w:color="auto"/>
        <w:left w:val="none" w:sz="0" w:space="0" w:color="auto"/>
        <w:bottom w:val="none" w:sz="0" w:space="0" w:color="auto"/>
        <w:right w:val="none" w:sz="0" w:space="0" w:color="auto"/>
      </w:divBdr>
    </w:div>
    <w:div w:id="1213881313">
      <w:marLeft w:val="640"/>
      <w:marRight w:val="0"/>
      <w:marTop w:val="0"/>
      <w:marBottom w:val="0"/>
      <w:divBdr>
        <w:top w:val="none" w:sz="0" w:space="0" w:color="auto"/>
        <w:left w:val="none" w:sz="0" w:space="0" w:color="auto"/>
        <w:bottom w:val="none" w:sz="0" w:space="0" w:color="auto"/>
        <w:right w:val="none" w:sz="0" w:space="0" w:color="auto"/>
      </w:divBdr>
    </w:div>
    <w:div w:id="1337268171">
      <w:marLeft w:val="640"/>
      <w:marRight w:val="0"/>
      <w:marTop w:val="0"/>
      <w:marBottom w:val="0"/>
      <w:divBdr>
        <w:top w:val="none" w:sz="0" w:space="0" w:color="auto"/>
        <w:left w:val="none" w:sz="0" w:space="0" w:color="auto"/>
        <w:bottom w:val="none" w:sz="0" w:space="0" w:color="auto"/>
        <w:right w:val="none" w:sz="0" w:space="0" w:color="auto"/>
      </w:divBdr>
    </w:div>
    <w:div w:id="1364091760">
      <w:marLeft w:val="640"/>
      <w:marRight w:val="0"/>
      <w:marTop w:val="0"/>
      <w:marBottom w:val="0"/>
      <w:divBdr>
        <w:top w:val="none" w:sz="0" w:space="0" w:color="auto"/>
        <w:left w:val="none" w:sz="0" w:space="0" w:color="auto"/>
        <w:bottom w:val="none" w:sz="0" w:space="0" w:color="auto"/>
        <w:right w:val="none" w:sz="0" w:space="0" w:color="auto"/>
      </w:divBdr>
    </w:div>
    <w:div w:id="1374959513">
      <w:marLeft w:val="640"/>
      <w:marRight w:val="0"/>
      <w:marTop w:val="0"/>
      <w:marBottom w:val="0"/>
      <w:divBdr>
        <w:top w:val="none" w:sz="0" w:space="0" w:color="auto"/>
        <w:left w:val="none" w:sz="0" w:space="0" w:color="auto"/>
        <w:bottom w:val="none" w:sz="0" w:space="0" w:color="auto"/>
        <w:right w:val="none" w:sz="0" w:space="0" w:color="auto"/>
      </w:divBdr>
    </w:div>
    <w:div w:id="1383482689">
      <w:marLeft w:val="640"/>
      <w:marRight w:val="0"/>
      <w:marTop w:val="0"/>
      <w:marBottom w:val="0"/>
      <w:divBdr>
        <w:top w:val="none" w:sz="0" w:space="0" w:color="auto"/>
        <w:left w:val="none" w:sz="0" w:space="0" w:color="auto"/>
        <w:bottom w:val="none" w:sz="0" w:space="0" w:color="auto"/>
        <w:right w:val="none" w:sz="0" w:space="0" w:color="auto"/>
      </w:divBdr>
    </w:div>
    <w:div w:id="1418163308">
      <w:marLeft w:val="640"/>
      <w:marRight w:val="0"/>
      <w:marTop w:val="0"/>
      <w:marBottom w:val="0"/>
      <w:divBdr>
        <w:top w:val="none" w:sz="0" w:space="0" w:color="auto"/>
        <w:left w:val="none" w:sz="0" w:space="0" w:color="auto"/>
        <w:bottom w:val="none" w:sz="0" w:space="0" w:color="auto"/>
        <w:right w:val="none" w:sz="0" w:space="0" w:color="auto"/>
      </w:divBdr>
    </w:div>
    <w:div w:id="1428647497">
      <w:marLeft w:val="640"/>
      <w:marRight w:val="0"/>
      <w:marTop w:val="0"/>
      <w:marBottom w:val="0"/>
      <w:divBdr>
        <w:top w:val="none" w:sz="0" w:space="0" w:color="auto"/>
        <w:left w:val="none" w:sz="0" w:space="0" w:color="auto"/>
        <w:bottom w:val="none" w:sz="0" w:space="0" w:color="auto"/>
        <w:right w:val="none" w:sz="0" w:space="0" w:color="auto"/>
      </w:divBdr>
    </w:div>
    <w:div w:id="1442719263">
      <w:marLeft w:val="640"/>
      <w:marRight w:val="0"/>
      <w:marTop w:val="0"/>
      <w:marBottom w:val="0"/>
      <w:divBdr>
        <w:top w:val="none" w:sz="0" w:space="0" w:color="auto"/>
        <w:left w:val="none" w:sz="0" w:space="0" w:color="auto"/>
        <w:bottom w:val="none" w:sz="0" w:space="0" w:color="auto"/>
        <w:right w:val="none" w:sz="0" w:space="0" w:color="auto"/>
      </w:divBdr>
    </w:div>
    <w:div w:id="1447506504">
      <w:marLeft w:val="640"/>
      <w:marRight w:val="0"/>
      <w:marTop w:val="0"/>
      <w:marBottom w:val="0"/>
      <w:divBdr>
        <w:top w:val="none" w:sz="0" w:space="0" w:color="auto"/>
        <w:left w:val="none" w:sz="0" w:space="0" w:color="auto"/>
        <w:bottom w:val="none" w:sz="0" w:space="0" w:color="auto"/>
        <w:right w:val="none" w:sz="0" w:space="0" w:color="auto"/>
      </w:divBdr>
    </w:div>
    <w:div w:id="1449736300">
      <w:marLeft w:val="640"/>
      <w:marRight w:val="0"/>
      <w:marTop w:val="0"/>
      <w:marBottom w:val="0"/>
      <w:divBdr>
        <w:top w:val="none" w:sz="0" w:space="0" w:color="auto"/>
        <w:left w:val="none" w:sz="0" w:space="0" w:color="auto"/>
        <w:bottom w:val="none" w:sz="0" w:space="0" w:color="auto"/>
        <w:right w:val="none" w:sz="0" w:space="0" w:color="auto"/>
      </w:divBdr>
    </w:div>
    <w:div w:id="1460149883">
      <w:marLeft w:val="640"/>
      <w:marRight w:val="0"/>
      <w:marTop w:val="0"/>
      <w:marBottom w:val="0"/>
      <w:divBdr>
        <w:top w:val="none" w:sz="0" w:space="0" w:color="auto"/>
        <w:left w:val="none" w:sz="0" w:space="0" w:color="auto"/>
        <w:bottom w:val="none" w:sz="0" w:space="0" w:color="auto"/>
        <w:right w:val="none" w:sz="0" w:space="0" w:color="auto"/>
      </w:divBdr>
    </w:div>
    <w:div w:id="1461999491">
      <w:marLeft w:val="640"/>
      <w:marRight w:val="0"/>
      <w:marTop w:val="0"/>
      <w:marBottom w:val="0"/>
      <w:divBdr>
        <w:top w:val="none" w:sz="0" w:space="0" w:color="auto"/>
        <w:left w:val="none" w:sz="0" w:space="0" w:color="auto"/>
        <w:bottom w:val="none" w:sz="0" w:space="0" w:color="auto"/>
        <w:right w:val="none" w:sz="0" w:space="0" w:color="auto"/>
      </w:divBdr>
    </w:div>
    <w:div w:id="1480196954">
      <w:marLeft w:val="640"/>
      <w:marRight w:val="0"/>
      <w:marTop w:val="0"/>
      <w:marBottom w:val="0"/>
      <w:divBdr>
        <w:top w:val="none" w:sz="0" w:space="0" w:color="auto"/>
        <w:left w:val="none" w:sz="0" w:space="0" w:color="auto"/>
        <w:bottom w:val="none" w:sz="0" w:space="0" w:color="auto"/>
        <w:right w:val="none" w:sz="0" w:space="0" w:color="auto"/>
      </w:divBdr>
    </w:div>
    <w:div w:id="1497499072">
      <w:marLeft w:val="640"/>
      <w:marRight w:val="0"/>
      <w:marTop w:val="0"/>
      <w:marBottom w:val="0"/>
      <w:divBdr>
        <w:top w:val="none" w:sz="0" w:space="0" w:color="auto"/>
        <w:left w:val="none" w:sz="0" w:space="0" w:color="auto"/>
        <w:bottom w:val="none" w:sz="0" w:space="0" w:color="auto"/>
        <w:right w:val="none" w:sz="0" w:space="0" w:color="auto"/>
      </w:divBdr>
    </w:div>
    <w:div w:id="1508867589">
      <w:marLeft w:val="640"/>
      <w:marRight w:val="0"/>
      <w:marTop w:val="0"/>
      <w:marBottom w:val="0"/>
      <w:divBdr>
        <w:top w:val="none" w:sz="0" w:space="0" w:color="auto"/>
        <w:left w:val="none" w:sz="0" w:space="0" w:color="auto"/>
        <w:bottom w:val="none" w:sz="0" w:space="0" w:color="auto"/>
        <w:right w:val="none" w:sz="0" w:space="0" w:color="auto"/>
      </w:divBdr>
    </w:div>
    <w:div w:id="1525555991">
      <w:marLeft w:val="640"/>
      <w:marRight w:val="0"/>
      <w:marTop w:val="0"/>
      <w:marBottom w:val="0"/>
      <w:divBdr>
        <w:top w:val="none" w:sz="0" w:space="0" w:color="auto"/>
        <w:left w:val="none" w:sz="0" w:space="0" w:color="auto"/>
        <w:bottom w:val="none" w:sz="0" w:space="0" w:color="auto"/>
        <w:right w:val="none" w:sz="0" w:space="0" w:color="auto"/>
      </w:divBdr>
    </w:div>
    <w:div w:id="1527909853">
      <w:marLeft w:val="640"/>
      <w:marRight w:val="0"/>
      <w:marTop w:val="0"/>
      <w:marBottom w:val="0"/>
      <w:divBdr>
        <w:top w:val="none" w:sz="0" w:space="0" w:color="auto"/>
        <w:left w:val="none" w:sz="0" w:space="0" w:color="auto"/>
        <w:bottom w:val="none" w:sz="0" w:space="0" w:color="auto"/>
        <w:right w:val="none" w:sz="0" w:space="0" w:color="auto"/>
      </w:divBdr>
    </w:div>
    <w:div w:id="1541014424">
      <w:marLeft w:val="640"/>
      <w:marRight w:val="0"/>
      <w:marTop w:val="0"/>
      <w:marBottom w:val="0"/>
      <w:divBdr>
        <w:top w:val="none" w:sz="0" w:space="0" w:color="auto"/>
        <w:left w:val="none" w:sz="0" w:space="0" w:color="auto"/>
        <w:bottom w:val="none" w:sz="0" w:space="0" w:color="auto"/>
        <w:right w:val="none" w:sz="0" w:space="0" w:color="auto"/>
      </w:divBdr>
    </w:div>
    <w:div w:id="1616713508">
      <w:marLeft w:val="640"/>
      <w:marRight w:val="0"/>
      <w:marTop w:val="0"/>
      <w:marBottom w:val="0"/>
      <w:divBdr>
        <w:top w:val="none" w:sz="0" w:space="0" w:color="auto"/>
        <w:left w:val="none" w:sz="0" w:space="0" w:color="auto"/>
        <w:bottom w:val="none" w:sz="0" w:space="0" w:color="auto"/>
        <w:right w:val="none" w:sz="0" w:space="0" w:color="auto"/>
      </w:divBdr>
    </w:div>
    <w:div w:id="1645740360">
      <w:marLeft w:val="640"/>
      <w:marRight w:val="0"/>
      <w:marTop w:val="0"/>
      <w:marBottom w:val="0"/>
      <w:divBdr>
        <w:top w:val="none" w:sz="0" w:space="0" w:color="auto"/>
        <w:left w:val="none" w:sz="0" w:space="0" w:color="auto"/>
        <w:bottom w:val="none" w:sz="0" w:space="0" w:color="auto"/>
        <w:right w:val="none" w:sz="0" w:space="0" w:color="auto"/>
      </w:divBdr>
    </w:div>
    <w:div w:id="1683967116">
      <w:marLeft w:val="640"/>
      <w:marRight w:val="0"/>
      <w:marTop w:val="0"/>
      <w:marBottom w:val="0"/>
      <w:divBdr>
        <w:top w:val="none" w:sz="0" w:space="0" w:color="auto"/>
        <w:left w:val="none" w:sz="0" w:space="0" w:color="auto"/>
        <w:bottom w:val="none" w:sz="0" w:space="0" w:color="auto"/>
        <w:right w:val="none" w:sz="0" w:space="0" w:color="auto"/>
      </w:divBdr>
    </w:div>
    <w:div w:id="1685205796">
      <w:marLeft w:val="640"/>
      <w:marRight w:val="0"/>
      <w:marTop w:val="0"/>
      <w:marBottom w:val="0"/>
      <w:divBdr>
        <w:top w:val="none" w:sz="0" w:space="0" w:color="auto"/>
        <w:left w:val="none" w:sz="0" w:space="0" w:color="auto"/>
        <w:bottom w:val="none" w:sz="0" w:space="0" w:color="auto"/>
        <w:right w:val="none" w:sz="0" w:space="0" w:color="auto"/>
      </w:divBdr>
    </w:div>
    <w:div w:id="1707563876">
      <w:marLeft w:val="640"/>
      <w:marRight w:val="0"/>
      <w:marTop w:val="0"/>
      <w:marBottom w:val="0"/>
      <w:divBdr>
        <w:top w:val="none" w:sz="0" w:space="0" w:color="auto"/>
        <w:left w:val="none" w:sz="0" w:space="0" w:color="auto"/>
        <w:bottom w:val="none" w:sz="0" w:space="0" w:color="auto"/>
        <w:right w:val="none" w:sz="0" w:space="0" w:color="auto"/>
      </w:divBdr>
    </w:div>
    <w:div w:id="1708749195">
      <w:marLeft w:val="640"/>
      <w:marRight w:val="0"/>
      <w:marTop w:val="0"/>
      <w:marBottom w:val="0"/>
      <w:divBdr>
        <w:top w:val="none" w:sz="0" w:space="0" w:color="auto"/>
        <w:left w:val="none" w:sz="0" w:space="0" w:color="auto"/>
        <w:bottom w:val="none" w:sz="0" w:space="0" w:color="auto"/>
        <w:right w:val="none" w:sz="0" w:space="0" w:color="auto"/>
      </w:divBdr>
    </w:div>
    <w:div w:id="1720936934">
      <w:marLeft w:val="640"/>
      <w:marRight w:val="0"/>
      <w:marTop w:val="0"/>
      <w:marBottom w:val="0"/>
      <w:divBdr>
        <w:top w:val="none" w:sz="0" w:space="0" w:color="auto"/>
        <w:left w:val="none" w:sz="0" w:space="0" w:color="auto"/>
        <w:bottom w:val="none" w:sz="0" w:space="0" w:color="auto"/>
        <w:right w:val="none" w:sz="0" w:space="0" w:color="auto"/>
      </w:divBdr>
    </w:div>
    <w:div w:id="1727678906">
      <w:marLeft w:val="640"/>
      <w:marRight w:val="0"/>
      <w:marTop w:val="0"/>
      <w:marBottom w:val="0"/>
      <w:divBdr>
        <w:top w:val="none" w:sz="0" w:space="0" w:color="auto"/>
        <w:left w:val="none" w:sz="0" w:space="0" w:color="auto"/>
        <w:bottom w:val="none" w:sz="0" w:space="0" w:color="auto"/>
        <w:right w:val="none" w:sz="0" w:space="0" w:color="auto"/>
      </w:divBdr>
    </w:div>
    <w:div w:id="1753163913">
      <w:marLeft w:val="640"/>
      <w:marRight w:val="0"/>
      <w:marTop w:val="0"/>
      <w:marBottom w:val="0"/>
      <w:divBdr>
        <w:top w:val="none" w:sz="0" w:space="0" w:color="auto"/>
        <w:left w:val="none" w:sz="0" w:space="0" w:color="auto"/>
        <w:bottom w:val="none" w:sz="0" w:space="0" w:color="auto"/>
        <w:right w:val="none" w:sz="0" w:space="0" w:color="auto"/>
      </w:divBdr>
    </w:div>
    <w:div w:id="1756050684">
      <w:marLeft w:val="640"/>
      <w:marRight w:val="0"/>
      <w:marTop w:val="0"/>
      <w:marBottom w:val="0"/>
      <w:divBdr>
        <w:top w:val="none" w:sz="0" w:space="0" w:color="auto"/>
        <w:left w:val="none" w:sz="0" w:space="0" w:color="auto"/>
        <w:bottom w:val="none" w:sz="0" w:space="0" w:color="auto"/>
        <w:right w:val="none" w:sz="0" w:space="0" w:color="auto"/>
      </w:divBdr>
    </w:div>
    <w:div w:id="1810315840">
      <w:marLeft w:val="640"/>
      <w:marRight w:val="0"/>
      <w:marTop w:val="0"/>
      <w:marBottom w:val="0"/>
      <w:divBdr>
        <w:top w:val="none" w:sz="0" w:space="0" w:color="auto"/>
        <w:left w:val="none" w:sz="0" w:space="0" w:color="auto"/>
        <w:bottom w:val="none" w:sz="0" w:space="0" w:color="auto"/>
        <w:right w:val="none" w:sz="0" w:space="0" w:color="auto"/>
      </w:divBdr>
    </w:div>
    <w:div w:id="1839928109">
      <w:marLeft w:val="640"/>
      <w:marRight w:val="0"/>
      <w:marTop w:val="0"/>
      <w:marBottom w:val="0"/>
      <w:divBdr>
        <w:top w:val="none" w:sz="0" w:space="0" w:color="auto"/>
        <w:left w:val="none" w:sz="0" w:space="0" w:color="auto"/>
        <w:bottom w:val="none" w:sz="0" w:space="0" w:color="auto"/>
        <w:right w:val="none" w:sz="0" w:space="0" w:color="auto"/>
      </w:divBdr>
    </w:div>
    <w:div w:id="1899901206">
      <w:marLeft w:val="640"/>
      <w:marRight w:val="0"/>
      <w:marTop w:val="0"/>
      <w:marBottom w:val="0"/>
      <w:divBdr>
        <w:top w:val="none" w:sz="0" w:space="0" w:color="auto"/>
        <w:left w:val="none" w:sz="0" w:space="0" w:color="auto"/>
        <w:bottom w:val="none" w:sz="0" w:space="0" w:color="auto"/>
        <w:right w:val="none" w:sz="0" w:space="0" w:color="auto"/>
      </w:divBdr>
    </w:div>
    <w:div w:id="1991404947">
      <w:marLeft w:val="640"/>
      <w:marRight w:val="0"/>
      <w:marTop w:val="0"/>
      <w:marBottom w:val="0"/>
      <w:divBdr>
        <w:top w:val="none" w:sz="0" w:space="0" w:color="auto"/>
        <w:left w:val="none" w:sz="0" w:space="0" w:color="auto"/>
        <w:bottom w:val="none" w:sz="0" w:space="0" w:color="auto"/>
        <w:right w:val="none" w:sz="0" w:space="0" w:color="auto"/>
      </w:divBdr>
    </w:div>
    <w:div w:id="2101296323">
      <w:marLeft w:val="640"/>
      <w:marRight w:val="0"/>
      <w:marTop w:val="0"/>
      <w:marBottom w:val="0"/>
      <w:divBdr>
        <w:top w:val="none" w:sz="0" w:space="0" w:color="auto"/>
        <w:left w:val="none" w:sz="0" w:space="0" w:color="auto"/>
        <w:bottom w:val="none" w:sz="0" w:space="0" w:color="auto"/>
        <w:right w:val="none" w:sz="0" w:space="0" w:color="auto"/>
      </w:divBdr>
    </w:div>
    <w:div w:id="2105149960">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2376F69-716B-614F-B0C0-2C990FEB18CF}"/>
      </w:docPartPr>
      <w:docPartBody>
        <w:p w:rsidR="00F71389" w:rsidRDefault="00BF5A0F">
          <w:r w:rsidRPr="00A10992">
            <w:rPr>
              <w:rStyle w:val="PlaceholderText"/>
            </w:rPr>
            <w:t>Click or tap here to enter text.</w:t>
          </w:r>
        </w:p>
      </w:docPartBody>
    </w:docPart>
    <w:docPart>
      <w:docPartPr>
        <w:name w:val="013A85909010C246ADEA1A2BCB48561D"/>
        <w:category>
          <w:name w:val="General"/>
          <w:gallery w:val="placeholder"/>
        </w:category>
        <w:types>
          <w:type w:val="bbPlcHdr"/>
        </w:types>
        <w:behaviors>
          <w:behavior w:val="content"/>
        </w:behaviors>
        <w:guid w:val="{AB372B3C-891F-E843-A712-4130E7181076}"/>
      </w:docPartPr>
      <w:docPartBody>
        <w:p w:rsidR="00A57B60" w:rsidRDefault="006F3AFF" w:rsidP="006F3AFF">
          <w:pPr>
            <w:pStyle w:val="013A85909010C246ADEA1A2BCB48561D"/>
          </w:pPr>
          <w:r w:rsidRPr="00A109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0F"/>
    <w:rsid w:val="001807C5"/>
    <w:rsid w:val="001A4C85"/>
    <w:rsid w:val="0028441D"/>
    <w:rsid w:val="004A2592"/>
    <w:rsid w:val="006F3AFF"/>
    <w:rsid w:val="0082757B"/>
    <w:rsid w:val="009032FF"/>
    <w:rsid w:val="00924505"/>
    <w:rsid w:val="00A57B60"/>
    <w:rsid w:val="00B7270C"/>
    <w:rsid w:val="00B75BB4"/>
    <w:rsid w:val="00BE59BA"/>
    <w:rsid w:val="00BF5A0F"/>
    <w:rsid w:val="00DD4E23"/>
    <w:rsid w:val="00E70390"/>
    <w:rsid w:val="00EB6B13"/>
    <w:rsid w:val="00F71389"/>
    <w:rsid w:val="00F86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AFF"/>
    <w:rPr>
      <w:color w:val="666666"/>
    </w:rPr>
  </w:style>
  <w:style w:type="paragraph" w:customStyle="1" w:styleId="013A85909010C246ADEA1A2BCB48561D">
    <w:name w:val="013A85909010C246ADEA1A2BCB48561D"/>
    <w:rsid w:val="006F3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2547DE-0E21-2748-9CBE-926FA4B2A6B5}">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83576024661"/>
    <we:property name="MENDELEY_CITATIONS" value="[{&quot;citationID&quot;:&quot;MENDELEY_CITATION_8f0c8aa2-86f5-4c82-9533-b8743f2de377&quot;,&quot;properties&quot;:{&quot;noteIndex&quot;:0},&quot;isEdited&quot;:false,&quot;manualOverride&quot;:{&quot;isManuallyOverridden&quot;:false,&quot;citeprocText&quot;:&quot;&lt;sup&gt;1&lt;/sup&gt;&quot;,&quot;manualOverrideText&quot;:&quot;&quot;},&quot;citationItems&quot;:[{&quot;id&quot;:&quot;bfc0b353-aeb9-3400-a1f9-2d815ad77f8d&quot;,&quot;itemData&quot;:{&quot;type&quot;:&quot;article-journal&quot;,&quot;id&quot;:&quot;bfc0b353-aeb9-3400-a1f9-2d815ad77f8d&quot;,&quot;title&quot;:&quot;Consolidated Health Economic Evaluation Reporting Standards 2022 (CHEERS 2022) Statement: Updated Reporting Guidance for Health Economic Evaluations&quot;,&quot;author&quot;:[{&quot;family&quot;:&quot;Husereau&quot;,&quot;given&quot;:&quot;Don&quot;,&quot;parse-names&quot;:false,&quot;dropping-particle&quot;:&quot;&quot;,&quot;non-dropping-particle&quot;:&quot;&quot;},{&quot;family&quot;:&quot;Drummond&quot;,&quot;given&quot;:&quot;Michael&quot;,&quot;parse-names&quot;:false,&quot;dropping-particle&quot;:&quot;&quot;,&quot;non-dropping-particle&quot;:&quot;&quot;},{&quot;family&quot;:&quot;Augustovski&quot;,&quot;given&quot;:&quot;Federico&quot;,&quot;parse-names&quot;:false,&quot;dropping-particle&quot;:&quot;&quot;,&quot;non-dropping-particle&quot;:&quot;&quot;},{&quot;family&quot;:&quot;Bekker-Grob&quot;,&quot;given&quot;:&quot;Esther&quot;,&quot;parse-names&quot;:false,&quot;dropping-particle&quot;:&quot;&quot;,&quot;non-dropping-particle&quot;:&quot;de&quot;},{&quot;family&quot;:&quot;Briggs&quot;,&quot;given&quot;:&quot;Andrew H.&quot;,&quot;parse-names&quot;:false,&quot;dropping-particle&quot;:&quot;&quot;,&quot;non-dropping-particle&quot;:&quot;&quot;},{&quot;family&quot;:&quot;Carswell&quot;,&quot;given&quot;:&quot;Chris&quot;,&quot;parse-names&quot;:false,&quot;dropping-particle&quot;:&quot;&quot;,&quot;non-dropping-particle&quot;:&quot;&quot;},{&quot;family&quot;:&quot;Caulley&quot;,&quot;given&quot;:&quot;Lisa&quot;,&quot;parse-names&quot;:false,&quot;dropping-particle&quot;:&quot;&quot;,&quot;non-dropping-particle&quot;:&quot;&quot;},{&quot;family&quot;:&quot;Chaiyakunapruk&quot;,&quot;given&quot;:&quot;Nathorn&quot;,&quot;parse-names&quot;:false,&quot;dropping-particle&quot;:&quot;&quot;,&quot;non-dropping-particle&quot;:&quot;&quot;},{&quot;family&quot;:&quot;Greenberg&quot;,&quot;given&quot;:&quot;Dan&quot;,&quot;parse-names&quot;:false,&quot;dropping-particle&quot;:&quot;&quot;,&quot;non-dropping-particle&quot;:&quot;&quot;},{&quot;family&quot;:&quot;Loder&quot;,&quot;given&quot;:&quot;Elizabeth&quot;,&quot;parse-names&quot;:false,&quot;dropping-particle&quot;:&quot;&quot;,&quot;non-dropping-particle&quot;:&quot;&quot;},{&quot;family&quot;:&quot;Mauskopf&quot;,&quot;given&quot;:&quot;Josephine&quot;,&quot;parse-names&quot;:false,&quot;dropping-particle&quot;:&quot;&quot;,&quot;non-dropping-particle&quot;:&quot;&quot;},{&quot;family&quot;:&quot;Mullins&quot;,&quot;given&quot;:&quot;C. Daniel&quot;,&quot;parse-names&quot;:false,&quot;dropping-particle&quot;:&quot;&quot;,&quot;non-dropping-particle&quot;:&quot;&quot;},{&quot;family&quot;:&quot;Petrou&quot;,&quot;given&quot;:&quot;Stavros&quot;,&quot;parse-names&quot;:false,&quot;dropping-particle&quot;:&quot;&quot;,&quot;non-dropping-particle&quot;:&quot;&quot;},{&quot;family&quot;:&quot;Pwu&quot;,&quot;given&quot;:&quot;Raoh Fang&quot;,&quot;parse-names&quot;:false,&quot;dropping-particle&quot;:&quot;&quot;,&quot;non-dropping-particle&quot;:&quot;&quot;},{&quot;family&quot;:&quot;Staniszewska&quot;,&quot;given&quot;:&quot;Sophie&quot;,&quot;parse-names&quot;:false,&quot;dropping-particle&quot;:&quot;&quot;,&quot;non-dropping-particle&quot;:&quot;&quot;}],&quot;container-title&quot;:&quot;Value in Health&quot;,&quot;accessed&quot;:{&quot;date-parts&quot;:[[2026,5,10]]},&quot;DOI&quot;:&quot;10.1016/J.JVAL.2021.11.1351&quot;,&quot;ISSN&quot;:&quot;1098-3015&quot;,&quot;PMID&quot;:&quot;35031096&quot;,&quot;URL&quot;:&quot;https://www.sciencedirect.com/science/article/pii/S1098301521031466?via%3Dihub&quot;,&quot;issued&quot;:{&quot;date-parts&quot;:[[2022,1,1]]},&quot;page&quot;:&quot;3-9&quot;,&quot;abstract&quot;:&quot;Health economic evaluations are comparative analyses of alternative courses of action in terms of their costs and consequences. The Consolidated Health Economic Evaluation Reporting Standards (CHEERS) statement, published in 2013, was created to ensure health economic evaluations are identifiable, interpretable, and useful for decision making. It was intended as guidance to help authors report accurately which health interventions were being compared and in what context, how the evaluation was undertaken, what the findings were, and other details that may aid readers and reviewers in interpretation and use of the study. The new CHEERS 2022 statement replaces previous CHEERS reporting guidance. It reflects the need for guidance that can be more easily applied to all types of health economic evaluation, new methods and developments in the field, as well as the increased role of stakeholder involvement including patients and the public. It is also broadly applicable to any form of intervention intended to improve the health of individuals or the population, whether simple or complex, and without regard to context (such as health care, public health, education, social care, etc). This summary article presents the new CHEERS 2022 28-item checklist and recommendations for each item. The CHEERS 2022 statement is primarily intended for researchers reporting economic evaluations for peer reviewed journals as well as the peer reviewers and editors assessing them for publication. However, we anticipate familiarity with reporting requirements will be useful for analysts when planning studies. It may also be useful for health technology assessment bodies seeking guidance on reporting, as there is an increasing emphasis on transparency in decision making.&quot;,&quot;publisher&quot;:&quot;Elsevier&quot;,&quot;issue&quot;:&quot;1&quot;,&quot;volume&quot;:&quot;25&quot;,&quot;container-title-short&quot;:&quot;&quot;},&quot;isTemporary&quot;:false}],&quot;citationTag&quot;:&quot;MENDELEY_CITATION_v3_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&quot;},{&quot;citationID&quot;:&quot;MENDELEY_CITATION_fdc3c3af-3773-4f62-a059-86d41ae63ff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&quot;,&quot;citationItems&quot;:[{&quot;id&quot;:&quot;32825088-9a40-3d34-8588-dd6dbc0e0e4f&quot;,&quot;itemData&quot;:{&quot;type&quot;:&quot;article-journal&quot;,&quot;id&quot;:&quot;32825088-9a40-3d34-8588-dd6dbc0e0e4f&quot;,&quot;title&quot;:&quot;Attributable risk from distributed lag models&quot;,&quot;author&quot;:[{&quot;family&quot;:&quot;Gasparrini&quot;,&quot;given&quot;:&quot;Antonio&quot;,&quot;parse-names&quot;:false,&quot;dropping-particle&quot;:&quot;&quot;,&quot;non-dropping-particle&quot;:&quot;&quot;},{&quot;family&quot;:&quot;Leone&quot;,&quot;given&quot;:&quot;Michela&quot;,&quot;parse-names&quot;:false,&quot;dropping-particle&quot;:&quot;&quot;,&quot;non-dropping-particle&quot;:&quot;&quot;}],&quot;container-title&quot;:&quot;BMC Medical Research Methodology&quot;,&quot;container-title-short&quot;:&quot;BMC Med. Res. Methodol.&quot;,&quot;DOI&quot;:&quot;10.1186/1471-2288-14-55&quot;,&quot;ISSN&quot;:&quot;14712288&quot;,&quot;PMID&quot;:&quot;24758509&quot;,&quot;issued&quot;:{&quot;date-parts&quot;:[[2014]]},&quot;page&quot;:&quot;1-8&quot;,&quot;abstract&quot;:&quot;Background: Measures of attributable risk are an integral part of epidemiological analyses, particularly when aimed at the planning and evaluation of public health interventions. However, the current definition of such measures does not consider any temporal relationships between exposure and risk. In this contribution, we propose extended definitions of attributable risk within the framework of distributed lag non-linear models, an approach recently proposed for modelling delayed associations in either linear or non-linear exposure-response associations. Methods. We classify versions of attributable number and fraction expressed using either a forward or backward perspective. The former specifies the future burden due to a given exposure event, while the latter summarizes the current burden due to the set of exposure events experienced in the past. In addition, we illustrate how the components related to sub-ranges of the exposure can be separated. Results: We apply these methods for estimating the mortality risk attributable to outdoor temperature in two cities, London and Rome, using time series data for the periods 1993-2006 and 1992-2010, respectively. The analysis provides estimates of the overall mortality burden attributable to temperature, and then computes the components attributable to cold and heat and then mild and extreme temperatures. Conclusions: These extended definitions of attributable risk account for the additional temporal dimension which characterizes exposure-response associations, providing more appropriate attributable measures in the presence of dependencies characterized by potentially complex temporal patterns. © 2014 Gasparrini and Leone; licensee BioMed Central Ltd.&quot;,&quot;issue&quot;:&quot;1&quot;,&quot;volume&quot;:&quot;14&quot;},&quot;isTemporary&quot;:false}]},{&quot;citationID&quot;:&quot;MENDELEY_CITATION_848599de-efcd-4afb-a29d-942e60ecc564&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&quot;,&quot;citationItems&quot;:[{&quot;id&quot;:&quot;6d65ff48-d79a-3c0e-a9c2-7ac9088d4535&quot;,&quot;itemData&quot;:{&quot;type&quot;:&quot;article-journal&quot;,&quot;id&quot;:&quot;6d65ff48-d79a-3c0e-a9c2-7ac9088d4535&quot;,&quot;title&quot;:&quot;Distributed lag non-linear models&quot;,&quot;author&quot;:[{&quot;family&quot;:&quot;Gasparrinia&quot;,&quot;given&quot;:&quot;A.&quot;,&quot;parse-names&quot;:false,&quot;dropping-particle&quot;:&quot;&quot;,&quot;non-dropping-particle&quot;:&quot;&quot;},{&quot;family&quot;:&quot;Armstrong&quot;,&quot;given&quot;:&quot;B.&quot;,&quot;parse-names&quot;:false,&quot;dropping-particle&quot;:&quot;&quot;,&quot;non-dropping-particle&quot;:&quot;&quot;},{&quot;family&quot;:&quot;Kenward&quot;,&quot;given&quot;:&quot;M. G.&quot;,&quot;parse-names&quot;:false,&quot;dropping-particle&quot;:&quot;&quot;,&quot;non-dropping-particle&quot;:&quot;&quot;}],&quot;container-title&quot;:&quot;Statistics in Medicine&quot;,&quot;container-title-short&quot;:&quot;Stat. Med.&quot;,&quot;DOI&quot;:&quot;10.1002/sim.3940&quot;,&quot;ISSN&quot;:&quot;02776715&quot;,&quot;PMID&quot;:&quot;20812303&quot;,&quot;issued&quot;:{&quot;date-parts&quot;:[[2010]]},&quot;page&quot;:&quot;2224-2234&quot;,&quot;abstract&quot;:&quot;Environmental stressors often show effects that are delayed in time, requiring the use of statistical models that are flexible enough to describe the additional time dimension of the exposure-response relationship. Here we develop the family of distributed lag non-linear models (DLNM), a modelling framework that can simultaneously represent non-linear exposure-response dependencies and delayed effects. This methodology is based on the definition of a 'cross-basis', a bi-dimensional space of functions that describes simultaneously the shape of the relationship along both the space of the predictor and the lag dimension of its occurrence. In this way the approach provides a unified framework for a range of models that have previously been used in this setting, and new more flexible variants. This family of models is implemented in the package dlnm within the statistical environment R. To illustrate the methodology we use examples of DLNMs to represent the relationship between temperature and mortality, using data from the National Morbidity, Mortality, and Air Pollution Study (NMMAPS) for New York during the period 1987-2000. Copyright © 2010 John Wiley &amp; Sons, Ltd.&quot;,&quot;issue&quot;:&quot;21&quot;,&quot;volume&quot;:&quot;29&quot;},&quot;isTemporary&quot;:false},{&quot;id&quot;:&quot;1a00fb0c-0c72-33de-ac3c-1eecc7123af1&quot;,&quot;itemData&quot;:{&quot;type&quot;:&quot;article-journal&quot;,&quot;id&quot;:&quot;1a00fb0c-0c72-33de-ac3c-1eecc7123af1&quot;,&quot;title&quot;:&quot;Modeling exposure-lag-response associations with distributed lag non-linear models&quot;,&quot;author&quot;:[{&quot;family&quot;:&quot;Gasparrini&quot;,&quot;given&quot;:&quot;Antonio&quot;,&quot;parse-names&quot;:false,&quot;dropping-particle&quot;:&quot;&quot;,&quot;non-dropping-particle&quot;:&quot;&quot;}],&quot;container-title&quot;:&quot;Statistics in Medicine&quot;,&quot;container-title-short&quot;:&quot;Stat. Med.&quot;,&quot;DOI&quot;:&quot;10.1002/sim.5963&quot;,&quot;ISSN&quot;:&quot;02776715&quot;,&quot;PMID&quot;:&quot;24027094&quot;,&quot;issued&quot;:{&quot;date-parts&quot;:[[2014]]},&quot;page&quot;:&quot;881-899&quot;,&quot;abstract&quot;:&quot;In biomedical research, a health effect is frequently associated with protracted exposures of varying intensity sustained in the past. The main complexity of modeling and interpreting such phenomena lies in the additional temporal dimension needed to express the association, as the risk depends on both intensity and timing of past exposures. This type of dependency is defined here as exposure-lag-response association. In this contribution, I illustrate a general statistical framework for such associations, established through the extension of distributed lag non-linear models, originally developed in time series analysis. This modeling class is based on the definition of a cross-basis, obtained by the combination of two functions to flexibly model linear or nonlinear exposure-responses and the lag structure of the relationship, respectively. The methodology is illustrated with an example application to cohort data and validated through a simulation study. This modeling framework generalizes to various study designs and regression models, and can be applied to study the health effects of protracted exposures to environmental factors, drugs or carcinogenic agents, among others. © 2013 The Authors.&quot;,&quot;issue&quot;:&quot;5&quot;,&quot;volume&quot;:&quot;33&quot;},&quot;isTemporary&quot;:false},{&quot;id&quot;:&quot;34ebe7e4-6d93-370f-9892-0e021ff6bdee&quot;,&quot;itemData&quot;:{&quot;type&quot;:&quot;article-journal&quot;,&quot;id&quot;:&quot;34ebe7e4-6d93-370f-9892-0e021ff6bdee&quot;,&quot;title&quot;:&quot;Reducing and meta-analysing estimates from distributed lag non-linear models&quot;,&quot;author&quot;:[{&quot;family&quot;:&quot;Gasparrini&quot;,&quot;given&quot;:&quot;Antonio&quot;,&quot;parse-names&quot;:false,&quot;dropping-particle&quot;:&quot;&quot;,&quot;non-dropping-particle&quot;:&quot;&quot;},{&quot;family&quot;:&quot;Armstrong&quot;,&quot;given&quot;:&quot;Ben&quot;,&quot;parse-names&quot;:false,&quot;dropping-particle&quot;:&quot;&quot;,&quot;non-dropping-particle&quot;:&quot;&quot;}],&quot;container-title&quot;:&quot;BMC Medical Research Methodology&quot;,&quot;container-title-short&quot;:&quot;BMC Med. Res. Methodol.&quot;,&quot;DOI&quot;:&quot;10.1186/1471-2288-13-1&quot;,&quot;ISSN&quot;:&quot;14712288&quot;,&quot;PMID&quot;:&quot;23297754&quot;,&quot;issued&quot;:{&quot;date-parts&quot;:[[2013]]},&quot;page&quot;:&quot;1-10&quot;,&quot;abstract&quot;:&quot;Background: The two-stage time series design represents a powerful analytical tool in environmental epidemiology. Recently, models for both stages have been extended with the development of distributed lag non-linear models (DLNMs), a methodology for investigating simultaneously non-linear and lagged relationships, and multivariate meta-analysis, a methodology to pool estimates of multi-parameter associations. However, the application of both methods in two-stage analyses is prevented by the high-dimensional definition of DLNMs. Methods: In this contribution we propose a method to synthesize DLNMs to simpler summaries, expressed by a reduced set of parameters of one-dimensional functions, which are compatible with current multivariate meta-analytical techniques. The methodology and modelling framework are implemented in R through the packages dlnm and mvmeta. Results: As an illustrative application, the method is adopted for the two-stage time series analysis of temperature- mortality associations using data from 10 regions in England and Wales. R code and data are available as supplementary online material. Discussion and Conclusions: The methodology proposed here extends the use of DLNMs in two-stage analyses, obtaining meta-analytical estimates of easily interpretable summaries from complex non-linear and delayed associations. The approach relaxes the assumptions and avoids simplifications required by simpler modelling approaches. © 2013 Gasparrini and Armstrong; licensee BioMed Central Ltd.&quot;,&quot;issue&quot;:&quot;1&quot;,&quot;volume&quot;:&quot;13&quot;},&quot;isTemporary&quot;:false}]},{&quot;citationID&quot;:&quot;MENDELEY_CITATION_a290ec75-479e-42d3-8639-297c3252fcfd&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&quot;,&quot;citationItems&quot;:[{&quot;id&quot;:&quot;3006bb53-964e-3964-949c-2095dc6f485d&quot;,&quot;itemData&quot;:{&quot;type&quot;:&quot;article-journal&quot;,&quot;id&quot;:&quot;3006bb53-964e-3964-949c-2095dc6f485d&quot;,&quot;title&quot;:&quot;A Comparison of Bayes–Laplace, Jeffreys, and Other Priors&quot;,&quot;author&quot;:[{&quot;family&quot;:&quot;Tuyl&quot;,&quot;given&quot;:&quot;Frank&quot;,&quot;parse-names&quot;:false,&quot;dropping-particle&quot;:&quot;&quot;,&quot;non-dropping-particle&quot;:&quot;&quot;},{&quot;family&quot;:&quot;Gerlach&quot;,&quot;given&quot;:&quot;Richard&quot;,&quot;parse-names&quot;:false,&quot;dropping-particle&quot;:&quot;&quot;,&quot;non-dropping-particle&quot;:&quot;&quot;},{&quot;family&quot;:&quot;Mengersen&quot;,&quot;given&quot;:&quot;Kerrie&quot;,&quot;parse-names&quot;:false,&quot;dropping-particle&quot;:&quot;&quot;,&quot;non-dropping-particle&quot;:&quot;&quot;}],&quot;container-title&quot;:&quot;The American Statistician&quot;,&quot;container-title-short&quot;:&quot;Am. Stat.&quot;,&quot;accessed&quot;:{&quot;date-parts&quot;:[[2026,6,10]]},&quot;DOI&quot;:&quot;10.1198/000313008X267839&quot;,&quot;ISSN&quot;:&quot;00031305&quot;,&quot;URL&quot;:&quot;https://www.tandfonline.com/doi/pdf/10.1198/000313008X267839&quot;,&quot;issued&quot;:{&quot;date-parts&quot;:[[2008,2]]},&quot;page&quot;:&quot;40-44&quot;,&quot;abstract&quot;:&quot;Beta distributions with both parameters equal to 0, 1/2, or 1 are the usual choices for \&quot;noninformative\&quot; priors for Bayesian estimation of the binomial parameter. However, as illustrated by two examples from the Bayesian literature, care needs to be taken with parameter values below 1, both for noninformative and informative priors, as such priors concentrate their mass close to 0 and/or 1 and can suppress the importance of the observed data. These examples concern the case of no successes (or failures) and illustrate the informativeness of the Jeffreys prior usually recommended as the \&quot;consensus prior.\&quot; In particular, the second example suggests that when the binomial parameter is known to be very small, an informative prior from the beta(1, b) family (b &gt; 1) seems appropriate, while a beta(a, b) with a &lt; 1 can be too informative. It is thus argued that sensitivity analysis of an informative prior should be based on a consensus posterior corresponding to the Bayes-Laplace prior rather than the Jeffreys prior.&quot;,&quot;publisher&quot;:&quot;Taylor &amp; Francis&quot;,&quot;issue&quot;:&quot;1&quot;,&quot;volume&quot;:&quot;62&quot;},&quot;isTemporary&quot;:false}]},{&quot;citationID&quot;:&quot;MENDELEY_CITATION_a6833cf2-9bc8-4ef3-8a80-0fefc675d720&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&quot;,&quot;citationItems&quot;:[{&quot;id&quot;:&quot;15d84596-c1af-3bae-b06d-5a50163bd7e8&quot;,&quot;itemData&quot;:{&quot;type&quot;:&quot;article-journal&quot;,&quot;id&quot;:&quot;15d84596-c1af-3bae-b06d-5a50163bd7e8&quot;,&quot;title&quot;:&quot;Costs of Dengue Control Activities and Hospitalizations in the Public Health Sector during an Epidemic Year in Urban Sri Lanka&quot;,&quot;author&quot;:[{&quot;family&quot;:&quot;Thalagala&quot;,&quot;given&quot;:&quot;Neil&quot;,&quot;parse-names&quot;:false,&quot;dropping-particle&quot;:&quot;&quot;,&quot;non-dropping-particle&quot;:&quot;&quot;},{&quot;family&quot;:&quot;Tissera&quot;,&quot;given&quot;:&quot;Hasitha&quot;,&quot;parse-names&quot;:false,&quot;dropping-particle&quot;:&quot;&quot;,&quot;non-dropping-particle&quot;:&quot;&quot;},{&quot;family&quot;:&quot;Palihawadana&quot;,&quot;given&quot;:&quot;Paba&quot;,&quot;parse-names&quot;:false,&quot;dropping-particle&quot;:&quot;&quot;,&quot;non-dropping-particle&quot;:&quot;&quot;},{&quot;family&quot;:&quot;Amarasinghe&quot;,&quot;given&quot;:&quot;Ananda&quot;,&quot;parse-names&quot;:false,&quot;dropping-particle&quot;:&quot;&quot;,&quot;non-dropping-particle&quot;:&quot;&quot;},{&quot;family&quot;:&quot;Ambagahawita&quot;,&quot;given&quot;:&quot;Anuradha&quot;,&quot;parse-names&quot;:false,&quot;dropping-particle&quot;:&quot;&quot;,&quot;non-dropping-particle&quot;:&quot;&quot;},{&quot;family&quot;:&quot;Wilder-Smith&quot;,&quot;given&quot;:&quot;Annelies&quot;,&quot;parse-names&quot;:false,&quot;dropping-particle&quot;:&quot;&quot;,&quot;non-dropping-particle&quot;:&quot;&quot;},{&quot;family&quot;:&quot;Shepard&quot;,&quot;given&quot;:&quot;Donald S.&quot;,&quot;parse-names&quot;:false,&quot;dropping-particle&quot;:&quot;&quot;,&quot;non-dropping-particle&quot;:&quot;&quot;},{&quot;family&quot;:&quot;Tozan&quot;,&quot;given&quot;:&quot;Yeşim&quot;,&quot;parse-names&quot;:false,&quot;dropping-particle&quot;:&quot;&quot;,&quot;non-dropping-particle&quot;:&quot;&quot;}],&quot;container-title&quot;:&quot;PLOS Neglected Tropical Diseases&quot;,&quot;container-title-short&quot;:&quot;PLoS Negl. Trop. Dis.&quot;,&quot;accessed&quot;:{&quot;date-parts&quot;:[[2026,7,8]]},&quot;DOI&quot;:&quot;10.1371/JOURNAL.PNTD.0004466&quot;,&quot;ISSN&quot;:&quot;1935-2735&quot;,&quot;PMID&quot;:&quot;26910907&quot;,&quot;URL&quot;:&quot;https://journals.plos.org/plosntds/article?id=10.1371/journal.pntd.0004466&quot;,&quot;issued&quot;:{&quot;date-parts&quot;:[[2016,2,24]]},&quot;page&quot;:&quot;e0004466&quot;,&quot;abstract&quot;:&quot;Background Reported as a public health problem since the 1960s in Sri Lanka, dengue has become a high priority disease for public health authorities. The Ministry of Health is responsible for controlling dengue and other disease outbreaks and associated health care. The involvement of large numbers of public health staff in dengue control activities year-round and the provision of free medical care to dengue patients at secondary care hospitals place a formidable financial burden on the public health sector.   Methods We estimated the public sector costs of dengue control activities and the direct costs of hospitalizations in Colombo, the most heavily urbanized district in Sri Lanka, during the epidemic year of 2012 from the Ministry of Health’s perspective. The financial costs borne by public health agencies and hospitals are collected using cost extraction tools designed specifically for the study and analysed retrospectively using a combination of activity-based and gross costing approaches.   Results The total cost of dengue control and reported hospitalizations was estimated at US$3.45 million (US$1.50 per capita) in Colombo district in 2012. Personnel costs accounted for the largest shares of the total costs of dengue control activities (79%) and hospitalizations (46%). The results indicated a per capita cost of US$0.42 for dengue control activities. The average costs per hospitalization ranged between US$216–609 for pediatric cases and between US$196–866 for adult cases according to disease severity and treatment setting.   Conclusions This analysis is a first attempt to assess the economic burden of dengue response in the public health sector in Sri Lanka. Country-specific evidence is needed for setting public health priorities and deciding about the deployment of existing or new technologies. Our results suggest that dengue poses a major economic burden on the public health sector in Sri Lanka.&quot;,&quot;publisher&quot;:&quot;Public Library of Science&quot;,&quot;issue&quot;:&quot;2&quot;,&quot;volume&quot;:&quot;10&quot;},&quot;isTemporary&quot;:false}]},{&quot;citationID&quot;:&quot;MENDELEY_CITATION_63a9c5a1-a118-41e7-8c67-1624ba176503&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&quot;,&quot;citationItems&quot;:[{&quot;id&quot;:&quot;ae34bb4b-e119-3e35-8177-9d188a45a57b&quot;,&quot;itemData&quot;:{&quot;type&quot;:&quot;article-journal&quot;,&quot;id&quot;:&quot;ae34bb4b-e119-3e35-8177-9d188a45a57b&quot;,&quot;title&quot;:&quot;Household and hospitalization costs of pediatric dengue illness in Colombo, Sri Lanka&quot;,&quot;author&quot;:[{&quot;family&quot;:&quot;Fernando&quot;,&quot;given&quot;:&quot;Enoka Sonali&quot;,&quot;parse-names&quot;:false,&quot;dropping-particle&quot;:&quot;&quot;,&quot;non-dropping-particle&quot;:&quot;&quot;},{&quot;family&quot;:&quot;Headley&quot;,&quot;given&quot;:&quot;Tyler Y.&quot;,&quot;parse-names&quot;:false,&quot;dropping-particle&quot;:&quot;&quot;,&quot;non-dropping-particle&quot;:&quot;&quot;},{&quot;family&quot;:&quot;Tissera&quot;,&quot;given&quot;:&quot;Hasitha&quot;,&quot;parse-names&quot;:false,&quot;dropping-particle&quot;:&quot;&quot;,&quot;non-dropping-particle&quot;:&quot;&quot;},{&quot;family&quot;:&quot;Wilder-Smith&quot;,&quot;given&quot;:&quot;Annelies&quot;,&quot;parse-names&quot;:false,&quot;dropping-particle&quot;:&quot;&quot;,&quot;non-dropping-particle&quot;:&quot;&quot;},{&quot;family&quot;:&quot;Silva&quot;,&quot;given&quot;:&quot;Amala&quot;,&quot;parse-names&quot;:false,&quot;dropping-particle&quot;:&quot;&quot;,&quot;non-dropping-particle&quot;:&quot;de&quot;},{&quot;family&quot;:&quot;Tozan&quot;,&quot;given&quot;:&quot;Yesim&quot;,&quot;parse-names&quot;:false,&quot;dropping-particle&quot;:&quot;&quot;,&quot;non-dropping-particle&quot;:&quot;&quot;}],&quot;container-title&quot;:&quot;Am J Trop Med Hyg&quot;,&quot;accessed&quot;:{&quot;date-parts&quot;:[[2026,7,8]]},&quot;DOI&quot;:&quot;10.4269/ajtmh.20-1179&quot;,&quot;ISSN&quot;:&quot;14761645&quot;,&quot;PMID&quot;:&quot;33999848&quot;,&quot;issued&quot;:{&quot;date-parts&quot;:[[2021,7,1]]},&quot;page&quot;:&quot;110-116&quot;,&quot;abstract&quot;:&quot;Dengue, a mosquito-borne viral infection that affects millions around the world, poses a substantial economic burden in endemic countries. We conducted a prospective costing study in hospitalized pediatric dengue patients at the Lady Ridgeway Hospital for Children (LRHC), a public pediatric hospital in Colombo district, Sri Lanka, to assess household out-of-pocket and hospitalization costs of dengue in pediatric patients during peak dengue transmission season. Between August and October 2013, we recruited 216 hospitalized patients (aged 0-3 years, 27%; 4-7 years, 29%; 8-12 years, 42%) who were clinically or laboratory diagnosed with dengue. Using 2013 US dollars, household out-of-pocket spending, on average, was US$59 (SD 49) per episode and increased with disease severity (DF, US$52; DHF/ DSS, US$78). Pediatric dengue patients received free-of-charge medical care during hospitalization at LRHC, and this places a high financial burden on hospitals. The direct medical cost of hospitalization was US$68 (SD 31.4) for DF episode, and US$122.7 (SD 65.2) for DHF/DSS episode. Yet a hospitalized dengue illness episode still accounted for 20% to 35% of household monthly income due to direct and indirect costs. Additionally, a majority of caregivers (70%) sought outpatient care before hospitalization, most of whom (81%) visited private health facilities. Our findings indicate that hospitalized pediatric dengue illness poses a nontrivial cost burden to households and healthcare systems, emphasizing the importance of preventing and controlling the transmission of dengue in endemic countries.&quot;,&quot;publisher&quot;:&quot;American Society of Tropical Medicine and Hygiene&quot;,&quot;issue&quot;:&quot;1&quot;,&quot;volume&quot;:&quot;105&quot;,&quot;container-title-short&quot;:&quot;&quot;},&quot;isTemporary&quot;:false},{&quot;id&quot;:&quot;15d84596-c1af-3bae-b06d-5a50163bd7e8&quot;,&quot;itemData&quot;:{&quot;type&quot;:&quot;article-journal&quot;,&quot;id&quot;:&quot;15d84596-c1af-3bae-b06d-5a50163bd7e8&quot;,&quot;title&quot;:&quot;Costs of Dengue Control Activities and Hospitalizations in the Public Health Sector during an Epidemic Year in Urban Sri Lanka&quot;,&quot;author&quot;:[{&quot;family&quot;:&quot;Thalagala&quot;,&quot;given&quot;:&quot;Neil&quot;,&quot;parse-names&quot;:false,&quot;dropping-particle&quot;:&quot;&quot;,&quot;non-dropping-particle&quot;:&quot;&quot;},{&quot;family&quot;:&quot;Tissera&quot;,&quot;given&quot;:&quot;Hasitha&quot;,&quot;parse-names&quot;:false,&quot;dropping-particle&quot;:&quot;&quot;,&quot;non-dropping-particle&quot;:&quot;&quot;},{&quot;family&quot;:&quot;Palihawadana&quot;,&quot;given&quot;:&quot;Paba&quot;,&quot;parse-names&quot;:false,&quot;dropping-particle&quot;:&quot;&quot;,&quot;non-dropping-particle&quot;:&quot;&quot;},{&quot;family&quot;:&quot;Amarasinghe&quot;,&quot;given&quot;:&quot;Ananda&quot;,&quot;parse-names&quot;:false,&quot;dropping-particle&quot;:&quot;&quot;,&quot;non-dropping-particle&quot;:&quot;&quot;},{&quot;family&quot;:&quot;Ambagahawita&quot;,&quot;given&quot;:&quot;Anuradha&quot;,&quot;parse-names&quot;:false,&quot;dropping-particle&quot;:&quot;&quot;,&quot;non-dropping-particle&quot;:&quot;&quot;},{&quot;family&quot;:&quot;Wilder-Smith&quot;,&quot;given&quot;:&quot;Annelies&quot;,&quot;parse-names&quot;:false,&quot;dropping-particle&quot;:&quot;&quot;,&quot;non-dropping-particle&quot;:&quot;&quot;},{&quot;family&quot;:&quot;Shepard&quot;,&quot;given&quot;:&quot;Donald S.&quot;,&quot;parse-names&quot;:false,&quot;dropping-particle&quot;:&quot;&quot;,&quot;non-dropping-particle&quot;:&quot;&quot;},{&quot;family&quot;:&quot;Tozan&quot;,&quot;given&quot;:&quot;Yeşim&quot;,&quot;parse-names&quot;:false,&quot;dropping-particle&quot;:&quot;&quot;,&quot;non-dropping-particle&quot;:&quot;&quot;}],&quot;container-title&quot;:&quot;PLOS Neglected Tropical Diseases&quot;,&quot;container-title-short&quot;:&quot;PLoS Negl. Trop. Dis.&quot;,&quot;accessed&quot;:{&quot;date-parts&quot;:[[2026,7,8]]},&quot;DOI&quot;:&quot;10.1371/JOURNAL.PNTD.0004466&quot;,&quot;ISSN&quot;:&quot;1935-2735&quot;,&quot;PMID&quot;:&quot;26910907&quot;,&quot;URL&quot;:&quot;https://journals.plos.org/plosntds/article?id=10.1371/journal.pntd.0004466&quot;,&quot;issued&quot;:{&quot;date-parts&quot;:[[2016,2,24]]},&quot;page&quot;:&quot;e0004466&quot;,&quot;abstract&quot;:&quot;Background Reported as a public health problem since the 1960s in Sri Lanka, dengue has become a high priority disease for public health authorities. The Ministry of Health is responsible for controlling dengue and other disease outbreaks and associated health care. The involvement of large numbers of public health staff in dengue control activities year-round and the provision of free medical care to dengue patients at secondary care hospitals place a formidable financial burden on the public health sector.   Methods We estimated the public sector costs of dengue control activities and the direct costs of hospitalizations in Colombo, the most heavily urbanized district in Sri Lanka, during the epidemic year of 2012 from the Ministry of Health’s perspective. The financial costs borne by public health agencies and hospitals are collected using cost extraction tools designed specifically for the study and analysed retrospectively using a combination of activity-based and gross costing approaches.   Results The total cost of dengue control and reported hospitalizations was estimated at US$3.45 million (US$1.50 per capita) in Colombo district in 2012. Personnel costs accounted for the largest shares of the total costs of dengue control activities (79%) and hospitalizations (46%). The results indicated a per capita cost of US$0.42 for dengue control activities. The average costs per hospitalization ranged between US$216–609 for pediatric cases and between US$196–866 for adult cases according to disease severity and treatment setting.   Conclusions This analysis is a first attempt to assess the economic burden of dengue response in the public health sector in Sri Lanka. Country-specific evidence is needed for setting public health priorities and deciding about the deployment of existing or new technologies. Our results suggest that dengue poses a major economic burden on the public health sector in Sri Lanka.&quot;,&quot;publisher&quot;:&quot;Public Library of Science&quot;,&quot;issue&quot;:&quot;2&quot;,&quot;volume&quot;:&quot;10&quot;},&quot;isTemporary&quot;:false}]},{&quot;citationID&quot;:&quot;MENDELEY_CITATION_03464153-05b4-4cca-b6c8-a007bbc31e30&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&quot;,&quot;citationItems&quot;:[{&quot;id&quot;:&quot;15d84596-c1af-3bae-b06d-5a50163bd7e8&quot;,&quot;itemData&quot;:{&quot;type&quot;:&quot;article-journal&quot;,&quot;id&quot;:&quot;15d84596-c1af-3bae-b06d-5a50163bd7e8&quot;,&quot;title&quot;:&quot;Costs of Dengue Control Activities and Hospitalizations in the Public Health Sector during an Epidemic Year in Urban Sri Lanka&quot;,&quot;author&quot;:[{&quot;family&quot;:&quot;Thalagala&quot;,&quot;given&quot;:&quot;Neil&quot;,&quot;parse-names&quot;:false,&quot;dropping-particle&quot;:&quot;&quot;,&quot;non-dropping-particle&quot;:&quot;&quot;},{&quot;family&quot;:&quot;Tissera&quot;,&quot;given&quot;:&quot;Hasitha&quot;,&quot;parse-names&quot;:false,&quot;dropping-particle&quot;:&quot;&quot;,&quot;non-dropping-particle&quot;:&quot;&quot;},{&quot;family&quot;:&quot;Palihawadana&quot;,&quot;given&quot;:&quot;Paba&quot;,&quot;parse-names&quot;:false,&quot;dropping-particle&quot;:&quot;&quot;,&quot;non-dropping-particle&quot;:&quot;&quot;},{&quot;family&quot;:&quot;Amarasinghe&quot;,&quot;given&quot;:&quot;Ananda&quot;,&quot;parse-names&quot;:false,&quot;dropping-particle&quot;:&quot;&quot;,&quot;non-dropping-particle&quot;:&quot;&quot;},{&quot;family&quot;:&quot;Ambagahawita&quot;,&quot;given&quot;:&quot;Anuradha&quot;,&quot;parse-names&quot;:false,&quot;dropping-particle&quot;:&quot;&quot;,&quot;non-dropping-particle&quot;:&quot;&quot;},{&quot;family&quot;:&quot;Wilder-Smith&quot;,&quot;given&quot;:&quot;Annelies&quot;,&quot;parse-names&quot;:false,&quot;dropping-particle&quot;:&quot;&quot;,&quot;non-dropping-particle&quot;:&quot;&quot;},{&quot;family&quot;:&quot;Shepard&quot;,&quot;given&quot;:&quot;Donald S.&quot;,&quot;parse-names&quot;:false,&quot;dropping-particle&quot;:&quot;&quot;,&quot;non-dropping-particle&quot;:&quot;&quot;},{&quot;family&quot;:&quot;Tozan&quot;,&quot;given&quot;:&quot;Yeşim&quot;,&quot;parse-names&quot;:false,&quot;dropping-particle&quot;:&quot;&quot;,&quot;non-dropping-particle&quot;:&quot;&quot;}],&quot;container-title&quot;:&quot;PLOS Neglected Tropical Diseases&quot;,&quot;container-title-short&quot;:&quot;PLoS Negl. Trop. Dis.&quot;,&quot;accessed&quot;:{&quot;date-parts&quot;:[[2026,7,8]]},&quot;DOI&quot;:&quot;10.1371/JOURNAL.PNTD.0004466&quot;,&quot;ISSN&quot;:&quot;1935-2735&quot;,&quot;PMID&quot;:&quot;26910907&quot;,&quot;URL&quot;:&quot;https://journals.plos.org/plosntds/article?id=10.1371/journal.pntd.0004466&quot;,&quot;issued&quot;:{&quot;date-parts&quot;:[[2016,2,24]]},&quot;page&quot;:&quot;e0004466&quot;,&quot;abstract&quot;:&quot;Background Reported as a public health problem since the 1960s in Sri Lanka, dengue has become a high priority disease for public health authorities. The Ministry of Health is responsible for controlling dengue and other disease outbreaks and associated health care. The involvement of large numbers of public health staff in dengue control activities year-round and the provision of free medical care to dengue patients at secondary care hospitals place a formidable financial burden on the public health sector.   Methods We estimated the public sector costs of dengue control activities and the direct costs of hospitalizations in Colombo, the most heavily urbanized district in Sri Lanka, during the epidemic year of 2012 from the Ministry of Health’s perspective. The financial costs borne by public health agencies and hospitals are collected using cost extraction tools designed specifically for the study and analysed retrospectively using a combination of activity-based and gross costing approaches.   Results The total cost of dengue control and reported hospitalizations was estimated at US$3.45 million (US$1.50 per capita) in Colombo district in 2012. Personnel costs accounted for the largest shares of the total costs of dengue control activities (79%) and hospitalizations (46%). The results indicated a per capita cost of US$0.42 for dengue control activities. The average costs per hospitalization ranged between US$216–609 for pediatric cases and between US$196–866 for adult cases according to disease severity and treatment setting.   Conclusions This analysis is a first attempt to assess the economic burden of dengue response in the public health sector in Sri Lanka. Country-specific evidence is needed for setting public health priorities and deciding about the deployment of existing or new technologies. Our results suggest that dengue poses a major economic burden on the public health sector in Sri Lanka.&quot;,&quot;publisher&quot;:&quot;Public Library of Science&quot;,&quot;issue&quot;:&quot;2&quot;,&quot;volume&quot;:&quot;10&quot;},&quot;isTemporary&quot;:false}]},{&quot;citationID&quot;:&quot;MENDELEY_CITATION_a2ce84f5-1aac-4f84-8253-953fd691ae75&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&quot;,&quot;citationItems&quot;:[{&quot;id&quot;:&quot;15d84596-c1af-3bae-b06d-5a50163bd7e8&quot;,&quot;itemData&quot;:{&quot;type&quot;:&quot;article-journal&quot;,&quot;id&quot;:&quot;15d84596-c1af-3bae-b06d-5a50163bd7e8&quot;,&quot;title&quot;:&quot;Costs of Dengue Control Activities and Hospitalizations in the Public Health Sector during an Epidemic Year in Urban Sri Lanka&quot;,&quot;author&quot;:[{&quot;family&quot;:&quot;Thalagala&quot;,&quot;given&quot;:&quot;Neil&quot;,&quot;parse-names&quot;:false,&quot;dropping-particle&quot;:&quot;&quot;,&quot;non-dropping-particle&quot;:&quot;&quot;},{&quot;family&quot;:&quot;Tissera&quot;,&quot;given&quot;:&quot;Hasitha&quot;,&quot;parse-names&quot;:false,&quot;dropping-particle&quot;:&quot;&quot;,&quot;non-dropping-particle&quot;:&quot;&quot;},{&quot;family&quot;:&quot;Palihawadana&quot;,&quot;given&quot;:&quot;Paba&quot;,&quot;parse-names&quot;:false,&quot;dropping-particle&quot;:&quot;&quot;,&quot;non-dropping-particle&quot;:&quot;&quot;},{&quot;family&quot;:&quot;Amarasinghe&quot;,&quot;given&quot;:&quot;Ananda&quot;,&quot;parse-names&quot;:false,&quot;dropping-particle&quot;:&quot;&quot;,&quot;non-dropping-particle&quot;:&quot;&quot;},{&quot;family&quot;:&quot;Ambagahawita&quot;,&quot;given&quot;:&quot;Anuradha&quot;,&quot;parse-names&quot;:false,&quot;dropping-particle&quot;:&quot;&quot;,&quot;non-dropping-particle&quot;:&quot;&quot;},{&quot;family&quot;:&quot;Wilder-Smith&quot;,&quot;given&quot;:&quot;Annelies&quot;,&quot;parse-names&quot;:false,&quot;dropping-particle&quot;:&quot;&quot;,&quot;non-dropping-particle&quot;:&quot;&quot;},{&quot;family&quot;:&quot;Shepard&quot;,&quot;given&quot;:&quot;Donald S.&quot;,&quot;parse-names&quot;:false,&quot;dropping-particle&quot;:&quot;&quot;,&quot;non-dropping-particle&quot;:&quot;&quot;},{&quot;family&quot;:&quot;Tozan&quot;,&quot;given&quot;:&quot;Yeşim&quot;,&quot;parse-names&quot;:false,&quot;dropping-particle&quot;:&quot;&quot;,&quot;non-dropping-particle&quot;:&quot;&quot;}],&quot;container-title&quot;:&quot;PLOS Neglected Tropical Diseases&quot;,&quot;container-title-short&quot;:&quot;PLoS Negl. Trop. Dis.&quot;,&quot;accessed&quot;:{&quot;date-parts&quot;:[[2026,7,8]]},&quot;DOI&quot;:&quot;10.1371/JOURNAL.PNTD.0004466&quot;,&quot;ISSN&quot;:&quot;1935-2735&quot;,&quot;PMID&quot;:&quot;26910907&quot;,&quot;URL&quot;:&quot;https://journals.plos.org/plosntds/article?id=10.1371/journal.pntd.0004466&quot;,&quot;issued&quot;:{&quot;date-parts&quot;:[[2016,2,24]]},&quot;page&quot;:&quot;e0004466&quot;,&quot;abstract&quot;:&quot;Background Reported as a public health problem since the 1960s in Sri Lanka, dengue has become a high priority disease for public health authorities. The Ministry of Health is responsible for controlling dengue and other disease outbreaks and associated health care. The involvement of large numbers of public health staff in dengue control activities year-round and the provision of free medical care to dengue patients at secondary care hospitals place a formidable financial burden on the public health sector.   Methods We estimated the public sector costs of dengue control activities and the direct costs of hospitalizations in Colombo, the most heavily urbanized district in Sri Lanka, during the epidemic year of 2012 from the Ministry of Health’s perspective. The financial costs borne by public health agencies and hospitals are collected using cost extraction tools designed specifically for the study and analysed retrospectively using a combination of activity-based and gross costing approaches.   Results The total cost of dengue control and reported hospitalizations was estimated at US$3.45 million (US$1.50 per capita) in Colombo district in 2012. Personnel costs accounted for the largest shares of the total costs of dengue control activities (79%) and hospitalizations (46%). The results indicated a per capita cost of US$0.42 for dengue control activities. The average costs per hospitalization ranged between US$216–609 for pediatric cases and between US$196–866 for adult cases according to disease severity and treatment setting.   Conclusions This analysis is a first attempt to assess the economic burden of dengue response in the public health sector in Sri Lanka. Country-specific evidence is needed for setting public health priorities and deciding about the deployment of existing or new technologies. Our results suggest that dengue poses a major economic burden on the public health sector in Sri Lanka.&quot;,&quot;publisher&quot;:&quot;Public Library of Science&quot;,&quot;issue&quot;:&quot;2&quot;,&quot;volume&quot;:&quot;10&quot;},&quot;isTemporary&quot;:false},{&quot;id&quot;:&quot;ae34bb4b-e119-3e35-8177-9d188a45a57b&quot;,&quot;itemData&quot;:{&quot;type&quot;:&quot;article-journal&quot;,&quot;id&quot;:&quot;ae34bb4b-e119-3e35-8177-9d188a45a57b&quot;,&quot;title&quot;:&quot;Household and hospitalization costs of pediatric dengue illness in Colombo, Sri Lanka&quot;,&quot;author&quot;:[{&quot;family&quot;:&quot;Fernando&quot;,&quot;given&quot;:&quot;Enoka Sonali&quot;,&quot;parse-names&quot;:false,&quot;dropping-particle&quot;:&quot;&quot;,&quot;non-dropping-particle&quot;:&quot;&quot;},{&quot;family&quot;:&quot;Headley&quot;,&quot;given&quot;:&quot;Tyler Y.&quot;,&quot;parse-names&quot;:false,&quot;dropping-particle&quot;:&quot;&quot;,&quot;non-dropping-particle&quot;:&quot;&quot;},{&quot;family&quot;:&quot;Tissera&quot;,&quot;given&quot;:&quot;Hasitha&quot;,&quot;parse-names&quot;:false,&quot;dropping-particle&quot;:&quot;&quot;,&quot;non-dropping-particle&quot;:&quot;&quot;},{&quot;family&quot;:&quot;Wilder-Smith&quot;,&quot;given&quot;:&quot;Annelies&quot;,&quot;parse-names&quot;:false,&quot;dropping-particle&quot;:&quot;&quot;,&quot;non-dropping-particle&quot;:&quot;&quot;},{&quot;family&quot;:&quot;Silva&quot;,&quot;given&quot;:&quot;Amala&quot;,&quot;parse-names&quot;:false,&quot;dropping-particle&quot;:&quot;&quot;,&quot;non-dropping-particle&quot;:&quot;de&quot;},{&quot;family&quot;:&quot;Tozan&quot;,&quot;given&quot;:&quot;Yesim&quot;,&quot;parse-names&quot;:false,&quot;dropping-particle&quot;:&quot;&quot;,&quot;non-dropping-particle&quot;:&quot;&quot;}],&quot;container-title&quot;:&quot;Am J Trop Med Hyg&quot;,&quot;accessed&quot;:{&quot;date-parts&quot;:[[2026,7,8]]},&quot;DOI&quot;:&quot;10.4269/ajtmh.20-1179&quot;,&quot;ISSN&quot;:&quot;14761645&quot;,&quot;PMID&quot;:&quot;33999848&quot;,&quot;issued&quot;:{&quot;date-parts&quot;:[[2021,7,1]]},&quot;page&quot;:&quot;110-116&quot;,&quot;abstract&quot;:&quot;Dengue, a mosquito-borne viral infection that affects millions around the world, poses a substantial economic burden in endemic countries. We conducted a prospective costing study in hospitalized pediatric dengue patients at the Lady Ridgeway Hospital for Children (LRHC), a public pediatric hospital in Colombo district, Sri Lanka, to assess household out-of-pocket and hospitalization costs of dengue in pediatric patients during peak dengue transmission season. Between August and October 2013, we recruited 216 hospitalized patients (aged 0-3 years, 27%; 4-7 years, 29%; 8-12 years, 42%) who were clinically or laboratory diagnosed with dengue. Using 2013 US dollars, household out-of-pocket spending, on average, was US$59 (SD 49) per episode and increased with disease severity (DF, US$52; DHF/ DSS, US$78). Pediatric dengue patients received free-of-charge medical care during hospitalization at LRHC, and this places a high financial burden on hospitals. The direct medical cost of hospitalization was US$68 (SD 31.4) for DF episode, and US$122.7 (SD 65.2) for DHF/DSS episode. Yet a hospitalized dengue illness episode still accounted for 20% to 35% of household monthly income due to direct and indirect costs. Additionally, a majority of caregivers (70%) sought outpatient care before hospitalization, most of whom (81%) visited private health facilities. Our findings indicate that hospitalized pediatric dengue illness poses a nontrivial cost burden to households and healthcare systems, emphasizing the importance of preventing and controlling the transmission of dengue in endemic countries.&quot;,&quot;publisher&quot;:&quot;American Society of Tropical Medicine and Hygiene&quot;,&quot;issue&quot;:&quot;1&quot;,&quot;volume&quot;:&quot;105&quot;,&quot;container-title-short&quot;:&quot;&quot;},&quot;isTemporary&quot;:false}]},{&quot;citationID&quot;:&quot;MENDELEY_CITATION_3c7168c2-5665-4608-abe9-ff2605dc702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&quot;,&quot;citationItems&quot;:[{&quot;id&quot;:&quot;15d84596-c1af-3bae-b06d-5a50163bd7e8&quot;,&quot;itemData&quot;:{&quot;type&quot;:&quot;article-journal&quot;,&quot;id&quot;:&quot;15d84596-c1af-3bae-b06d-5a50163bd7e8&quot;,&quot;title&quot;:&quot;Costs of Dengue Control Activities and Hospitalizations in the Public Health Sector during an Epidemic Year in Urban Sri Lanka&quot;,&quot;author&quot;:[{&quot;family&quot;:&quot;Thalagala&quot;,&quot;given&quot;:&quot;Neil&quot;,&quot;parse-names&quot;:false,&quot;dropping-particle&quot;:&quot;&quot;,&quot;non-dropping-particle&quot;:&quot;&quot;},{&quot;family&quot;:&quot;Tissera&quot;,&quot;given&quot;:&quot;Hasitha&quot;,&quot;parse-names&quot;:false,&quot;dropping-particle&quot;:&quot;&quot;,&quot;non-dropping-particle&quot;:&quot;&quot;},{&quot;family&quot;:&quot;Palihawadana&quot;,&quot;given&quot;:&quot;Paba&quot;,&quot;parse-names&quot;:false,&quot;dropping-particle&quot;:&quot;&quot;,&quot;non-dropping-particle&quot;:&quot;&quot;},{&quot;family&quot;:&quot;Amarasinghe&quot;,&quot;given&quot;:&quot;Ananda&quot;,&quot;parse-names&quot;:false,&quot;dropping-particle&quot;:&quot;&quot;,&quot;non-dropping-particle&quot;:&quot;&quot;},{&quot;family&quot;:&quot;Ambagahawita&quot;,&quot;given&quot;:&quot;Anuradha&quot;,&quot;parse-names&quot;:false,&quot;dropping-particle&quot;:&quot;&quot;,&quot;non-dropping-particle&quot;:&quot;&quot;},{&quot;family&quot;:&quot;Wilder-Smith&quot;,&quot;given&quot;:&quot;Annelies&quot;,&quot;parse-names&quot;:false,&quot;dropping-particle&quot;:&quot;&quot;,&quot;non-dropping-particle&quot;:&quot;&quot;},{&quot;family&quot;:&quot;Shepard&quot;,&quot;given&quot;:&quot;Donald S.&quot;,&quot;parse-names&quot;:false,&quot;dropping-particle&quot;:&quot;&quot;,&quot;non-dropping-particle&quot;:&quot;&quot;},{&quot;family&quot;:&quot;Tozan&quot;,&quot;given&quot;:&quot;Yeşim&quot;,&quot;parse-names&quot;:false,&quot;dropping-particle&quot;:&quot;&quot;,&quot;non-dropping-particle&quot;:&quot;&quot;}],&quot;container-title&quot;:&quot;PLOS Neglected Tropical Diseases&quot;,&quot;container-title-short&quot;:&quot;PLoS Negl. Trop. Dis.&quot;,&quot;accessed&quot;:{&quot;date-parts&quot;:[[2026,7,8]]},&quot;DOI&quot;:&quot;10.1371/JOURNAL.PNTD.0004466&quot;,&quot;ISSN&quot;:&quot;1935-2735&quot;,&quot;PMID&quot;:&quot;26910907&quot;,&quot;URL&quot;:&quot;https://journals.plos.org/plosntds/article?id=10.1371/journal.pntd.0004466&quot;,&quot;issued&quot;:{&quot;date-parts&quot;:[[2016,2,24]]},&quot;page&quot;:&quot;e0004466&quot;,&quot;abstract&quot;:&quot;Background Reported as a public health problem since the 1960s in Sri Lanka, dengue has become a high priority disease for public health authorities. The Ministry of Health is responsible for controlling dengue and other disease outbreaks and associated health care. The involvement of large numbers of public health staff in dengue control activities year-round and the provision of free medical care to dengue patients at secondary care hospitals place a formidable financial burden on the public health sector.   Methods We estimated the public sector costs of dengue control activities and the direct costs of hospitalizations in Colombo, the most heavily urbanized district in Sri Lanka, during the epidemic year of 2012 from the Ministry of Health’s perspective. The financial costs borne by public health agencies and hospitals are collected using cost extraction tools designed specifically for the study and analysed retrospectively using a combination of activity-based and gross costing approaches.   Results The total cost of dengue control and reported hospitalizations was estimated at US$3.45 million (US$1.50 per capita) in Colombo district in 2012. Personnel costs accounted for the largest shares of the total costs of dengue control activities (79%) and hospitalizations (46%). The results indicated a per capita cost of US$0.42 for dengue control activities. The average costs per hospitalization ranged between US$216–609 for pediatric cases and between US$196–866 for adult cases according to disease severity and treatment setting.   Conclusions This analysis is a first attempt to assess the economic burden of dengue response in the public health sector in Sri Lanka. Country-specific evidence is needed for setting public health priorities and deciding about the deployment of existing or new technologies. Our results suggest that dengue poses a major economic burden on the public health sector in Sri Lanka.&quot;,&quot;publisher&quot;:&quot;Public Library of Science&quot;,&quot;issue&quot;:&quot;2&quot;,&quot;volume&quot;:&quot;10&quot;},&quot;isTemporary&quot;:false}]},{&quot;citationID&quot;:&quot;MENDELEY_CITATION_8852c7f2-ed6a-46cb-afe1-4108aca028b4&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&quot;,&quot;citationItems&quot;:[{&quot;id&quot;:&quot;a1e7b09e-5ad7-32d8-be34-f80650b9cd97&quot;,&quot;itemData&quot;:{&quot;type&quot;:&quot;article-journal&quot;,&quot;id&quot;:&quot;a1e7b09e-5ad7-32d8-be34-f80650b9cd97&quot;,&quot;title&quot;:&quot;Cost-of-illness studies: concepts, scopes, and methods&quot;,&quot;author&quot;:[{&quot;family&quot;:&quot;Jo&quot;,&quot;given&quot;:&quot;Changik&quot;,&quot;parse-names&quot;:false,&quot;dropping-particle&quot;:&quot;&quot;,&quot;non-dropping-particle&quot;:&quot;&quot;}],&quot;container-title&quot;:&quot;Clinical and Molecular Hepatology&quot;,&quot;container-title-short&quot;:&quot;Clin. Mol. Hepatol.&quot;,&quot;accessed&quot;:{&quot;date-parts&quot;:[[2026,5,16]]},&quot;DOI&quot;:&quot;10.3350/CMH.2014.20.4.327&quot;,&quot;ISSN&quot;:&quot;2287285X&quot;,&quot;PMID&quot;:&quot;25548737&quot;,&quot;URL&quot;:&quot;https://pmc.ncbi.nlm.nih.gov/articles/PMC4278062/&quot;,&quot;issued&quot;:{&quot;date-parts&quot;:[[2014,12,1]]},&quot;page&quot;:&quot;327&quot;,&quot;abstract&quot;:&quot;Liver diseases are one of the main causes of death, and their ever-increasing prevalence is threatening to cause significant damage both to individuals and society as a whole. This damage is especially serious for the economically active population in Korea. From the societal perspective, it is therefore necessary to consider the economic impacts associated with liver diseases, and identify interventions that can reduce the burden of these diseases. The cost-of-illness study is considered to be an essential evaluation technique in health care. By measuring and comparing the economic burdens of diseases to society, such studies can help health-care decision-makers to set up and prioritize health-care policies and interventions. Using economic theories, this paper introduces various study methods that are generally applicable to most disease cases for estimating the costs of illness associated with mortality, morbidity, disability, and other disease characteristics. It also presents concepts and scopes of costs along with different cost categories from different research perspectives in cost estimations. By discussing the epidemiological and economic grounds of the cost-of-illness study, the reported results represent useful information about several evaluation techniques at an advanced level, such as cost-benefit analysis, cost-effectiveness analysis, and cost-utility analysis.&quot;,&quot;issue&quot;:&quot;4&quot;,&quot;volume&quot;:&quot;20&quot;},&quot;isTemporary&quot;:false}]},{&quot;citationID&quot;:&quot;MENDELEY_CITATION_3ff6476e-016d-4e68-b14c-aef621e67026&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&quot;,&quot;citationItems&quot;:[{&quot;id&quot;:&quot;1df35578-c717-3d12-9ff2-08d756a41f82&quot;,&quot;itemData&quot;:{&quot;type&quot;:&quot;article-journal&quot;,&quot;id&quot;:&quot;1df35578-c717-3d12-9ff2-08d756a41f82&quot;,&quot;title&quot;:&quot;Direct and indirect costs for hospitalized patients with dengue in Southern Sri Lanka&quot;,&quot;author&quot;:[{&quot;family&quot;:&quot;Weerasinghe&quot;,&quot;given&quot;:&quot;N. P.&quot;,&quot;parse-names&quot;:false,&quot;dropping-particle&quot;:&quot;&quot;,&quot;non-dropping-particle&quot;:&quot;&quot;},{&quot;family&quot;:&quot;Bodinayake&quot;,&quot;given&quot;:&quot;C. K.&quot;,&quot;parse-names&quot;:false,&quot;dropping-particle&quot;:&quot;&quot;,&quot;non-dropping-particle&quot;:&quot;&quot;},{&quot;family&quot;:&quot;Wijayaratne&quot;,&quot;given&quot;:&quot;W. M.D.G.B.&quot;,&quot;parse-names&quot;:false,&quot;dropping-particle&quot;:&quot;&quot;,&quot;non-dropping-particle&quot;:&quot;&quot;},{&quot;family&quot;:&quot;Devasiri&quot;,&quot;given&quot;:&quot;I.&quot;,&quot;parse-names&quot;:false,&quot;dropping-particle&quot;:&quot;V.&quot;,&quot;non-dropping-particle&quot;:&quot;&quot;},{&quot;family&quot;:&quot;Dahanayake&quot;,&quot;given&quot;:&quot;N. J.&quot;,&quot;parse-names&quot;:false,&quot;dropping-particle&quot;:&quot;&quot;,&quot;non-dropping-particle&quot;:&quot;&quot;},{&quot;family&quot;:&quot;Kurukulasooriya&quot;,&quot;given&quot;:&quot;M. R.P.&quot;,&quot;parse-names&quot;:false,&quot;dropping-particle&quot;:&quot;&quot;,&quot;non-dropping-particle&quot;:&quot;&quot;},{&quot;family&quot;:&quot;Premamali&quot;,&quot;given&quot;:&quot;M.&quot;,&quot;parse-names&quot;:false,&quot;dropping-particle&quot;:&quot;&quot;,&quot;non-dropping-particle&quot;:&quot;&quot;},{&quot;family&quot;:&quot;Sheng&quot;,&quot;given&quot;:&quot;T.&quot;,&quot;parse-names&quot;:false,&quot;dropping-particle&quot;:&quot;&quot;,&quot;non-dropping-particle&quot;:&quot;&quot;},{&quot;family&quot;:&quot;Nicholson&quot;,&quot;given&quot;:&quot;B. P.&quot;,&quot;parse-names&quot;:false,&quot;dropping-particle&quot;:&quot;&quot;,&quot;non-dropping-particle&quot;:&quot;&quot;},{&quot;family&quot;:&quot;Ubeysekera&quot;,&quot;given&quot;:&quot;H. A.&quot;,&quot;parse-names&quot;:false,&quot;dropping-particle&quot;:&quot;&quot;,&quot;non-dropping-particle&quot;:&quot;&quot;},{&quot;family&quot;:&quot;Silva&quot;,&quot;given&quot;:&quot;A. D.&quot;,&quot;parse-names&quot;:false,&quot;dropping-particle&quot;:&quot;&quot;,&quot;non-dropping-particle&quot;:&quot;de&quot;},{&quot;family&quot;:&quot;Østbye&quot;,&quot;given&quot;:&quot;T.&quot;,&quot;parse-names&quot;:false,&quot;dropping-particle&quot;:&quot;&quot;,&quot;non-dropping-particle&quot;:&quot;&quot;},{&quot;family&quot;:&quot;Woods&quot;,&quot;given&quot;:&quot;C. W.&quot;,&quot;parse-names&quot;:false,&quot;dropping-particle&quot;:&quot;&quot;,&quot;non-dropping-particle&quot;:&quot;&quot;},{&quot;family&quot;:&quot;Tillekeratne&quot;,&quot;given&quot;:&quot;L. G.&quot;,&quot;parse-names&quot;:false,&quot;dropping-particle&quot;:&quot;&quot;,&quot;non-dropping-particle&quot;:&quot;&quot;},{&quot;family&quot;:&quot;Nagahawatte&quot;,&quot;given&quot;:&quot;A. De S.&quot;,&quot;parse-names&quot;:false,&quot;dropping-particle&quot;:&quot;&quot;,&quot;non-dropping-particle&quot;:&quot;&quot;}],&quot;container-title&quot;:&quot;BMC Health Serv Res&quot;,&quot;accessed&quot;:{&quot;date-parts&quot;:[[2026,7,8]]},&quot;DOI&quot;:&quot;10.1186/s12913-022-08048-5&quot;,&quot;ISSN&quot;:&quot;14726963&quot;,&quot;PMID&quot;:&quot;35578247&quot;,&quot;issued&quot;:{&quot;date-parts&quot;:[[2022,12,1]]},&quot;page&quot;:&quot;657&quot;,&quot;abstract&quot;:&quot;Background: The Southern Province of Sri Lanka is endemic with dengue, with frequent outbreaks and occurrence of severe disease. However, the economic burden of dengue is poorly quantified. Therefore, we conducted a cost analysis to assess the direct and indirect costs associated with hospitalized patients with dengue to households and to the public healthcare system. Methods: From June 2017–December 2018, we prospectively enrolled children and adults with acute dengue hospitalized at the largest, public tertiary-care (1800 bed) hospital in the Southern Province, Sri Lanka. We administered a structured questionnaire to obtain information regarding direct costs spent by households on medical visits, medications, laboratory testing, and travel for seeking care for the illness. Indirect costs lost by households were estimated by identifying the days of work lost by patients and caregivers and school days lost by children. Direct hospital costs were estimated using gross costing approach and adjusted by multiplying by annual inflation rates in Sri Lankan rupees and converted to US dollars. Results: A total of 1064 patients with laboratory-confirmed dengue were enrolled. The mean age (SD) was 35.9 years (15.6) with male predominance (66.2%). The mean durations of hospitalization for adults and paediatric patients were 3.86 (SD = 1.51) and 4 (SD = 1.32) days, respectively. The per-capita direct cost borne by the healthcare system was 233.76 USD, and was approximately 14 times greater than the per-capita direct cost borne by households (16.29 USD, SD = 14.02). The per-capita average number of loss of working days was 21.51 (SD = 41.71), with mean per-capita loss of income due to loss of work being 303.99 USD (SD = 569.77), accounting for over 70% of average monthly income. On average, 10.88 days (SD = 10.97) of school days were missed due to the dengue episode. School misses were expected to reduce future annual income of affected children by 0.44%. Conclusions: Dengue requiring hospitalization had a substantial economic burden on the public healthcare system in Sri Lanka and the affected households. These findings emphasize the importance of strengthening dengue control activities and improved use of hospital-based resources for care to reduce the economic impact of dengue in Sri Lanka.&quot;,&quot;publisher&quot;:&quot;BioMed Central Ltd&quot;,&quot;issue&quot;:&quot;1&quot;,&quot;volume&quot;:&quot;22&quot;,&quot;container-title-short&quot;:&quot;&quot;},&quot;isTemporary&quot;:false}]},{&quot;citationID&quot;:&quot;MENDELEY_CITATION_4d6650d5-bcb3-4713-af97-43bb3e19a27b&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&quot;,&quot;citationItems&quot;:[{&quot;id&quot;:&quot;1df35578-c717-3d12-9ff2-08d756a41f82&quot;,&quot;itemData&quot;:{&quot;type&quot;:&quot;article-journal&quot;,&quot;id&quot;:&quot;1df35578-c717-3d12-9ff2-08d756a41f82&quot;,&quot;title&quot;:&quot;Direct and indirect costs for hospitalized patients with dengue in Southern Sri Lanka&quot;,&quot;author&quot;:[{&quot;family&quot;:&quot;Weerasinghe&quot;,&quot;given&quot;:&quot;N. P.&quot;,&quot;parse-names&quot;:false,&quot;dropping-particle&quot;:&quot;&quot;,&quot;non-dropping-particle&quot;:&quot;&quot;},{&quot;family&quot;:&quot;Bodinayake&quot;,&quot;given&quot;:&quot;C. K.&quot;,&quot;parse-names&quot;:false,&quot;dropping-particle&quot;:&quot;&quot;,&quot;non-dropping-particle&quot;:&quot;&quot;},{&quot;family&quot;:&quot;Wijayaratne&quot;,&quot;given&quot;:&quot;W. M.D.G.B.&quot;,&quot;parse-names&quot;:false,&quot;dropping-particle&quot;:&quot;&quot;,&quot;non-dropping-particle&quot;:&quot;&quot;},{&quot;family&quot;:&quot;Devasiri&quot;,&quot;given&quot;:&quot;I.&quot;,&quot;parse-names&quot;:false,&quot;dropping-particle&quot;:&quot;V.&quot;,&quot;non-dropping-particle&quot;:&quot;&quot;},{&quot;family&quot;:&quot;Dahanayake&quot;,&quot;given&quot;:&quot;N. J.&quot;,&quot;parse-names&quot;:false,&quot;dropping-particle&quot;:&quot;&quot;,&quot;non-dropping-particle&quot;:&quot;&quot;},{&quot;family&quot;:&quot;Kurukulasooriya&quot;,&quot;given&quot;:&quot;M. R.P.&quot;,&quot;parse-names&quot;:false,&quot;dropping-particle&quot;:&quot;&quot;,&quot;non-dropping-particle&quot;:&quot;&quot;},{&quot;family&quot;:&quot;Premamali&quot;,&quot;given&quot;:&quot;M.&quot;,&quot;parse-names&quot;:false,&quot;dropping-particle&quot;:&quot;&quot;,&quot;non-dropping-particle&quot;:&quot;&quot;},{&quot;family&quot;:&quot;Sheng&quot;,&quot;given&quot;:&quot;T.&quot;,&quot;parse-names&quot;:false,&quot;dropping-particle&quot;:&quot;&quot;,&quot;non-dropping-particle&quot;:&quot;&quot;},{&quot;family&quot;:&quot;Nicholson&quot;,&quot;given&quot;:&quot;B. P.&quot;,&quot;parse-names&quot;:false,&quot;dropping-particle&quot;:&quot;&quot;,&quot;non-dropping-particle&quot;:&quot;&quot;},{&quot;family&quot;:&quot;Ubeysekera&quot;,&quot;given&quot;:&quot;H. A.&quot;,&quot;parse-names&quot;:false,&quot;dropping-particle&quot;:&quot;&quot;,&quot;non-dropping-particle&quot;:&quot;&quot;},{&quot;family&quot;:&quot;Silva&quot;,&quot;given&quot;:&quot;A. D.&quot;,&quot;parse-names&quot;:false,&quot;dropping-particle&quot;:&quot;&quot;,&quot;non-dropping-particle&quot;:&quot;de&quot;},{&quot;family&quot;:&quot;Østbye&quot;,&quot;given&quot;:&quot;T.&quot;,&quot;parse-names&quot;:false,&quot;dropping-particle&quot;:&quot;&quot;,&quot;non-dropping-particle&quot;:&quot;&quot;},{&quot;family&quot;:&quot;Woods&quot;,&quot;given&quot;:&quot;C. W.&quot;,&quot;parse-names&quot;:false,&quot;dropping-particle&quot;:&quot;&quot;,&quot;non-dropping-particle&quot;:&quot;&quot;},{&quot;family&quot;:&quot;Tillekeratne&quot;,&quot;given&quot;:&quot;L. G.&quot;,&quot;parse-names&quot;:false,&quot;dropping-particle&quot;:&quot;&quot;,&quot;non-dropping-particle&quot;:&quot;&quot;},{&quot;family&quot;:&quot;Nagahawatte&quot;,&quot;given&quot;:&quot;A. De S.&quot;,&quot;parse-names&quot;:false,&quot;dropping-particle&quot;:&quot;&quot;,&quot;non-dropping-particle&quot;:&quot;&quot;}],&quot;container-title&quot;:&quot;BMC Health Serv Res&quot;,&quot;accessed&quot;:{&quot;date-parts&quot;:[[2026,7,8]]},&quot;DOI&quot;:&quot;10.1186/s12913-022-08048-5&quot;,&quot;ISSN&quot;:&quot;14726963&quot;,&quot;PMID&quot;:&quot;35578247&quot;,&quot;issued&quot;:{&quot;date-parts&quot;:[[2022,12,1]]},&quot;page&quot;:&quot;657&quot;,&quot;abstract&quot;:&quot;Background: The Southern Province of Sri Lanka is endemic with dengue, with frequent outbreaks and occurrence of severe disease. However, the economic burden of dengue is poorly quantified. Therefore, we conducted a cost analysis to assess the direct and indirect costs associated with hospitalized patients with dengue to households and to the public healthcare system. Methods: From June 2017–December 2018, we prospectively enrolled children and adults with acute dengue hospitalized at the largest, public tertiary-care (1800 bed) hospital in the Southern Province, Sri Lanka. We administered a structured questionnaire to obtain information regarding direct costs spent by households on medical visits, medications, laboratory testing, and travel for seeking care for the illness. Indirect costs lost by households were estimated by identifying the days of work lost by patients and caregivers and school days lost by children. Direct hospital costs were estimated using gross costing approach and adjusted by multiplying by annual inflation rates in Sri Lankan rupees and converted to US dollars. Results: A total of 1064 patients with laboratory-confirmed dengue were enrolled. The mean age (SD) was 35.9 years (15.6) with male predominance (66.2%). The mean durations of hospitalization for adults and paediatric patients were 3.86 (SD = 1.51) and 4 (SD = 1.32) days, respectively. The per-capita direct cost borne by the healthcare system was 233.76 USD, and was approximately 14 times greater than the per-capita direct cost borne by households (16.29 USD, SD = 14.02). The per-capita average number of loss of working days was 21.51 (SD = 41.71), with mean per-capita loss of income due to loss of work being 303.99 USD (SD = 569.77), accounting for over 70% of average monthly income. On average, 10.88 days (SD = 10.97) of school days were missed due to the dengue episode. School misses were expected to reduce future annual income of affected children by 0.44%. Conclusions: Dengue requiring hospitalization had a substantial economic burden on the public healthcare system in Sri Lanka and the affected households. These findings emphasize the importance of strengthening dengue control activities and improved use of hospital-based resources for care to reduce the economic impact of dengue in Sri Lanka.&quot;,&quot;publisher&quot;:&quot;BioMed Central Ltd&quot;,&quot;issue&quot;:&quot;1&quot;,&quot;volume&quot;:&quot;22&quot;,&quot;container-title-short&quot;:&quot;&quot;},&quot;isTemporary&quot;:false}]},{&quot;citationID&quot;:&quot;MENDELEY_CITATION_2ea5f660-ba62-4f99-aaa5-c267619ea142&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&quot;,&quot;citationItems&quot;:[{&quot;id&quot;:&quot;0972c444-b4a0-35de-929c-ef3c2e7623ce&quot;,&quot;itemData&quot;:{&quot;type&quot;:&quot;article-journal&quot;,&quot;id&quot;:&quot;0972c444-b4a0-35de-929c-ef3c2e7623ce&quot;,&quot;title&quot;:&quot;Evaluating the Economic Burden of Dengue in Sri Lanka: A Systematic Review of Costs from 2010 to 2024&quot;,&quot;author&quot;:[{&quot;family&quot;:&quot;Wickramasinghe&quot;,&quot;given&quot;:&quot;Dr. H.T.&quot;,&quot;parse-names&quot;:false,&quot;dropping-particle&quot;:&quot;&quot;,&quot;non-dropping-particle&quot;:&quot;&quot;},{&quot;family&quot;:&quot;Ranawaka&quot;,&quot;given&quot;:&quot;Prof. Randula&quot;,&quot;parse-names&quot;:false,&quot;dropping-particle&quot;:&quot;&quot;,&quot;non-dropping-particle&quot;:&quot;&quot;},{&quot;family&quot;:&quot;Kalra&quot;,&quot;given&quot;:&quot;Dr. Puneet&quot;,&quot;parse-names&quot;:false,&quot;dropping-particle&quot;:&quot;&quot;,&quot;non-dropping-particle&quot;:&quot;&quot;},{&quot;family&quot;:&quot;Hanley&quot;,&quot;given&quot;:&quot;Riona&quot;,&quot;parse-names&quot;:false,&quot;dropping-particle&quot;:&quot;&quot;,&quot;non-dropping-particle&quot;:&quot;&quot;},{&quot;family&quot;:&quot;Gallagher&quot;,&quot;given&quot;:&quot;Elaine&quot;,&quot;parse-names&quot;:false,&quot;dropping-particle&quot;:&quot;&quot;,&quot;non-dropping-particle&quot;:&quot;&quot;}],&quot;container-title&quot;:&quot;IJID Regions&quot;,&quot;accessed&quot;:{&quot;date-parts&quot;:[[2026,7,8]]},&quot;DOI&quot;:&quot;10.1016/j.ijregi.2026.100837&quot;,&quot;ISSN&quot;:&quot;27727076&quot;,&quot;URL&quot;:&quot;https://regions.ijidonline.org/action/showFullText?pii=S2772707626000019&quot;,&quot;issued&quot;:{&quot;date-parts&quot;:[[2026,3,1]]},&quot;page&quot;:&quot;100837&quot;,&quot;abstract&quot;:&quot;&lt;h2&gt;Abstract&lt;/h2&gt;&lt;h3&gt;Objectives&lt;/h3&gt;&lt;p&gt;This systematic literature review aimed to evaluate the direct and indirect costs borne by households and the health care system in managing dengue cases in Sri Lanka.&lt;/p&gt;&lt;h3&gt;Methods&lt;/h3&gt;&lt;p&gt;This review evaluates the economic burden of dengue in Sri Lanka from 2010 to 2024, following the Cochrane Handbook for Systematic Reviews of Interventions and PRISMA guidelines. The databases PubMed, Embase, Cochrane, and the Database of Abstracts of Reviews of Effects (DARE) were searched, with a final selection of eight studies that covered direct, indirect, and vector control costs. Costs were converted to 2024 US dollar (USD) using the Sri Lankan Consumer Price Index.&lt;/p&gt;&lt;h3&gt;Results&lt;/h3&gt;&lt;p&gt;Direct costs ranged from 19 USD per case in southern Sri Lanka to 242 USD nationally, with hospitalization as a major expense. Indirect costs, including lost income from missed workdays, averaged 371 USD per episode, reducing household income by 6.18%. In 2017, the total annual cost of implementing the dengue vaccination strategy was estimated at USD 28.95 million. In comparison, the total cost of a dengue vector control program was USD 400,496, with a cost of USD 2 per person protected over the intervention period (2014-2016). Psychological effects such as post-infectious fatigue, depression, and anxiety were frequently reported.&lt;/p&gt;&lt;h3&gt;Conclusions&lt;/h3&gt;&lt;p&gt;This review highlights dengue's economic burden in Sri Lanka, emphasizing the need for cost-effective interventions and mental health support, alongside disease management.&lt;/p&gt;&quot;,&quot;publisher&quot;:&quot;Elsevier BV&quot;,&quot;volume&quot;:&quot;18&quot;,&quot;container-title-short&quot;:&quot;&quot;},&quot;isTemporary&quot;:false}]},{&quot;citationID&quot;:&quot;MENDELEY_CITATION_69f8c025-4832-49ec-a81c-dcf4b926f4e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&quot;,&quot;citationItems&quot;:[{&quot;id&quot;:&quot;02f500b2-ed69-379d-bd73-fdb5275e9ed2&quot;,&quot;itemData&quot;:{&quot;type&quot;:&quot;webpage&quot;,&quot;id&quot;:&quot;02f500b2-ed69-379d-bd73-fdb5275e9ed2&quot;,&quot;title&quot;:&quot;Gross Domestic Product | Central Bank of Sri Lanka&quot;,&quot;accessed&quot;:{&quot;date-parts&quot;:[[2026,7,8]]},&quot;URL&quot;:&quot;https://www.cbsl.gov.lk/en/statistics/economic-indicators/gross-domestic-product&quot;,&quot;container-title-short&quot;:&quot;&quot;},&quot;isTemporary&quot;:false}]},{&quot;citationID&quot;:&quot;MENDELEY_CITATION_fac74cc7-2827-430c-b7ab-47472ac9c30e&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&quot;,&quot;citationItems&quot;:[{&quot;id&quot;:&quot;b2c2af43-e124-3fbc-b911-75da60c2ab8f&quot;,&quot;itemData&quot;:{&quot;type&quot;:&quot;article-journal&quot;,&quot;id&quot;:&quot;b2c2af43-e124-3fbc-b911-75da60c2ab8f&quot;,&quot;title&quot;:&quot;Impact of a nonfatal dengue episode on disability-adjusted life years: A systematic analysis&quot;,&quot;author&quot;:[{&quot;family&quot;:&quot;Zeng&quot;,&quot;given&quot;:&quot;Wu&quot;,&quot;parse-names&quot;:false,&quot;dropping-particle&quot;:&quot;&quot;,&quot;non-dropping-particle&quot;:&quot;&quot;},{&quot;family&quot;:&quot;Halasa-Rappel&quot;,&quot;given&quot;:&quot;Yara A.&quot;,&quot;parse-names&quot;:false,&quot;dropping-particle&quot;:&quot;&quot;,&quot;non-dropping-particle&quot;:&quot;&quot;},{&quot;family&quot;:&quot;Durand&quot;,&quot;given&quot;:&quot;Laure&quot;,&quot;parse-names&quot;:false,&quot;dropping-particle&quot;:&quot;&quot;,&quot;non-dropping-particle&quot;:&quot;&quot;},{&quot;family&quot;:&quot;Coudeville&quot;,&quot;given&quot;:&quot;Laurent&quot;,&quot;parse-names&quot;:false,&quot;dropping-particle&quot;:&quot;&quot;,&quot;non-dropping-particle&quot;:&quot;&quot;},{&quot;family&quot;:&quot;Shepard&quot;,&quot;given&quot;:&quot;Donald S.&quot;,&quot;parse-names&quot;:false,&quot;dropping-particle&quot;:&quot;&quot;,&quot;non-dropping-particle&quot;:&quot;&quot;}],&quot;container-title&quot;:&quot;American Journal of Tropical Medicine and Hygiene&quot;,&quot;accessed&quot;:{&quot;date-parts&quot;:[[2021,8,4]]},&quot;DOI&quot;:&quot;10.4269/ajtmh.18-0309&quot;,&quot;ISSN&quot;:&quot;00029637&quot;,&quot;PMID&quot;:&quot;30277202&quot;,&quot;URL&quot;:&quot;https://pubmed.ncbi.nlm.nih.gov/30277202/&quot;,&quot;issued&quot;:{&quot;date-parts&quot;:[[2018]]},&quot;page&quot;:&quot;1458-1465&quot;,&quot;abstract&quot;:&quot;As dengue causes about 4,000 symptomatic nonfatal episodes for every dengue death globally, quantitative disability assessments are critical to assess the burden of dengue and the cost-effectiveness of dengue control interventions. This systematic analysis of disability or quality of life lost from a symptomatic nonfatal dengue episode combined a systematic literature review, statistical modeling, and probabilistic sensitivity analyses. We conceptualized a dengue episode as having two phases: acute and persistent symptoms. Our estimates for the acute phase, consisting of onset and recovery periods and defined as the first 20 days (0.054 year), were based on literature review. We searched PubMed, POPLINE, EconLit, Google Scholar, scientific conferences, and other sources, for “dengue” plus “quality of life” or related terms. From 4,322 initial entries, six met our criteria (original studies with empirical data). The median disability-adjusted life year (DALY) burden for the acute phase was 0.011 (95% certainty interval [CI]: 0.006–0.015) for ambulatory episodes, 0.015 (CI: 0.010–0.020) for hospitalized episodes, and 0.012 (CI: 0.006–0.019) overall. Using literature reviews about persistent dengue, we estimated that 34% of episodes experienced persistent symptoms with a median duration of symptoms of 0.087 (CI: 0.040–0.359) year, which resulted in median DALYs of 0.019 (CI: 0.008–0.082). Thus, the overall median DALY burden was 0.031 (CI: 0.017–0.092) for ambulatory episodes, 0.035 (CI: 0.024–0.096) for hospitalized episodes, and 0.032 (CI: 0.018–0.093) overall. Our dengue-specific burden of a dengue episode was 2.1 times the 2013 Global Burden of Disease estimate. These literature-based estimates provide an empirical summary for policy and cost-effectiveness analyses.&quot;,&quot;publisher&quot;:&quot;Am J Trop Med Hyg&quot;,&quot;issue&quot;:&quot;6&quot;,&quot;volume&quot;:&quot;99&quot;,&quot;container-title-short&quot;:&quot;&quot;},&quot;isTemporary&quot;:false}]},{&quot;citationID&quot;:&quot;MENDELEY_CITATION_d2d15a51-d6ca-4758-b6c2-f823aed337e7&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&quot;,&quot;citationItems&quot;:[{&quot;id&quot;:&quot;b2c2af43-e124-3fbc-b911-75da60c2ab8f&quot;,&quot;itemData&quot;:{&quot;type&quot;:&quot;article-journal&quot;,&quot;id&quot;:&quot;b2c2af43-e124-3fbc-b911-75da60c2ab8f&quot;,&quot;title&quot;:&quot;Impact of a nonfatal dengue episode on disability-adjusted life years: A systematic analysis&quot;,&quot;author&quot;:[{&quot;family&quot;:&quot;Zeng&quot;,&quot;given&quot;:&quot;Wu&quot;,&quot;parse-names&quot;:false,&quot;dropping-particle&quot;:&quot;&quot;,&quot;non-dropping-particle&quot;:&quot;&quot;},{&quot;family&quot;:&quot;Halasa-Rappel&quot;,&quot;given&quot;:&quot;Yara A.&quot;,&quot;parse-names&quot;:false,&quot;dropping-particle&quot;:&quot;&quot;,&quot;non-dropping-particle&quot;:&quot;&quot;},{&quot;family&quot;:&quot;Durand&quot;,&quot;given&quot;:&quot;Laure&quot;,&quot;parse-names&quot;:false,&quot;dropping-particle&quot;:&quot;&quot;,&quot;non-dropping-particle&quot;:&quot;&quot;},{&quot;family&quot;:&quot;Coudeville&quot;,&quot;given&quot;:&quot;Laurent&quot;,&quot;parse-names&quot;:false,&quot;dropping-particle&quot;:&quot;&quot;,&quot;non-dropping-particle&quot;:&quot;&quot;},{&quot;family&quot;:&quot;Shepard&quot;,&quot;given&quot;:&quot;Donald S.&quot;,&quot;parse-names&quot;:false,&quot;dropping-particle&quot;:&quot;&quot;,&quot;non-dropping-particle&quot;:&quot;&quot;}],&quot;container-title&quot;:&quot;American Journal of Tropical Medicine and Hygiene&quot;,&quot;accessed&quot;:{&quot;date-parts&quot;:[[2021,8,4]]},&quot;DOI&quot;:&quot;10.4269/ajtmh.18-0309&quot;,&quot;ISSN&quot;:&quot;00029637&quot;,&quot;PMID&quot;:&quot;30277202&quot;,&quot;URL&quot;:&quot;https://pubmed.ncbi.nlm.nih.gov/30277202/&quot;,&quot;issued&quot;:{&quot;date-parts&quot;:[[2018]]},&quot;page&quot;:&quot;1458-1465&quot;,&quot;abstract&quot;:&quot;As dengue causes about 4,000 symptomatic nonfatal episodes for every dengue death globally, quantitative disability assessments are critical to assess the burden of dengue and the cost-effectiveness of dengue control interventions. This systematic analysis of disability or quality of life lost from a symptomatic nonfatal dengue episode combined a systematic literature review, statistical modeling, and probabilistic sensitivity analyses. We conceptualized a dengue episode as having two phases: acute and persistent symptoms. Our estimates for the acute phase, consisting of onset and recovery periods and defined as the first 20 days (0.054 year), were based on literature review. We searched PubMed, POPLINE, EconLit, Google Scholar, scientific conferences, and other sources, for “dengue” plus “quality of life” or related terms. From 4,322 initial entries, six met our criteria (original studies with empirical data). The median disability-adjusted life year (DALY) burden for the acute phase was 0.011 (95% certainty interval [CI]: 0.006–0.015) for ambulatory episodes, 0.015 (CI: 0.010–0.020) for hospitalized episodes, and 0.012 (CI: 0.006–0.019) overall. Using literature reviews about persistent dengue, we estimated that 34% of episodes experienced persistent symptoms with a median duration of symptoms of 0.087 (CI: 0.040–0.359) year, which resulted in median DALYs of 0.019 (CI: 0.008–0.082). Thus, the overall median DALY burden was 0.031 (CI: 0.017–0.092) for ambulatory episodes, 0.035 (CI: 0.024–0.096) for hospitalized episodes, and 0.032 (CI: 0.018–0.093) overall. Our dengue-specific burden of a dengue episode was 2.1 times the 2013 Global Burden of Disease estimate. These literature-based estimates provide an empirical summary for policy and cost-effectiveness analyses.&quot;,&quot;publisher&quot;:&quot;Am J Trop Med Hyg&quot;,&quot;issue&quot;:&quot;6&quot;,&quot;volume&quot;:&quot;99&quot;,&quot;container-title-short&quot;:&quot;&quot;},&quot;isTemporary&quot;:false}]},{&quot;citationID&quot;:&quot;MENDELEY_CITATION_fb084a83-d663-4afd-974f-8f55050cc67b&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&quot;,&quot;citationItems&quot;:[{&quot;id&quot;:&quot;ef190890-c432-3665-8be7-b1800f850b8a&quot;,&quot;itemData&quot;:{&quot;type&quot;:&quot;article-journal&quot;,&quot;id&quot;:&quot;ef190890-c432-3665-8be7-b1800f850b8a&quot;,&quot;title&quot;:&quot;The global burden of dengue: an analysis from the Global Burden of Disease Study 2013&quot;,&quot;author&quot;:[{&quot;family&quot;:&quot;Stanaway&quot;,&quot;given&quot;:&quot;Jeffrey D.&quot;,&quot;parse-names&quot;:false,&quot;dropping-particle&quot;:&quot;&quot;,&quot;non-dropping-particle&quot;:&quot;&quot;},{&quot;family&quot;:&quot;Shepard&quot;,&quot;given&quot;:&quot;Donald S.&quot;,&quot;parse-names&quot;:false,&quot;dropping-particle&quot;:&quot;&quot;,&quot;non-dropping-particle&quot;:&quot;&quot;},{&quot;family&quot;:&quot;Undurraga&quot;,&quot;given&quot;:&quot;Eduardo A.&quot;,&quot;parse-names&quot;:false,&quot;dropping-particle&quot;:&quot;&quot;,&quot;non-dropping-particle&quot;:&quot;&quot;},{&quot;family&quot;:&quot;Halasa&quot;,&quot;given&quot;:&quot;Yara A.&quot;,&quot;parse-names&quot;:false,&quot;dropping-particle&quot;:&quot;&quot;,&quot;non-dropping-particle&quot;:&quot;&quot;},{&quot;family&quot;:&quot;Coffeng&quot;,&quot;given&quot;:&quot;Luc E.&quot;,&quot;parse-names&quot;:false,&quot;dropping-particle&quot;:&quot;&quot;,&quot;non-dropping-particle&quot;:&quot;&quot;},{&quot;family&quot;:&quot;Brady&quot;,&quot;given&quot;:&quot;Oliver J.&quot;,&quot;parse-names&quot;:false,&quot;dropping-particle&quot;:&quot;&quot;,&quot;non-dropping-particle&quot;:&quot;&quot;},{&quot;family&quot;:&quot;Hay&quot;,&quot;given&quot;:&quot;Simon I.&quot;,&quot;parse-names&quot;:false,&quot;dropping-particle&quot;:&quot;&quot;,&quot;non-dropping-particle&quot;:&quot;&quot;},{&quot;family&quot;:&quot;Bedi&quot;,&quot;given&quot;:&quot;Neeraj&quot;,&quot;parse-names&quot;:false,&quot;dropping-particle&quot;:&quot;&quot;,&quot;non-dropping-particle&quot;:&quot;&quot;},{&quot;family&quot;:&quot;Bensenor&quot;,&quot;given&quot;:&quot;Isabela M.&quot;,&quot;parse-names&quot;:false,&quot;dropping-particle&quot;:&quot;&quot;,&quot;non-dropping-particle&quot;:&quot;&quot;},{&quot;family&quot;:&quot;Castañeda-Orjuela&quot;,&quot;given&quot;:&quot;Carlos A.&quot;,&quot;parse-names&quot;:false,&quot;dropping-particle&quot;:&quot;&quot;,&quot;non-dropping-particle&quot;:&quot;&quot;},{&quot;family&quot;:&quot;Chuang&quot;,&quot;given&quot;:&quot;Ting Wu&quot;,&quot;parse-names&quot;:false,&quot;dropping-particle&quot;:&quot;&quot;,&quot;non-dropping-particle&quot;:&quot;&quot;},{&quot;family&quot;:&quot;Gibney&quot;,&quot;given&quot;:&quot;Katherine B.&quot;,&quot;parse-names&quot;:false,&quot;dropping-particle&quot;:&quot;&quot;,&quot;non-dropping-particle&quot;:&quot;&quot;},{&quot;family&quot;:&quot;Memish&quot;,&quot;given&quot;:&quot;Ziad A.&quot;,&quot;parse-names&quot;:false,&quot;dropping-particle&quot;:&quot;&quot;,&quot;non-dropping-particle&quot;:&quot;&quot;},{&quot;family&quot;:&quot;Rafay&quot;,&quot;given&quot;:&quot;Anwar&quot;,&quot;parse-names&quot;:false,&quot;dropping-particle&quot;:&quot;&quot;,&quot;non-dropping-particle&quot;:&quot;&quot;},{&quot;family&quot;:&quot;Ukwaja&quot;,&quot;given&quot;:&quot;Kingsley N.&quot;,&quot;parse-names&quot;:false,&quot;dropping-particle&quot;:&quot;&quot;,&quot;non-dropping-particle&quot;:&quot;&quot;},{&quot;family&quot;:&quot;Yonemoto&quot;,&quot;given&quot;:&quot;Naohiro&quot;,&quot;parse-names&quot;:false,&quot;dropping-particle&quot;:&quot;&quot;,&quot;non-dropping-particle&quot;:&quot;&quot;},{&quot;family&quot;:&quot;Murray&quot;,&quot;given&quot;:&quot;Christopher J.L.&quot;,&quot;parse-names&quot;:false,&quot;dropping-particle&quot;:&quot;&quot;,&quot;non-dropping-particle&quot;:&quot;&quot;}],&quot;container-title&quot;:&quot;The Lancet Infectious Diseases&quot;,&quot;container-title-short&quot;:&quot;Lancet Infect. Dis.&quot;,&quot;DOI&quot;:&quot;10.1016/S1473-3099(16)00026-8&quot;,&quot;ISSN&quot;:&quot;14744457&quot;,&quot;PMID&quot;:&quot;26874619&quot;,&quot;issued&quot;:{&quot;date-parts&quot;:[[2016]]},&quot;page&quot;:&quot;712-723&quot;,&quot;abstract&quot;:&quot;Background Dengue is the most common arbovirus infection globally, but its burden is poorly quantified. We estimated dengue mortality, incidence, and burden for the Global Burden of Disease Study 2013. Methods We modelled mortality from vital registration, verbal autopsy, and surveillance data using the Cause of Death Ensemble Modelling tool. We modelled incidence from officially reported cases, and adjusted our raw estimates for under-reporting based on published estimates of expansion factors. In total, we had 1780 country-years of mortality data from 130 countries, 1636 country-years of dengue case reports from 76 countries, and expansion factor estimates for 14 countries. Findings We estimated an average of 9221 dengue deaths per year between 1990 and 2013, increasing from a low of 8277 (95% uncertainty estimate 5353–10 649) in 1992, to a peak of 11 302 (6790–13 722) in 2010. This yielded a total of 576 900 (330 000–701 200) years of life lost to premature mortality attributable to dengue in 2013. The incidence of dengue increased greatly between 1990 and 2013, with the number of cases more than doubling every decade, from 8·3 million (3·3 million–17·2 million) apparent cases in 1990, to 58·4 million (23·6 million–121·9 million) apparent cases in 2013. When accounting for disability from moderate and severe acute dengue, and post-dengue chronic fatigue, 566 000 (186 000–1 415 000) years lived with disability were attributable to dengue in 2013. Considering fatal and non-fatal outcomes together, dengue was responsible for 1·14 million (0·73 million–1·98 million) disability-adjusted life-years in 2013. Interpretation Although lower than other estimates, our results offer more evidence that the true symptomatic incidence of dengue probably falls within the commonly cited range of 50 million to 100 million cases per year. Our mortality estimates are lower than those presented elsewhere and should be considered in light of the totality of evidence suggesting that dengue mortality might, in fact, be substantially higher. Funding Bill &amp; Melinda Gates Foundation.&quot;,&quot;issue&quot;:&quot;6&quot;,&quot;volume&quot;:&quot;16&quot;},&quot;isTemporary&quot;:false},{&quot;id&quot;:&quot;57557ba0-8817-3391-bba6-93df58dc6b68&quot;,&quot;itemData&quot;:{&quot;type&quot;:&quot;article-journal&quot;,&quot;id&quot;:&quot;57557ba0-8817-3391-bba6-93df58dc6b68&quot;,&quot;title&quot;:&quot;Dengue&quot;,&quot;author&quot;:[{&quot;family&quot;:&quot;Paz-Bailey&quot;,&quot;given&quot;:&quot;Gabriela&quot;,&quot;parse-names&quot;:false,&quot;dropping-particle&quot;:&quot;&quot;,&quot;non-dropping-particle&quot;:&quot;&quot;},{&quot;family&quot;:&quot;Adams&quot;,&quot;given&quot;:&quot;Laura E.&quot;,&quot;parse-names&quot;:false,&quot;dropping-particle&quot;:&quot;&quot;,&quot;non-dropping-particle&quot;:&quot;&quot;},{&quot;family&quot;:&quot;Deen&quot;,&quot;given&quot;:&quot;Jacqueline&quot;,&quot;parse-names&quot;:false,&quot;dropping-particle&quot;:&quot;&quot;,&quot;non-dropping-particle&quot;:&quot;&quot;},{&quot;family&quot;:&quot;Anderson&quot;,&quot;given&quot;:&quot;Kathryn B.&quot;,&quot;parse-names&quot;:false,&quot;dropping-particle&quot;:&quot;&quot;,&quot;non-dropping-particle&quot;:&quot;&quot;},{&quot;family&quot;:&quot;Katzelnick&quot;,&quot;given&quot;:&quot;Leah C.&quot;,&quot;parse-names&quot;:false,&quot;dropping-particle&quot;:&quot;&quot;,&quot;non-dropping-particle&quot;:&quot;&quot;}],&quot;container-title&quot;:&quot;The Lancet&quot;,&quot;accessed&quot;:{&quot;date-parts&quot;:[[2026,7,8]]},&quot;DOI&quot;:&quot;10.1016/S0140-6736(23)02576-X&quot;,&quot;ISSN&quot;:&quot;0140-6736&quot;,&quot;PMID&quot;:&quot;38280388&quot;,&quot;URL&quot;:&quot;https://www.thelancet.com/action/showFullText?pii=S014067362302576X&quot;,&quot;issued&quot;:{&quot;date-parts&quot;:[[2024,2,17]]},&quot;page&quot;:&quot;667-682&quot;,&quot;abstract&quot;:&quot;&lt;h2&gt;Summary&lt;/h2&gt;&lt;p&gt;Dengue, caused by four closely related viruses, is a growing global public health concern, with outbreaks capable of overwhelming health-care systems and disrupting economies. Dengue is endemic in more than 100 countries across tropical and subtropical regions worldwide, and the expanding range of the mosquito vector, affected in part by climate change, increases risk in new areas such as Spain, Portugal, and the southern USA, while emerging evidence points to silent epidemics in Africa. Substantial advances in our understanding of the virus, immune responses, and disease progression have been made within the past decade. Novel interventions have emerged, including partially effective vaccines and innovative mosquito control strategies, although a reliable immune correlate of protection remains a challenge for the assessment of vaccines. These developments mark the beginning of a new era in dengue prevention and control, offering promise in addressing this pressing global health issue.&lt;/p&gt;&quot;,&quot;publisher&quot;:&quot;Elsevier&quot;,&quot;issue&quot;:&quot;10427&quot;,&quot;volume&quot;:&quot;403&quot;,&quot;container-title-short&quot;:&quot;&quot;},&quot;isTemporary&quot;:false}]},{&quot;citationID&quot;:&quot;MENDELEY_CITATION_333e257d-0965-4dce-beeb-ab49e6e82a64&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&quot;,&quot;citationItems&quot;:[{&quot;id&quot;:&quot;4b07a3ef-58c0-3b76-89e4-02070b3b2f05&quot;,&quot;itemData&quot;:{&quot;type&quot;:&quot;webpage&quot;,&quot;id&quot;:&quot;4b07a3ef-58c0-3b76-89e4-02070b3b2f05&quot;,&quot;title&quot;:&quot;The Green Book: Central Government Guidance on Appraisal and Evaluation&quot;,&quot;author&quot;:[{&quot;family&quot;:&quot;HM Treasury&quot;,&quot;given&quot;:&quot;&quot;,&quot;parse-names&quot;:false,&quot;dropping-particle&quot;:&quot;&quot;,&quot;non-dropping-particle&quot;:&quot;&quot;}],&quot;accessed&quot;:{&quot;date-parts&quot;:[[2026,7,8]]},&quot;URL&quot;:&quot;https://www.gov.uk/government/publications/the-green-book-appraisal-and-evaluation-in-central-government&quot;,&quot;container-title-short&quot;:&quot;&quot;},&quot;isTemporary&quot;:false}]},{&quot;citationID&quot;:&quot;MENDELEY_CITATION_b1fb76fa-b46d-43f9-90c9-b6a1a2c07908&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&quot;,&quot;citationItems&quot;:[{&quot;id&quot;:&quot;4b07a3ef-58c0-3b76-89e4-02070b3b2f05&quot;,&quot;itemData&quot;:{&quot;type&quot;:&quot;webpage&quot;,&quot;id&quot;:&quot;4b07a3ef-58c0-3b76-89e4-02070b3b2f05&quot;,&quot;title&quot;:&quot;The Green Book: Central Government Guidance on Appraisal and Evaluation&quot;,&quot;author&quot;:[{&quot;family&quot;:&quot;HM Treasury&quot;,&quot;given&quot;:&quot;&quot;,&quot;parse-names&quot;:false,&quot;dropping-particle&quot;:&quot;&quot;,&quot;non-dropping-particle&quot;:&quot;&quot;}],&quot;accessed&quot;:{&quot;date-parts&quot;:[[2026,7,8]]},&quot;URL&quot;:&quot;https://www.gov.uk/government/publications/the-green-book-appraisal-and-evaluation-in-central-government&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76C17-2AB2-AD47-8CF3-760ACD1C4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22</Pages>
  <Words>8071</Words>
  <Characters>46005</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Prasad Liyanage</dc:creator>
  <cp:keywords/>
  <dc:description/>
  <cp:lastModifiedBy>Prasad Liyanage</cp:lastModifiedBy>
  <cp:revision>14</cp:revision>
  <dcterms:created xsi:type="dcterms:W3CDTF">2026-07-17T05:13:00Z</dcterms:created>
  <dcterms:modified xsi:type="dcterms:W3CDTF">2026-07-19T04:03:00Z</dcterms:modified>
</cp:coreProperties>
</file>