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line="360"/>
      </w:pPr>
      <w:r>
        <w:rPr>
          <w:rFonts w:ascii="Times New Roman" w:cs="Times New Roman" w:eastAsia="Times New Roman" w:hAnsi="Times New Roman"/>
          <w:b/>
          <w:bCs/>
          <w:i w:val="false"/>
          <w:iCs w:val="false"/>
          <w:sz w:val="32"/>
          <w:szCs w:val="32"/>
        </w:rPr>
        <w:t xml:space="preserve">Additional file 1</w:t>
      </w:r>
    </w:p>
    <w:p>
      <w:pPr>
        <w:spacing w:after="240" w:before="0" w:line="360" w:lineRule="auto"/>
        <w:jc w:val="both"/>
      </w:pPr>
      <w:r>
        <w:rPr>
          <w:rFonts w:ascii="Times New Roman" w:cs="Times New Roman" w:eastAsia="Times New Roman" w:hAnsi="Times New Roman"/>
          <w:b w:val="false"/>
          <w:bCs w:val="false"/>
          <w:i/>
          <w:iCs/>
          <w:sz w:val="22"/>
          <w:szCs w:val="22"/>
        </w:rPr>
        <w:t xml:space="preserve">Supplementary tables and figures for: </w:t>
      </w:r>
      <w:r>
        <w:rPr>
          <w:rFonts w:ascii="Times New Roman" w:cs="Times New Roman" w:eastAsia="Times New Roman" w:hAnsi="Times New Roman"/>
          <w:b w:val="false"/>
          <w:bCs w:val="false"/>
          <w:i/>
          <w:iCs/>
          <w:sz w:val="22"/>
          <w:szCs w:val="22"/>
        </w:rPr>
        <w:t xml:space="preserve">Twenty-five years of maternal, neonatal, child and reproductive health measurement in Ethiopia: a harmonized trend and subnational inequality analysis of six Demographic and Health Surveys, 2000–2025</w:t>
      </w:r>
    </w:p>
    <w:p>
      <w:pPr>
        <w:pStyle w:val="Heading1"/>
        <w:keepNext/>
        <w:spacing w:after="140" w:before="240" w:line="360"/>
      </w:pPr>
      <w:r>
        <w:rPr>
          <w:rFonts w:ascii="Times New Roman" w:cs="Times New Roman" w:eastAsia="Times New Roman" w:hAnsi="Times New Roman"/>
          <w:b/>
          <w:bCs/>
          <w:i w:val="false"/>
          <w:iCs w:val="false"/>
          <w:sz w:val="28"/>
          <w:szCs w:val="28"/>
        </w:rPr>
        <w:t xml:space="preserve">Contents</w:t>
      </w:r>
    </w:p>
    <w:p>
      <w:pPr>
        <w:spacing w:after="40" w:before="0" w:line="260" w:lineRule="auto"/>
        <w:jc w:val="left"/>
      </w:pPr>
      <w:r>
        <w:rPr>
          <w:rFonts w:ascii="Times New Roman" w:cs="Times New Roman" w:eastAsia="Times New Roman" w:hAnsi="Times New Roman"/>
          <w:b w:val="false"/>
          <w:bCs w:val="false"/>
          <w:i w:val="false"/>
          <w:iCs w:val="false"/>
          <w:sz w:val="22"/>
          <w:szCs w:val="22"/>
        </w:rPr>
        <w:t xml:space="preserve">Supplementary Table S1. Complete regional data matrix for ten key indicators, Ethiopia EDHS 2024–25</w:t>
      </w:r>
    </w:p>
    <w:p>
      <w:pPr>
        <w:spacing w:after="40" w:before="0" w:line="260" w:lineRule="auto"/>
        <w:jc w:val="left"/>
      </w:pPr>
      <w:r>
        <w:rPr>
          <w:rFonts w:ascii="Times New Roman" w:cs="Times New Roman" w:eastAsia="Times New Roman" w:hAnsi="Times New Roman"/>
          <w:b w:val="false"/>
          <w:bCs w:val="false"/>
          <w:i w:val="false"/>
          <w:iCs w:val="false"/>
          <w:sz w:val="22"/>
          <w:szCs w:val="22"/>
        </w:rPr>
        <w:t xml:space="preserve">Supplementary Figure S1. Trends in total fertility rate by residence</w:t>
      </w:r>
    </w:p>
    <w:p>
      <w:pPr>
        <w:spacing w:after="40" w:before="0" w:line="260" w:lineRule="auto"/>
        <w:jc w:val="left"/>
      </w:pPr>
      <w:r>
        <w:rPr>
          <w:rFonts w:ascii="Times New Roman" w:cs="Times New Roman" w:eastAsia="Times New Roman" w:hAnsi="Times New Roman"/>
          <w:b w:val="false"/>
          <w:bCs w:val="false"/>
          <w:i w:val="false"/>
          <w:iCs w:val="false"/>
          <w:sz w:val="22"/>
          <w:szCs w:val="22"/>
        </w:rPr>
        <w:t xml:space="preserve">Supplementary Figure S2. Trends in modern contraceptive prevalence and unmet need for family planning</w:t>
      </w:r>
    </w:p>
    <w:p>
      <w:pPr>
        <w:spacing w:after="40" w:before="0" w:line="260" w:lineRule="auto"/>
        <w:jc w:val="left"/>
      </w:pPr>
      <w:r>
        <w:rPr>
          <w:rFonts w:ascii="Times New Roman" w:cs="Times New Roman" w:eastAsia="Times New Roman" w:hAnsi="Times New Roman"/>
          <w:b w:val="false"/>
          <w:bCs w:val="false"/>
          <w:i w:val="false"/>
          <w:iCs w:val="false"/>
          <w:sz w:val="22"/>
          <w:szCs w:val="22"/>
        </w:rPr>
        <w:t xml:space="preserve">Supplementary Figure S3. Trends in the pregnancy-related mortality ratio</w:t>
      </w:r>
    </w:p>
    <w:p>
      <w:pPr>
        <w:spacing w:after="40" w:before="0" w:line="260" w:lineRule="auto"/>
        <w:jc w:val="left"/>
      </w:pPr>
      <w:r>
        <w:rPr>
          <w:rFonts w:ascii="Times New Roman" w:cs="Times New Roman" w:eastAsia="Times New Roman" w:hAnsi="Times New Roman"/>
          <w:b w:val="false"/>
          <w:bCs w:val="false"/>
          <w:i w:val="false"/>
          <w:iCs w:val="false"/>
          <w:sz w:val="22"/>
          <w:szCs w:val="22"/>
        </w:rPr>
        <w:t xml:space="preserve">Supplementary Figure S4. Trends in full basic-antigen vaccination and zero-dose prevalence</w:t>
      </w:r>
    </w:p>
    <w:p>
      <w:pPr>
        <w:spacing w:after="40" w:before="0" w:line="260" w:lineRule="auto"/>
        <w:jc w:val="left"/>
      </w:pPr>
      <w:r>
        <w:rPr>
          <w:rFonts w:ascii="Times New Roman" w:cs="Times New Roman" w:eastAsia="Times New Roman" w:hAnsi="Times New Roman"/>
          <w:b w:val="false"/>
          <w:bCs w:val="false"/>
          <w:i w:val="false"/>
          <w:iCs w:val="false"/>
          <w:sz w:val="22"/>
          <w:szCs w:val="22"/>
        </w:rPr>
        <w:t xml:space="preserve">Supplementary Figure S5. Trends in stunting, underweight and wasting among children under five</w:t>
      </w:r>
    </w:p>
    <w:p>
      <w:pPr>
        <w:spacing w:after="40" w:before="0" w:line="260" w:lineRule="auto"/>
        <w:jc w:val="left"/>
      </w:pPr>
      <w:r>
        <w:rPr>
          <w:rFonts w:ascii="Times New Roman" w:cs="Times New Roman" w:eastAsia="Times New Roman" w:hAnsi="Times New Roman"/>
          <w:b w:val="false"/>
          <w:bCs w:val="false"/>
          <w:i w:val="false"/>
          <w:iCs w:val="false"/>
          <w:sz w:val="22"/>
          <w:szCs w:val="22"/>
        </w:rPr>
        <w:t xml:space="preserve">Supplementary Figure S6. Urban–rural gaps in selected maternal, child health and nutrition indicators</w:t>
      </w:r>
    </w:p>
    <w:p>
      <w:pPr>
        <w:spacing w:after="40" w:before="0" w:line="260" w:lineRule="auto"/>
        <w:jc w:val="left"/>
      </w:pPr>
      <w:r>
        <w:rPr>
          <w:rFonts w:ascii="Times New Roman" w:cs="Times New Roman" w:eastAsia="Times New Roman" w:hAnsi="Times New Roman"/>
          <w:b w:val="false"/>
          <w:bCs w:val="false"/>
          <w:i w:val="false"/>
          <w:iCs w:val="false"/>
          <w:sz w:val="22"/>
          <w:szCs w:val="22"/>
        </w:rPr>
        <w:t xml:space="preserve">Supplementary Figure S7. Skilled birth attendance by region</w:t>
      </w:r>
    </w:p>
    <w:p>
      <w:pPr>
        <w:spacing w:after="40" w:before="0" w:line="260" w:lineRule="auto"/>
        <w:jc w:val="left"/>
      </w:pPr>
      <w:r>
        <w:rPr>
          <w:rFonts w:ascii="Times New Roman" w:cs="Times New Roman" w:eastAsia="Times New Roman" w:hAnsi="Times New Roman"/>
          <w:b w:val="false"/>
          <w:bCs w:val="false"/>
          <w:i w:val="false"/>
          <w:iCs w:val="false"/>
          <w:sz w:val="22"/>
          <w:szCs w:val="22"/>
        </w:rPr>
        <w:t xml:space="preserve">Supplementary Figure S8. Regional performance matrix (heat map) across ten key indicators</w:t>
      </w:r>
    </w:p>
    <w:p>
      <w:pPr>
        <w:spacing w:after="40" w:before="0" w:line="260" w:lineRule="auto"/>
        <w:jc w:val="left"/>
      </w:pPr>
      <w:r>
        <w:rPr>
          <w:rFonts w:ascii="Times New Roman" w:cs="Times New Roman" w:eastAsia="Times New Roman" w:hAnsi="Times New Roman"/>
          <w:b w:val="false"/>
          <w:bCs w:val="false"/>
          <w:i w:val="false"/>
          <w:iCs w:val="false"/>
          <w:sz w:val="22"/>
          <w:szCs w:val="22"/>
        </w:rPr>
        <w:t xml:space="preserve">Supplementary Figure S9. Regional association between antenatal care completion and skilled birth attendance</w:t>
      </w:r>
    </w:p>
    <w:p>
      <w:pPr>
        <w:spacing w:after="40" w:before="0" w:line="260" w:lineRule="auto"/>
        <w:jc w:val="left"/>
      </w:pPr>
      <w:r>
        <w:rPr>
          <w:rFonts w:ascii="Times New Roman" w:cs="Times New Roman" w:eastAsia="Times New Roman" w:hAnsi="Times New Roman"/>
          <w:b w:val="false"/>
          <w:bCs w:val="false"/>
          <w:i w:val="false"/>
          <w:iCs w:val="false"/>
          <w:sz w:val="22"/>
          <w:szCs w:val="22"/>
        </w:rPr>
        <w:t xml:space="preserve">Supplementary Figure S10. Regional ranking of zero-dose prevalence among children aged 12–23 months</w:t>
      </w:r>
    </w:p>
    <w:p>
      <w:pPr>
        <w:spacing w:after="40" w:before="0" w:line="260" w:lineRule="auto"/>
        <w:jc w:val="left"/>
      </w:pPr>
      <w:r>
        <w:rPr>
          <w:rFonts w:ascii="Times New Roman" w:cs="Times New Roman" w:eastAsia="Times New Roman" w:hAnsi="Times New Roman"/>
          <w:b w:val="false"/>
          <w:bCs w:val="false"/>
          <w:i w:val="false"/>
          <w:iCs w:val="false"/>
          <w:sz w:val="22"/>
          <w:szCs w:val="22"/>
        </w:rPr>
        <w:t xml:space="preserve">Supplementary Figure S11. Regional ranking of stunting prevalence among children under five</w:t>
      </w:r>
    </w:p>
    <w:p>
      <w:pPr>
        <w:pStyle w:val="Heading1"/>
        <w:keepNext/>
        <w:spacing w:after="140" w:before="240" w:line="360"/>
      </w:pPr>
      <w:r>
        <w:rPr>
          <w:rFonts w:ascii="Times New Roman" w:cs="Times New Roman" w:eastAsia="Times New Roman" w:hAnsi="Times New Roman"/>
          <w:b/>
          <w:bCs/>
          <w:i w:val="false"/>
          <w:iCs w:val="false"/>
          <w:sz w:val="28"/>
          <w:szCs w:val="28"/>
        </w:rPr>
        <w:t xml:space="preserve">Supplementary Table S1</w:t>
      </w:r>
    </w:p>
    <w:p>
      <w:pPr>
        <w:keepNext/>
        <w:spacing w:after="80" w:before="0" w:line="260" w:lineRule="auto"/>
        <w:jc w:val="both"/>
      </w:pPr>
      <w:r>
        <w:rPr>
          <w:rFonts w:ascii="Times New Roman" w:cs="Times New Roman" w:eastAsia="Times New Roman" w:hAnsi="Times New Roman"/>
          <w:b/>
          <w:bCs/>
          <w:i w:val="false"/>
          <w:iCs w:val="false"/>
          <w:sz w:val="22"/>
          <w:szCs w:val="22"/>
        </w:rPr>
        <w:t xml:space="preserve">Complete regional data matrix for ten key indicators, Ethiopia EDHS 2024–25 (%).</w:t>
      </w:r>
    </w:p>
    <w:tbl>
      <w:tblPr>
        <w:tblW w:type="dxa" w:w="9310"/>
        <w:tblBorders>
          <w:top w:val="single" w:color="auto" w:sz="4"/>
          <w:left w:val="single" w:color="auto" w:sz="4"/>
          <w:bottom w:val="single" w:color="auto" w:sz="4"/>
          <w:right w:val="single" w:color="auto" w:sz="4"/>
          <w:insideH w:val="single" w:color="auto" w:sz="4"/>
          <w:insideV w:val="single" w:color="auto" w:sz="4"/>
        </w:tblBorders>
      </w:tblPr>
      <w:tblGrid>
        <w:gridCol w:w="1850"/>
        <w:gridCol w:w="760"/>
        <w:gridCol w:w="700"/>
        <w:gridCol w:w="620"/>
        <w:gridCol w:w="760"/>
        <w:gridCol w:w="680"/>
        <w:gridCol w:w="860"/>
        <w:gridCol w:w="760"/>
        <w:gridCol w:w="760"/>
        <w:gridCol w:w="780"/>
        <w:gridCol w:w="780"/>
      </w:tblGrid>
      <w:tr>
        <w:trPr>
          <w:tblHeader/>
        </w:trPr>
        <w:tc>
          <w:tcPr>
            <w:tcW w:type="dxa" w:w="1850"/>
            <w:tcBorders>
              <w:top w:val="single" w:color="000000" w:sz="4"/>
              <w:left w:val="none" w:color="FFFFFF" w:sz="0"/>
              <w:bottom w:val="single" w:color="000000" w:sz="4"/>
              <w:right w:val="none" w:color="FFFFFF" w:sz="0"/>
            </w:tcBorders>
            <w:tcMar>
              <w:top w:type="dxa" w:w="40"/>
              <w:left w:type="dxa" w:w="50"/>
              <w:bottom w:type="dxa" w:w="40"/>
              <w:right w:type="dxa" w:w="50"/>
            </w:tcMar>
          </w:tcPr>
          <w:p>
            <w:pPr>
              <w:spacing w:after="0" w:line="240"/>
              <w:jc w:val="left"/>
            </w:pPr>
            <w:r>
              <w:rPr>
                <w:rFonts w:ascii="Times New Roman" w:cs="Times New Roman" w:eastAsia="Times New Roman" w:hAnsi="Times New Roman"/>
                <w:b/>
                <w:bCs/>
                <w:i w:val="false"/>
                <w:iCs w:val="false"/>
                <w:sz w:val="14"/>
                <w:szCs w:val="14"/>
              </w:rPr>
              <w:t xml:space="preserve">Region</w:t>
            </w:r>
          </w:p>
        </w:tc>
        <w:tc>
          <w:tcPr>
            <w:tcW w:type="dxa" w:w="760"/>
            <w:tcBorders>
              <w:top w:val="single" w:color="000000" w:sz="4"/>
              <w:left w:val="none" w:color="FFFFFF" w:sz="0"/>
              <w:bottom w:val="single" w:color="000000" w:sz="4"/>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bCs/>
                <w:i w:val="false"/>
                <w:iCs w:val="false"/>
                <w:sz w:val="14"/>
                <w:szCs w:val="14"/>
              </w:rPr>
              <w:t xml:space="preserve">ANC
skilled</w:t>
            </w:r>
          </w:p>
        </w:tc>
        <w:tc>
          <w:tcPr>
            <w:tcW w:type="dxa" w:w="700"/>
            <w:tcBorders>
              <w:top w:val="single" w:color="000000" w:sz="4"/>
              <w:left w:val="none" w:color="FFFFFF" w:sz="0"/>
              <w:bottom w:val="single" w:color="000000" w:sz="4"/>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bCs/>
                <w:i w:val="false"/>
                <w:iCs w:val="false"/>
                <w:sz w:val="14"/>
                <w:szCs w:val="14"/>
              </w:rPr>
              <w:t xml:space="preserve">ANC 4+</w:t>
            </w:r>
          </w:p>
        </w:tc>
        <w:tc>
          <w:tcPr>
            <w:tcW w:type="dxa" w:w="620"/>
            <w:tcBorders>
              <w:top w:val="single" w:color="000000" w:sz="4"/>
              <w:left w:val="none" w:color="FFFFFF" w:sz="0"/>
              <w:bottom w:val="single" w:color="000000" w:sz="4"/>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bCs/>
                <w:i w:val="false"/>
                <w:iCs w:val="false"/>
                <w:sz w:val="14"/>
                <w:szCs w:val="14"/>
              </w:rPr>
              <w:t xml:space="preserve">SBA</w:t>
            </w:r>
          </w:p>
        </w:tc>
        <w:tc>
          <w:tcPr>
            <w:tcW w:type="dxa" w:w="760"/>
            <w:tcBorders>
              <w:top w:val="single" w:color="000000" w:sz="4"/>
              <w:left w:val="none" w:color="FFFFFF" w:sz="0"/>
              <w:bottom w:val="single" w:color="000000" w:sz="4"/>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bCs/>
                <w:i w:val="false"/>
                <w:iCs w:val="false"/>
                <w:sz w:val="14"/>
                <w:szCs w:val="14"/>
              </w:rPr>
              <w:t xml:space="preserve">PNC ≤2d</w:t>
            </w:r>
          </w:p>
        </w:tc>
        <w:tc>
          <w:tcPr>
            <w:tcW w:type="dxa" w:w="680"/>
            <w:tcBorders>
              <w:top w:val="single" w:color="000000" w:sz="4"/>
              <w:left w:val="none" w:color="FFFFFF" w:sz="0"/>
              <w:bottom w:val="single" w:color="000000" w:sz="4"/>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bCs/>
                <w:i w:val="false"/>
                <w:iCs w:val="false"/>
                <w:sz w:val="14"/>
                <w:szCs w:val="14"/>
              </w:rPr>
              <w:t xml:space="preserve">mCPR</w:t>
            </w:r>
          </w:p>
        </w:tc>
        <w:tc>
          <w:tcPr>
            <w:tcW w:type="dxa" w:w="860"/>
            <w:tcBorders>
              <w:top w:val="single" w:color="000000" w:sz="4"/>
              <w:left w:val="none" w:color="FFFFFF" w:sz="0"/>
              <w:bottom w:val="single" w:color="000000" w:sz="4"/>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bCs/>
                <w:i w:val="false"/>
                <w:iCs w:val="false"/>
                <w:sz w:val="14"/>
                <w:szCs w:val="14"/>
              </w:rPr>
              <w:t xml:space="preserve">Demand sat.</w:t>
            </w:r>
          </w:p>
        </w:tc>
        <w:tc>
          <w:tcPr>
            <w:tcW w:type="dxa" w:w="760"/>
            <w:tcBorders>
              <w:top w:val="single" w:color="000000" w:sz="4"/>
              <w:left w:val="none" w:color="FFFFFF" w:sz="0"/>
              <w:bottom w:val="single" w:color="000000" w:sz="4"/>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bCs/>
                <w:i w:val="false"/>
                <w:iCs w:val="false"/>
                <w:sz w:val="14"/>
                <w:szCs w:val="14"/>
              </w:rPr>
              <w:t xml:space="preserve">Full imm.</w:t>
            </w:r>
          </w:p>
        </w:tc>
        <w:tc>
          <w:tcPr>
            <w:tcW w:type="dxa" w:w="760"/>
            <w:tcBorders>
              <w:top w:val="single" w:color="000000" w:sz="4"/>
              <w:left w:val="none" w:color="FFFFFF" w:sz="0"/>
              <w:bottom w:val="single" w:color="000000" w:sz="4"/>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bCs/>
                <w:i w:val="false"/>
                <w:iCs w:val="false"/>
                <w:sz w:val="14"/>
                <w:szCs w:val="14"/>
              </w:rPr>
              <w:t xml:space="preserve">Zero dose</w:t>
            </w:r>
          </w:p>
        </w:tc>
        <w:tc>
          <w:tcPr>
            <w:tcW w:type="dxa" w:w="780"/>
            <w:tcBorders>
              <w:top w:val="single" w:color="000000" w:sz="4"/>
              <w:left w:val="none" w:color="FFFFFF" w:sz="0"/>
              <w:bottom w:val="single" w:color="000000" w:sz="4"/>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bCs/>
                <w:i w:val="false"/>
                <w:iCs w:val="false"/>
                <w:sz w:val="14"/>
                <w:szCs w:val="14"/>
              </w:rPr>
              <w:t xml:space="preserve">Stunting</w:t>
            </w:r>
          </w:p>
        </w:tc>
        <w:tc>
          <w:tcPr>
            <w:tcW w:type="dxa" w:w="780"/>
            <w:tcBorders>
              <w:top w:val="single" w:color="000000" w:sz="4"/>
              <w:left w:val="none" w:color="FFFFFF" w:sz="0"/>
              <w:bottom w:val="single" w:color="000000" w:sz="4"/>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bCs/>
                <w:i w:val="false"/>
                <w:iCs w:val="false"/>
                <w:sz w:val="14"/>
                <w:szCs w:val="14"/>
              </w:rPr>
              <w:t xml:space="preserve">Teen preg.</w:t>
            </w:r>
          </w:p>
        </w:tc>
      </w:tr>
      <w:tr>
        <w:tc>
          <w:tcPr>
            <w:tcW w:type="dxa" w:w="185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left"/>
            </w:pPr>
            <w:r>
              <w:rPr>
                <w:rFonts w:ascii="Times New Roman" w:cs="Times New Roman" w:eastAsia="Times New Roman" w:hAnsi="Times New Roman"/>
                <w:b w:val="false"/>
                <w:bCs w:val="false"/>
                <w:i w:val="false"/>
                <w:iCs w:val="false"/>
                <w:sz w:val="14"/>
                <w:szCs w:val="14"/>
              </w:rPr>
              <w:t xml:space="preserve">Tigrai</w:t>
            </w:r>
          </w:p>
        </w:tc>
        <w:tc>
          <w:tcPr>
            <w:tcW w:type="dxa" w:w="76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90.2</w:t>
            </w:r>
          </w:p>
        </w:tc>
        <w:tc>
          <w:tcPr>
            <w:tcW w:type="dxa" w:w="70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57.1</w:t>
            </w:r>
          </w:p>
        </w:tc>
        <w:tc>
          <w:tcPr>
            <w:tcW w:type="dxa" w:w="62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69.3</w:t>
            </w:r>
          </w:p>
        </w:tc>
        <w:tc>
          <w:tcPr>
            <w:tcW w:type="dxa" w:w="76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34.8</w:t>
            </w:r>
          </w:p>
        </w:tc>
        <w:tc>
          <w:tcPr>
            <w:tcW w:type="dxa" w:w="68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25.2</w:t>
            </w:r>
          </w:p>
        </w:tc>
        <w:tc>
          <w:tcPr>
            <w:tcW w:type="dxa" w:w="86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57.4</w:t>
            </w:r>
          </w:p>
        </w:tc>
        <w:tc>
          <w:tcPr>
            <w:tcW w:type="dxa" w:w="76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24.8</w:t>
            </w:r>
          </w:p>
        </w:tc>
        <w:tc>
          <w:tcPr>
            <w:tcW w:type="dxa" w:w="76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3.5</w:t>
            </w:r>
          </w:p>
        </w:tc>
        <w:tc>
          <w:tcPr>
            <w:tcW w:type="dxa" w:w="78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41.6</w:t>
            </w:r>
          </w:p>
        </w:tc>
        <w:tc>
          <w:tcPr>
            <w:tcW w:type="dxa" w:w="78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13.4</w:t>
            </w:r>
          </w:p>
        </w:tc>
      </w:tr>
      <w:tr>
        <w:tc>
          <w:tcPr>
            <w:tcW w:type="dxa" w:w="185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left"/>
            </w:pPr>
            <w:r>
              <w:rPr>
                <w:rFonts w:ascii="Times New Roman" w:cs="Times New Roman" w:eastAsia="Times New Roman" w:hAnsi="Times New Roman"/>
                <w:b w:val="false"/>
                <w:bCs w:val="false"/>
                <w:i w:val="false"/>
                <w:iCs w:val="false"/>
                <w:sz w:val="14"/>
                <w:szCs w:val="14"/>
              </w:rPr>
              <w:t xml:space="preserve">Afar</w:t>
            </w:r>
          </w:p>
        </w:tc>
        <w:tc>
          <w:tcPr>
            <w:tcW w:type="dxa" w:w="76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70.8</w:t>
            </w:r>
          </w:p>
        </w:tc>
        <w:tc>
          <w:tcPr>
            <w:tcW w:type="dxa" w:w="70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46.2</w:t>
            </w:r>
          </w:p>
        </w:tc>
        <w:tc>
          <w:tcPr>
            <w:tcW w:type="dxa" w:w="62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35.0</w:t>
            </w:r>
          </w:p>
        </w:tc>
        <w:tc>
          <w:tcPr>
            <w:tcW w:type="dxa" w:w="76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17.1</w:t>
            </w:r>
          </w:p>
        </w:tc>
        <w:tc>
          <w:tcPr>
            <w:tcW w:type="dxa" w:w="68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8.8</w:t>
            </w:r>
          </w:p>
        </w:tc>
        <w:tc>
          <w:tcPr>
            <w:tcW w:type="dxa" w:w="86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41.1</w:t>
            </w:r>
          </w:p>
        </w:tc>
        <w:tc>
          <w:tcPr>
            <w:tcW w:type="dxa" w:w="76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16.2</w:t>
            </w:r>
          </w:p>
        </w:tc>
        <w:tc>
          <w:tcPr>
            <w:tcW w:type="dxa" w:w="76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42.8</w:t>
            </w:r>
          </w:p>
        </w:tc>
        <w:tc>
          <w:tcPr>
            <w:tcW w:type="dxa" w:w="78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46.0</w:t>
            </w:r>
          </w:p>
        </w:tc>
        <w:tc>
          <w:tcPr>
            <w:tcW w:type="dxa" w:w="78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23.3</w:t>
            </w:r>
          </w:p>
        </w:tc>
      </w:tr>
      <w:tr>
        <w:tc>
          <w:tcPr>
            <w:tcW w:type="dxa" w:w="185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left"/>
            </w:pPr>
            <w:r>
              <w:rPr>
                <w:rFonts w:ascii="Times New Roman" w:cs="Times New Roman" w:eastAsia="Times New Roman" w:hAnsi="Times New Roman"/>
                <w:b w:val="false"/>
                <w:bCs w:val="false"/>
                <w:i w:val="false"/>
                <w:iCs w:val="false"/>
                <w:sz w:val="14"/>
                <w:szCs w:val="14"/>
              </w:rPr>
              <w:t xml:space="preserve">Amhara</w:t>
            </w:r>
          </w:p>
        </w:tc>
        <w:tc>
          <w:tcPr>
            <w:tcW w:type="dxa" w:w="76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90.3</w:t>
            </w:r>
          </w:p>
        </w:tc>
        <w:tc>
          <w:tcPr>
            <w:tcW w:type="dxa" w:w="70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62.0</w:t>
            </w:r>
          </w:p>
        </w:tc>
        <w:tc>
          <w:tcPr>
            <w:tcW w:type="dxa" w:w="62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74.3</w:t>
            </w:r>
          </w:p>
        </w:tc>
        <w:tc>
          <w:tcPr>
            <w:tcW w:type="dxa" w:w="76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41.7</w:t>
            </w:r>
          </w:p>
        </w:tc>
        <w:tc>
          <w:tcPr>
            <w:tcW w:type="dxa" w:w="68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43.3</w:t>
            </w:r>
          </w:p>
        </w:tc>
        <w:tc>
          <w:tcPr>
            <w:tcW w:type="dxa" w:w="86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74.8</w:t>
            </w:r>
          </w:p>
        </w:tc>
        <w:tc>
          <w:tcPr>
            <w:tcW w:type="dxa" w:w="76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24.1</w:t>
            </w:r>
          </w:p>
        </w:tc>
        <w:tc>
          <w:tcPr>
            <w:tcW w:type="dxa" w:w="76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7.6</w:t>
            </w:r>
          </w:p>
        </w:tc>
        <w:tc>
          <w:tcPr>
            <w:tcW w:type="dxa" w:w="78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43.1</w:t>
            </w:r>
          </w:p>
        </w:tc>
        <w:tc>
          <w:tcPr>
            <w:tcW w:type="dxa" w:w="78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6.3</w:t>
            </w:r>
          </w:p>
        </w:tc>
      </w:tr>
      <w:tr>
        <w:tc>
          <w:tcPr>
            <w:tcW w:type="dxa" w:w="185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left"/>
            </w:pPr>
            <w:r>
              <w:rPr>
                <w:rFonts w:ascii="Times New Roman" w:cs="Times New Roman" w:eastAsia="Times New Roman" w:hAnsi="Times New Roman"/>
                <w:b w:val="false"/>
                <w:bCs w:val="false"/>
                <w:i w:val="false"/>
                <w:iCs w:val="false"/>
                <w:sz w:val="14"/>
                <w:szCs w:val="14"/>
              </w:rPr>
              <w:t xml:space="preserve">Oromia</w:t>
            </w:r>
          </w:p>
        </w:tc>
        <w:tc>
          <w:tcPr>
            <w:tcW w:type="dxa" w:w="76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70.9</w:t>
            </w:r>
          </w:p>
        </w:tc>
        <w:tc>
          <w:tcPr>
            <w:tcW w:type="dxa" w:w="70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48.4</w:t>
            </w:r>
          </w:p>
        </w:tc>
        <w:tc>
          <w:tcPr>
            <w:tcW w:type="dxa" w:w="62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58.4</w:t>
            </w:r>
          </w:p>
        </w:tc>
        <w:tc>
          <w:tcPr>
            <w:tcW w:type="dxa" w:w="76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32.9</w:t>
            </w:r>
          </w:p>
        </w:tc>
        <w:tc>
          <w:tcPr>
            <w:tcW w:type="dxa" w:w="68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31.0</w:t>
            </w:r>
          </w:p>
        </w:tc>
        <w:tc>
          <w:tcPr>
            <w:tcW w:type="dxa" w:w="86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69.0</w:t>
            </w:r>
          </w:p>
        </w:tc>
        <w:tc>
          <w:tcPr>
            <w:tcW w:type="dxa" w:w="76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18.1</w:t>
            </w:r>
          </w:p>
        </w:tc>
        <w:tc>
          <w:tcPr>
            <w:tcW w:type="dxa" w:w="76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24.9</w:t>
            </w:r>
          </w:p>
        </w:tc>
        <w:tc>
          <w:tcPr>
            <w:tcW w:type="dxa" w:w="78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41.3</w:t>
            </w:r>
          </w:p>
        </w:tc>
        <w:tc>
          <w:tcPr>
            <w:tcW w:type="dxa" w:w="78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13.7</w:t>
            </w:r>
          </w:p>
        </w:tc>
      </w:tr>
      <w:tr>
        <w:tc>
          <w:tcPr>
            <w:tcW w:type="dxa" w:w="185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left"/>
            </w:pPr>
            <w:r>
              <w:rPr>
                <w:rFonts w:ascii="Times New Roman" w:cs="Times New Roman" w:eastAsia="Times New Roman" w:hAnsi="Times New Roman"/>
                <w:b w:val="false"/>
                <w:bCs w:val="false"/>
                <w:i w:val="false"/>
                <w:iCs w:val="false"/>
                <w:sz w:val="14"/>
                <w:szCs w:val="14"/>
              </w:rPr>
              <w:t xml:space="preserve">Somali</w:t>
            </w:r>
          </w:p>
        </w:tc>
        <w:tc>
          <w:tcPr>
            <w:tcW w:type="dxa" w:w="76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35.1</w:t>
            </w:r>
          </w:p>
        </w:tc>
        <w:tc>
          <w:tcPr>
            <w:tcW w:type="dxa" w:w="70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12.7</w:t>
            </w:r>
          </w:p>
        </w:tc>
        <w:tc>
          <w:tcPr>
            <w:tcW w:type="dxa" w:w="62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37.0</w:t>
            </w:r>
          </w:p>
        </w:tc>
        <w:tc>
          <w:tcPr>
            <w:tcW w:type="dxa" w:w="76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9.4</w:t>
            </w:r>
          </w:p>
        </w:tc>
        <w:tc>
          <w:tcPr>
            <w:tcW w:type="dxa" w:w="68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1.6</w:t>
            </w:r>
          </w:p>
        </w:tc>
        <w:tc>
          <w:tcPr>
            <w:tcW w:type="dxa" w:w="86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6.9</w:t>
            </w:r>
          </w:p>
        </w:tc>
        <w:tc>
          <w:tcPr>
            <w:tcW w:type="dxa" w:w="76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5.5</w:t>
            </w:r>
          </w:p>
        </w:tc>
        <w:tc>
          <w:tcPr>
            <w:tcW w:type="dxa" w:w="76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61.4</w:t>
            </w:r>
          </w:p>
        </w:tc>
        <w:tc>
          <w:tcPr>
            <w:tcW w:type="dxa" w:w="78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34.6</w:t>
            </w:r>
          </w:p>
        </w:tc>
        <w:tc>
          <w:tcPr>
            <w:tcW w:type="dxa" w:w="78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13.6</w:t>
            </w:r>
          </w:p>
        </w:tc>
      </w:tr>
      <w:tr>
        <w:tc>
          <w:tcPr>
            <w:tcW w:type="dxa" w:w="185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left"/>
            </w:pPr>
            <w:r>
              <w:rPr>
                <w:rFonts w:ascii="Times New Roman" w:cs="Times New Roman" w:eastAsia="Times New Roman" w:hAnsi="Times New Roman"/>
                <w:b w:val="false"/>
                <w:bCs w:val="false"/>
                <w:i w:val="false"/>
                <w:iCs w:val="false"/>
                <w:sz w:val="14"/>
                <w:szCs w:val="14"/>
              </w:rPr>
              <w:t xml:space="preserve">Benishangul-Gumuz</w:t>
            </w:r>
          </w:p>
        </w:tc>
        <w:tc>
          <w:tcPr>
            <w:tcW w:type="dxa" w:w="76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70.9</w:t>
            </w:r>
          </w:p>
        </w:tc>
        <w:tc>
          <w:tcPr>
            <w:tcW w:type="dxa" w:w="70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57.2</w:t>
            </w:r>
          </w:p>
        </w:tc>
        <w:tc>
          <w:tcPr>
            <w:tcW w:type="dxa" w:w="62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62.2</w:t>
            </w:r>
          </w:p>
        </w:tc>
        <w:tc>
          <w:tcPr>
            <w:tcW w:type="dxa" w:w="76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27.5</w:t>
            </w:r>
          </w:p>
        </w:tc>
        <w:tc>
          <w:tcPr>
            <w:tcW w:type="dxa" w:w="68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31.2</w:t>
            </w:r>
          </w:p>
        </w:tc>
        <w:tc>
          <w:tcPr>
            <w:tcW w:type="dxa" w:w="86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67.0</w:t>
            </w:r>
          </w:p>
        </w:tc>
        <w:tc>
          <w:tcPr>
            <w:tcW w:type="dxa" w:w="76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12.9</w:t>
            </w:r>
          </w:p>
        </w:tc>
        <w:tc>
          <w:tcPr>
            <w:tcW w:type="dxa" w:w="76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26.9</w:t>
            </w:r>
          </w:p>
        </w:tc>
        <w:tc>
          <w:tcPr>
            <w:tcW w:type="dxa" w:w="78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51.6</w:t>
            </w:r>
          </w:p>
        </w:tc>
        <w:tc>
          <w:tcPr>
            <w:tcW w:type="dxa" w:w="78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13.5</w:t>
            </w:r>
          </w:p>
        </w:tc>
      </w:tr>
      <w:tr>
        <w:tc>
          <w:tcPr>
            <w:tcW w:type="dxa" w:w="185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left"/>
            </w:pPr>
            <w:r>
              <w:rPr>
                <w:rFonts w:ascii="Times New Roman" w:cs="Times New Roman" w:eastAsia="Times New Roman" w:hAnsi="Times New Roman"/>
                <w:b w:val="false"/>
                <w:bCs w:val="false"/>
                <w:i w:val="false"/>
                <w:iCs w:val="false"/>
                <w:sz w:val="14"/>
                <w:szCs w:val="14"/>
              </w:rPr>
              <w:t xml:space="preserve">Central Ethiopia</w:t>
            </w:r>
          </w:p>
        </w:tc>
        <w:tc>
          <w:tcPr>
            <w:tcW w:type="dxa" w:w="76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82.8</w:t>
            </w:r>
          </w:p>
        </w:tc>
        <w:tc>
          <w:tcPr>
            <w:tcW w:type="dxa" w:w="70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58.5</w:t>
            </w:r>
          </w:p>
        </w:tc>
        <w:tc>
          <w:tcPr>
            <w:tcW w:type="dxa" w:w="62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78.9</w:t>
            </w:r>
          </w:p>
        </w:tc>
        <w:tc>
          <w:tcPr>
            <w:tcW w:type="dxa" w:w="76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47.4</w:t>
            </w:r>
          </w:p>
        </w:tc>
        <w:tc>
          <w:tcPr>
            <w:tcW w:type="dxa" w:w="68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19.0</w:t>
            </w:r>
          </w:p>
        </w:tc>
        <w:tc>
          <w:tcPr>
            <w:tcW w:type="dxa" w:w="86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48.5</w:t>
            </w:r>
          </w:p>
        </w:tc>
        <w:tc>
          <w:tcPr>
            <w:tcW w:type="dxa" w:w="76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11.2</w:t>
            </w:r>
          </w:p>
        </w:tc>
        <w:tc>
          <w:tcPr>
            <w:tcW w:type="dxa" w:w="76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22.5</w:t>
            </w:r>
          </w:p>
        </w:tc>
        <w:tc>
          <w:tcPr>
            <w:tcW w:type="dxa" w:w="78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35.0</w:t>
            </w:r>
          </w:p>
        </w:tc>
        <w:tc>
          <w:tcPr>
            <w:tcW w:type="dxa" w:w="78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7.5</w:t>
            </w:r>
          </w:p>
        </w:tc>
      </w:tr>
      <w:tr>
        <w:tc>
          <w:tcPr>
            <w:tcW w:type="dxa" w:w="185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left"/>
            </w:pPr>
            <w:r>
              <w:rPr>
                <w:rFonts w:ascii="Times New Roman" w:cs="Times New Roman" w:eastAsia="Times New Roman" w:hAnsi="Times New Roman"/>
                <w:b w:val="false"/>
                <w:bCs w:val="false"/>
                <w:i w:val="false"/>
                <w:iCs w:val="false"/>
                <w:sz w:val="14"/>
                <w:szCs w:val="14"/>
              </w:rPr>
              <w:t xml:space="preserve">Sidama</w:t>
            </w:r>
          </w:p>
        </w:tc>
        <w:tc>
          <w:tcPr>
            <w:tcW w:type="dxa" w:w="76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85.0</w:t>
            </w:r>
          </w:p>
        </w:tc>
        <w:tc>
          <w:tcPr>
            <w:tcW w:type="dxa" w:w="70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41.5</w:t>
            </w:r>
          </w:p>
        </w:tc>
        <w:tc>
          <w:tcPr>
            <w:tcW w:type="dxa" w:w="62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66.3</w:t>
            </w:r>
          </w:p>
        </w:tc>
        <w:tc>
          <w:tcPr>
            <w:tcW w:type="dxa" w:w="76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42.4</w:t>
            </w:r>
          </w:p>
        </w:tc>
        <w:tc>
          <w:tcPr>
            <w:tcW w:type="dxa" w:w="68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55.7</w:t>
            </w:r>
          </w:p>
        </w:tc>
        <w:tc>
          <w:tcPr>
            <w:tcW w:type="dxa" w:w="86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80.7</w:t>
            </w:r>
          </w:p>
        </w:tc>
        <w:tc>
          <w:tcPr>
            <w:tcW w:type="dxa" w:w="76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14.0</w:t>
            </w:r>
          </w:p>
        </w:tc>
        <w:tc>
          <w:tcPr>
            <w:tcW w:type="dxa" w:w="76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17.8</w:t>
            </w:r>
          </w:p>
        </w:tc>
        <w:tc>
          <w:tcPr>
            <w:tcW w:type="dxa" w:w="78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30.8</w:t>
            </w:r>
          </w:p>
        </w:tc>
        <w:tc>
          <w:tcPr>
            <w:tcW w:type="dxa" w:w="78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5.2</w:t>
            </w:r>
          </w:p>
        </w:tc>
      </w:tr>
      <w:tr>
        <w:tc>
          <w:tcPr>
            <w:tcW w:type="dxa" w:w="185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left"/>
            </w:pPr>
            <w:r>
              <w:rPr>
                <w:rFonts w:ascii="Times New Roman" w:cs="Times New Roman" w:eastAsia="Times New Roman" w:hAnsi="Times New Roman"/>
                <w:b w:val="false"/>
                <w:bCs w:val="false"/>
                <w:i w:val="false"/>
                <w:iCs w:val="false"/>
                <w:sz w:val="14"/>
                <w:szCs w:val="14"/>
              </w:rPr>
              <w:t xml:space="preserve">South West Ethiopia</w:t>
            </w:r>
          </w:p>
        </w:tc>
        <w:tc>
          <w:tcPr>
            <w:tcW w:type="dxa" w:w="76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73.6</w:t>
            </w:r>
          </w:p>
        </w:tc>
        <w:tc>
          <w:tcPr>
            <w:tcW w:type="dxa" w:w="70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48.1</w:t>
            </w:r>
          </w:p>
        </w:tc>
        <w:tc>
          <w:tcPr>
            <w:tcW w:type="dxa" w:w="62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54.7</w:t>
            </w:r>
          </w:p>
        </w:tc>
        <w:tc>
          <w:tcPr>
            <w:tcW w:type="dxa" w:w="76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19.8</w:t>
            </w:r>
          </w:p>
        </w:tc>
        <w:tc>
          <w:tcPr>
            <w:tcW w:type="dxa" w:w="68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54.2</w:t>
            </w:r>
          </w:p>
        </w:tc>
        <w:tc>
          <w:tcPr>
            <w:tcW w:type="dxa" w:w="86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82.7</w:t>
            </w:r>
          </w:p>
        </w:tc>
        <w:tc>
          <w:tcPr>
            <w:tcW w:type="dxa" w:w="76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11.4</w:t>
            </w:r>
          </w:p>
        </w:tc>
        <w:tc>
          <w:tcPr>
            <w:tcW w:type="dxa" w:w="76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21.2</w:t>
            </w:r>
          </w:p>
        </w:tc>
        <w:tc>
          <w:tcPr>
            <w:tcW w:type="dxa" w:w="78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41.8</w:t>
            </w:r>
          </w:p>
        </w:tc>
        <w:tc>
          <w:tcPr>
            <w:tcW w:type="dxa" w:w="78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4.9</w:t>
            </w:r>
          </w:p>
        </w:tc>
      </w:tr>
      <w:tr>
        <w:tc>
          <w:tcPr>
            <w:tcW w:type="dxa" w:w="185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left"/>
            </w:pPr>
            <w:r>
              <w:rPr>
                <w:rFonts w:ascii="Times New Roman" w:cs="Times New Roman" w:eastAsia="Times New Roman" w:hAnsi="Times New Roman"/>
                <w:b w:val="false"/>
                <w:bCs w:val="false"/>
                <w:i w:val="false"/>
                <w:iCs w:val="false"/>
                <w:sz w:val="14"/>
                <w:szCs w:val="14"/>
              </w:rPr>
              <w:t xml:space="preserve">South Ethiopia</w:t>
            </w:r>
          </w:p>
        </w:tc>
        <w:tc>
          <w:tcPr>
            <w:tcW w:type="dxa" w:w="76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75.9</w:t>
            </w:r>
          </w:p>
        </w:tc>
        <w:tc>
          <w:tcPr>
            <w:tcW w:type="dxa" w:w="70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47.1</w:t>
            </w:r>
          </w:p>
        </w:tc>
        <w:tc>
          <w:tcPr>
            <w:tcW w:type="dxa" w:w="62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49.5</w:t>
            </w:r>
          </w:p>
        </w:tc>
        <w:tc>
          <w:tcPr>
            <w:tcW w:type="dxa" w:w="76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27.1</w:t>
            </w:r>
          </w:p>
        </w:tc>
        <w:tc>
          <w:tcPr>
            <w:tcW w:type="dxa" w:w="68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28.5</w:t>
            </w:r>
          </w:p>
        </w:tc>
        <w:tc>
          <w:tcPr>
            <w:tcW w:type="dxa" w:w="86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59.0</w:t>
            </w:r>
          </w:p>
        </w:tc>
        <w:tc>
          <w:tcPr>
            <w:tcW w:type="dxa" w:w="76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7.1</w:t>
            </w:r>
          </w:p>
        </w:tc>
        <w:tc>
          <w:tcPr>
            <w:tcW w:type="dxa" w:w="76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28.6</w:t>
            </w:r>
          </w:p>
        </w:tc>
        <w:tc>
          <w:tcPr>
            <w:tcW w:type="dxa" w:w="78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41.6</w:t>
            </w:r>
          </w:p>
        </w:tc>
        <w:tc>
          <w:tcPr>
            <w:tcW w:type="dxa" w:w="78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10.7</w:t>
            </w:r>
          </w:p>
        </w:tc>
      </w:tr>
      <w:tr>
        <w:tc>
          <w:tcPr>
            <w:tcW w:type="dxa" w:w="185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left"/>
            </w:pPr>
            <w:r>
              <w:rPr>
                <w:rFonts w:ascii="Times New Roman" w:cs="Times New Roman" w:eastAsia="Times New Roman" w:hAnsi="Times New Roman"/>
                <w:b w:val="false"/>
                <w:bCs w:val="false"/>
                <w:i w:val="false"/>
                <w:iCs w:val="false"/>
                <w:sz w:val="14"/>
                <w:szCs w:val="14"/>
              </w:rPr>
              <w:t xml:space="preserve">Gambella</w:t>
            </w:r>
          </w:p>
        </w:tc>
        <w:tc>
          <w:tcPr>
            <w:tcW w:type="dxa" w:w="76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79.6</w:t>
            </w:r>
          </w:p>
        </w:tc>
        <w:tc>
          <w:tcPr>
            <w:tcW w:type="dxa" w:w="70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49.2</w:t>
            </w:r>
          </w:p>
        </w:tc>
        <w:tc>
          <w:tcPr>
            <w:tcW w:type="dxa" w:w="62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73.7</w:t>
            </w:r>
          </w:p>
        </w:tc>
        <w:tc>
          <w:tcPr>
            <w:tcW w:type="dxa" w:w="76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44.2</w:t>
            </w:r>
          </w:p>
        </w:tc>
        <w:tc>
          <w:tcPr>
            <w:tcW w:type="dxa" w:w="68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34.2</w:t>
            </w:r>
          </w:p>
        </w:tc>
        <w:tc>
          <w:tcPr>
            <w:tcW w:type="dxa" w:w="86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62.9</w:t>
            </w:r>
          </w:p>
        </w:tc>
        <w:tc>
          <w:tcPr>
            <w:tcW w:type="dxa" w:w="76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9.6</w:t>
            </w:r>
          </w:p>
        </w:tc>
        <w:tc>
          <w:tcPr>
            <w:tcW w:type="dxa" w:w="76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19.3</w:t>
            </w:r>
          </w:p>
        </w:tc>
        <w:tc>
          <w:tcPr>
            <w:tcW w:type="dxa" w:w="78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16.5</w:t>
            </w:r>
          </w:p>
        </w:tc>
        <w:tc>
          <w:tcPr>
            <w:tcW w:type="dxa" w:w="78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14.7</w:t>
            </w:r>
          </w:p>
        </w:tc>
      </w:tr>
      <w:tr>
        <w:tc>
          <w:tcPr>
            <w:tcW w:type="dxa" w:w="185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left"/>
            </w:pPr>
            <w:r>
              <w:rPr>
                <w:rFonts w:ascii="Times New Roman" w:cs="Times New Roman" w:eastAsia="Times New Roman" w:hAnsi="Times New Roman"/>
                <w:b w:val="false"/>
                <w:bCs w:val="false"/>
                <w:i w:val="false"/>
                <w:iCs w:val="false"/>
                <w:sz w:val="14"/>
                <w:szCs w:val="14"/>
              </w:rPr>
              <w:t xml:space="preserve">Harari</w:t>
            </w:r>
          </w:p>
        </w:tc>
        <w:tc>
          <w:tcPr>
            <w:tcW w:type="dxa" w:w="76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79.8</w:t>
            </w:r>
          </w:p>
        </w:tc>
        <w:tc>
          <w:tcPr>
            <w:tcW w:type="dxa" w:w="70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46.5</w:t>
            </w:r>
          </w:p>
        </w:tc>
        <w:tc>
          <w:tcPr>
            <w:tcW w:type="dxa" w:w="62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80.0</w:t>
            </w:r>
          </w:p>
        </w:tc>
        <w:tc>
          <w:tcPr>
            <w:tcW w:type="dxa" w:w="76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39.9</w:t>
            </w:r>
          </w:p>
        </w:tc>
        <w:tc>
          <w:tcPr>
            <w:tcW w:type="dxa" w:w="68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28.0</w:t>
            </w:r>
          </w:p>
        </w:tc>
        <w:tc>
          <w:tcPr>
            <w:tcW w:type="dxa" w:w="86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62.0</w:t>
            </w:r>
          </w:p>
        </w:tc>
        <w:tc>
          <w:tcPr>
            <w:tcW w:type="dxa" w:w="76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27.6</w:t>
            </w:r>
          </w:p>
        </w:tc>
        <w:tc>
          <w:tcPr>
            <w:tcW w:type="dxa" w:w="76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9.6</w:t>
            </w:r>
          </w:p>
        </w:tc>
        <w:tc>
          <w:tcPr>
            <w:tcW w:type="dxa" w:w="78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34.8</w:t>
            </w:r>
          </w:p>
        </w:tc>
        <w:tc>
          <w:tcPr>
            <w:tcW w:type="dxa" w:w="78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14.4</w:t>
            </w:r>
          </w:p>
        </w:tc>
      </w:tr>
      <w:tr>
        <w:tc>
          <w:tcPr>
            <w:tcW w:type="dxa" w:w="185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left"/>
            </w:pPr>
            <w:r>
              <w:rPr>
                <w:rFonts w:ascii="Times New Roman" w:cs="Times New Roman" w:eastAsia="Times New Roman" w:hAnsi="Times New Roman"/>
                <w:b w:val="false"/>
                <w:bCs w:val="false"/>
                <w:i w:val="false"/>
                <w:iCs w:val="false"/>
                <w:sz w:val="14"/>
                <w:szCs w:val="14"/>
              </w:rPr>
              <w:t xml:space="preserve">Addis Ababa</w:t>
            </w:r>
          </w:p>
        </w:tc>
        <w:tc>
          <w:tcPr>
            <w:tcW w:type="dxa" w:w="76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98.2</w:t>
            </w:r>
          </w:p>
        </w:tc>
        <w:tc>
          <w:tcPr>
            <w:tcW w:type="dxa" w:w="70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94.8</w:t>
            </w:r>
          </w:p>
        </w:tc>
        <w:tc>
          <w:tcPr>
            <w:tcW w:type="dxa" w:w="62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98.2</w:t>
            </w:r>
          </w:p>
        </w:tc>
        <w:tc>
          <w:tcPr>
            <w:tcW w:type="dxa" w:w="76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68.1</w:t>
            </w:r>
          </w:p>
        </w:tc>
        <w:tc>
          <w:tcPr>
            <w:tcW w:type="dxa" w:w="68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47.3</w:t>
            </w:r>
          </w:p>
        </w:tc>
        <w:tc>
          <w:tcPr>
            <w:tcW w:type="dxa" w:w="86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83.4</w:t>
            </w:r>
          </w:p>
        </w:tc>
        <w:tc>
          <w:tcPr>
            <w:tcW w:type="dxa" w:w="76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69.9</w:t>
            </w:r>
          </w:p>
        </w:tc>
        <w:tc>
          <w:tcPr>
            <w:tcW w:type="dxa" w:w="76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2.7</w:t>
            </w:r>
          </w:p>
        </w:tc>
        <w:tc>
          <w:tcPr>
            <w:tcW w:type="dxa" w:w="78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14.7</w:t>
            </w:r>
          </w:p>
        </w:tc>
        <w:tc>
          <w:tcPr>
            <w:tcW w:type="dxa" w:w="78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2.1</w:t>
            </w:r>
          </w:p>
        </w:tc>
      </w:tr>
      <w:tr>
        <w:tc>
          <w:tcPr>
            <w:tcW w:type="dxa" w:w="185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left"/>
            </w:pPr>
            <w:r>
              <w:rPr>
                <w:rFonts w:ascii="Times New Roman" w:cs="Times New Roman" w:eastAsia="Times New Roman" w:hAnsi="Times New Roman"/>
                <w:b w:val="false"/>
                <w:bCs w:val="false"/>
                <w:i w:val="false"/>
                <w:iCs w:val="false"/>
                <w:sz w:val="14"/>
                <w:szCs w:val="14"/>
              </w:rPr>
              <w:t xml:space="preserve">Dire Dawa</w:t>
            </w:r>
          </w:p>
        </w:tc>
        <w:tc>
          <w:tcPr>
            <w:tcW w:type="dxa" w:w="76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88.0</w:t>
            </w:r>
          </w:p>
        </w:tc>
        <w:tc>
          <w:tcPr>
            <w:tcW w:type="dxa" w:w="70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69.1</w:t>
            </w:r>
          </w:p>
        </w:tc>
        <w:tc>
          <w:tcPr>
            <w:tcW w:type="dxa" w:w="62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83.0</w:t>
            </w:r>
          </w:p>
        </w:tc>
        <w:tc>
          <w:tcPr>
            <w:tcW w:type="dxa" w:w="76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37.0</w:t>
            </w:r>
          </w:p>
        </w:tc>
        <w:tc>
          <w:tcPr>
            <w:tcW w:type="dxa" w:w="68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24.7</w:t>
            </w:r>
          </w:p>
        </w:tc>
        <w:tc>
          <w:tcPr>
            <w:tcW w:type="dxa" w:w="86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60.7</w:t>
            </w:r>
          </w:p>
        </w:tc>
        <w:tc>
          <w:tcPr>
            <w:tcW w:type="dxa" w:w="76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38.9</w:t>
            </w:r>
          </w:p>
        </w:tc>
        <w:tc>
          <w:tcPr>
            <w:tcW w:type="dxa" w:w="76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18.6</w:t>
            </w:r>
          </w:p>
        </w:tc>
        <w:tc>
          <w:tcPr>
            <w:tcW w:type="dxa" w:w="78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33.3</w:t>
            </w:r>
          </w:p>
        </w:tc>
        <w:tc>
          <w:tcPr>
            <w:tcW w:type="dxa" w:w="780"/>
            <w:tcBorders>
              <w:top w:val="none" w:color="FFFFFF" w:sz="0"/>
              <w:left w:val="none" w:color="FFFFFF" w:sz="0"/>
              <w:bottom w:val="none" w:color="FFFFFF" w:sz="0"/>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val="false"/>
                <w:bCs w:val="false"/>
                <w:i w:val="false"/>
                <w:iCs w:val="false"/>
                <w:sz w:val="14"/>
                <w:szCs w:val="14"/>
              </w:rPr>
              <w:t xml:space="preserve">9.5</w:t>
            </w:r>
          </w:p>
        </w:tc>
      </w:tr>
      <w:tr>
        <w:tc>
          <w:tcPr>
            <w:tcW w:type="dxa" w:w="1850"/>
            <w:tcBorders>
              <w:top w:val="none" w:color="FFFFFF" w:sz="0"/>
              <w:left w:val="none" w:color="FFFFFF" w:sz="0"/>
              <w:bottom w:val="single" w:color="000000" w:sz="4"/>
              <w:right w:val="none" w:color="FFFFFF" w:sz="0"/>
            </w:tcBorders>
            <w:tcMar>
              <w:top w:type="dxa" w:w="40"/>
              <w:left w:type="dxa" w:w="50"/>
              <w:bottom w:type="dxa" w:w="40"/>
              <w:right w:type="dxa" w:w="50"/>
            </w:tcMar>
          </w:tcPr>
          <w:p>
            <w:pPr>
              <w:spacing w:after="0" w:line="240"/>
              <w:jc w:val="left"/>
            </w:pPr>
            <w:r>
              <w:rPr>
                <w:rFonts w:ascii="Times New Roman" w:cs="Times New Roman" w:eastAsia="Times New Roman" w:hAnsi="Times New Roman"/>
                <w:b/>
                <w:bCs/>
                <w:i w:val="false"/>
                <w:iCs w:val="false"/>
                <w:sz w:val="14"/>
                <w:szCs w:val="14"/>
              </w:rPr>
              <w:t xml:space="preserve">NATIONAL</w:t>
            </w:r>
          </w:p>
        </w:tc>
        <w:tc>
          <w:tcPr>
            <w:tcW w:type="dxa" w:w="760"/>
            <w:tcBorders>
              <w:top w:val="none" w:color="FFFFFF" w:sz="0"/>
              <w:left w:val="none" w:color="FFFFFF" w:sz="0"/>
              <w:bottom w:val="single" w:color="000000" w:sz="4"/>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bCs/>
                <w:i w:val="false"/>
                <w:iCs w:val="false"/>
                <w:sz w:val="14"/>
                <w:szCs w:val="14"/>
              </w:rPr>
              <w:t xml:space="preserve">78.1</w:t>
            </w:r>
          </w:p>
        </w:tc>
        <w:tc>
          <w:tcPr>
            <w:tcW w:type="dxa" w:w="700"/>
            <w:tcBorders>
              <w:top w:val="none" w:color="FFFFFF" w:sz="0"/>
              <w:left w:val="none" w:color="FFFFFF" w:sz="0"/>
              <w:bottom w:val="single" w:color="000000" w:sz="4"/>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bCs/>
                <w:i w:val="false"/>
                <w:iCs w:val="false"/>
                <w:sz w:val="14"/>
                <w:szCs w:val="14"/>
              </w:rPr>
              <w:t xml:space="preserve">53.0</w:t>
            </w:r>
          </w:p>
        </w:tc>
        <w:tc>
          <w:tcPr>
            <w:tcW w:type="dxa" w:w="620"/>
            <w:tcBorders>
              <w:top w:val="none" w:color="FFFFFF" w:sz="0"/>
              <w:left w:val="none" w:color="FFFFFF" w:sz="0"/>
              <w:bottom w:val="single" w:color="000000" w:sz="4"/>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bCs/>
                <w:i w:val="false"/>
                <w:iCs w:val="false"/>
                <w:sz w:val="14"/>
                <w:szCs w:val="14"/>
              </w:rPr>
              <w:t xml:space="preserve">64.0</w:t>
            </w:r>
          </w:p>
        </w:tc>
        <w:tc>
          <w:tcPr>
            <w:tcW w:type="dxa" w:w="760"/>
            <w:tcBorders>
              <w:top w:val="none" w:color="FFFFFF" w:sz="0"/>
              <w:left w:val="none" w:color="FFFFFF" w:sz="0"/>
              <w:bottom w:val="single" w:color="000000" w:sz="4"/>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bCs/>
                <w:i w:val="false"/>
                <w:iCs w:val="false"/>
                <w:sz w:val="14"/>
                <w:szCs w:val="14"/>
              </w:rPr>
              <w:t xml:space="preserve">35.6</w:t>
            </w:r>
          </w:p>
        </w:tc>
        <w:tc>
          <w:tcPr>
            <w:tcW w:type="dxa" w:w="680"/>
            <w:tcBorders>
              <w:top w:val="none" w:color="FFFFFF" w:sz="0"/>
              <w:left w:val="none" w:color="FFFFFF" w:sz="0"/>
              <w:bottom w:val="single" w:color="000000" w:sz="4"/>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bCs/>
                <w:i w:val="false"/>
                <w:iCs w:val="false"/>
                <w:sz w:val="14"/>
                <w:szCs w:val="14"/>
              </w:rPr>
              <w:t xml:space="preserve">34.5</w:t>
            </w:r>
          </w:p>
        </w:tc>
        <w:tc>
          <w:tcPr>
            <w:tcW w:type="dxa" w:w="860"/>
            <w:tcBorders>
              <w:top w:val="none" w:color="FFFFFF" w:sz="0"/>
              <w:left w:val="none" w:color="FFFFFF" w:sz="0"/>
              <w:bottom w:val="single" w:color="000000" w:sz="4"/>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bCs/>
                <w:i w:val="false"/>
                <w:iCs w:val="false"/>
                <w:sz w:val="14"/>
                <w:szCs w:val="14"/>
              </w:rPr>
              <w:t xml:space="preserve">69.6</w:t>
            </w:r>
          </w:p>
        </w:tc>
        <w:tc>
          <w:tcPr>
            <w:tcW w:type="dxa" w:w="760"/>
            <w:tcBorders>
              <w:top w:val="none" w:color="FFFFFF" w:sz="0"/>
              <w:left w:val="none" w:color="FFFFFF" w:sz="0"/>
              <w:bottom w:val="single" w:color="000000" w:sz="4"/>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bCs/>
                <w:i w:val="false"/>
                <w:iCs w:val="false"/>
                <w:sz w:val="14"/>
                <w:szCs w:val="14"/>
              </w:rPr>
              <w:t xml:space="preserve">30.1</w:t>
            </w:r>
          </w:p>
        </w:tc>
        <w:tc>
          <w:tcPr>
            <w:tcW w:type="dxa" w:w="760"/>
            <w:tcBorders>
              <w:top w:val="none" w:color="FFFFFF" w:sz="0"/>
              <w:left w:val="none" w:color="FFFFFF" w:sz="0"/>
              <w:bottom w:val="single" w:color="000000" w:sz="4"/>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bCs/>
                <w:i w:val="false"/>
                <w:iCs w:val="false"/>
                <w:sz w:val="14"/>
                <w:szCs w:val="14"/>
              </w:rPr>
              <w:t xml:space="preserve">19.8</w:t>
            </w:r>
          </w:p>
        </w:tc>
        <w:tc>
          <w:tcPr>
            <w:tcW w:type="dxa" w:w="780"/>
            <w:tcBorders>
              <w:top w:val="none" w:color="FFFFFF" w:sz="0"/>
              <w:left w:val="none" w:color="FFFFFF" w:sz="0"/>
              <w:bottom w:val="single" w:color="000000" w:sz="4"/>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bCs/>
                <w:i w:val="false"/>
                <w:iCs w:val="false"/>
                <w:sz w:val="14"/>
                <w:szCs w:val="14"/>
              </w:rPr>
              <w:t xml:space="preserve">39.9</w:t>
            </w:r>
          </w:p>
        </w:tc>
        <w:tc>
          <w:tcPr>
            <w:tcW w:type="dxa" w:w="780"/>
            <w:tcBorders>
              <w:top w:val="none" w:color="FFFFFF" w:sz="0"/>
              <w:left w:val="none" w:color="FFFFFF" w:sz="0"/>
              <w:bottom w:val="single" w:color="000000" w:sz="4"/>
              <w:right w:val="none" w:color="FFFFFF" w:sz="0"/>
            </w:tcBorders>
            <w:tcMar>
              <w:top w:type="dxa" w:w="40"/>
              <w:left w:type="dxa" w:w="50"/>
              <w:bottom w:type="dxa" w:w="40"/>
              <w:right w:type="dxa" w:w="50"/>
            </w:tcMar>
          </w:tcPr>
          <w:p>
            <w:pPr>
              <w:spacing w:after="0" w:line="240"/>
              <w:jc w:val="center"/>
            </w:pPr>
            <w:r>
              <w:rPr>
                <w:rFonts w:ascii="Times New Roman" w:cs="Times New Roman" w:eastAsia="Times New Roman" w:hAnsi="Times New Roman"/>
                <w:b/>
                <w:bCs/>
                <w:i w:val="false"/>
                <w:iCs w:val="false"/>
                <w:sz w:val="14"/>
                <w:szCs w:val="14"/>
              </w:rPr>
              <w:t xml:space="preserve">10.2</w:t>
            </w:r>
          </w:p>
        </w:tc>
      </w:tr>
    </w:tbl>
    <w:p>
      <w:pPr>
        <w:spacing w:after="240" w:before="0" w:line="240" w:lineRule="auto"/>
        <w:jc w:val="both"/>
      </w:pPr>
      <w:r>
        <w:rPr>
          <w:rFonts w:ascii="Times New Roman" w:cs="Times New Roman" w:eastAsia="Times New Roman" w:hAnsi="Times New Roman"/>
          <w:b w:val="false"/>
          <w:bCs w:val="false"/>
          <w:i/>
          <w:iCs/>
          <w:sz w:val="16"/>
          <w:szCs w:val="16"/>
        </w:rPr>
        <w:t xml:space="preserve">ANC antenatal care, SBA skilled birth attendance (live births in the two years preceding the survey), PNC postnatal check within two days, mCPR modern contraceptive prevalence among currently married women, Demand sat. proportion of family-planning demand satisfied (any method), Full imm. fully vaccinated with basic antigens (children aged 12–23 months), Zero dose no vaccinations received, Stunting height-for-age below −2 SD (children under five), Teen preg. women aged 15–19 ever pregnant. Estimates for Harari, Gambella, Dire Dawa and Afar rest on small weighted denominators and should be interpreted with wide confidence intervals. Source: EDHS 2024–25 Key Indicators Report [6]. Referenced from Results, section 3.5.</w:t>
      </w:r>
    </w:p>
    <w:p>
      <w:pPr>
        <w:pStyle w:val="Heading1"/>
        <w:keepNext/>
        <w:spacing w:after="140" w:before="240" w:line="360"/>
      </w:pPr>
      <w:r>
        <w:rPr>
          <w:rFonts w:ascii="Times New Roman" w:cs="Times New Roman" w:eastAsia="Times New Roman" w:hAnsi="Times New Roman"/>
          <w:b/>
          <w:bCs/>
          <w:i w:val="false"/>
          <w:iCs w:val="false"/>
          <w:sz w:val="28"/>
          <w:szCs w:val="28"/>
        </w:rPr>
        <w:t xml:space="preserve">Supplementary Figures</w:t>
      </w:r>
    </w:p>
    <w:p>
      <w:r>
        <w:br w:type="page"/>
      </w:r>
    </w:p>
    <w:p>
      <w:pPr>
        <w:spacing w:after="60" w:before="160" w:line="240"/>
        <w:jc w:val="center"/>
      </w:pPr>
      <w:r>
        <w:drawing>
          <wp:inline distT="0" distB="0" distL="0" distR="0">
            <wp:extent cx="5191125" cy="30003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191125" cy="3000375"/>
                    </a:xfrm>
                    <a:prstGeom prst="rect">
                      <a:avLst/>
                    </a:prstGeom>
                  </pic:spPr>
                </pic:pic>
              </a:graphicData>
            </a:graphic>
          </wp:inline>
        </w:drawing>
      </w:r>
    </w:p>
    <w:p>
      <w:pPr>
        <w:spacing w:after="220" w:before="0" w:line="240" w:lineRule="auto"/>
        <w:jc w:val="both"/>
      </w:pPr>
      <w:r>
        <w:rPr>
          <w:rFonts w:ascii="Times New Roman" w:cs="Times New Roman" w:eastAsia="Times New Roman" w:hAnsi="Times New Roman"/>
          <w:b/>
          <w:bCs/>
          <w:i w:val="false"/>
          <w:iCs w:val="false"/>
          <w:sz w:val="22"/>
          <w:szCs w:val="22"/>
        </w:rPr>
        <w:t xml:space="preserve">Supplementary Figure S1. </w:t>
      </w:r>
      <w:r>
        <w:rPr>
          <w:rFonts w:ascii="Times New Roman" w:cs="Times New Roman" w:eastAsia="Times New Roman" w:hAnsi="Times New Roman"/>
          <w:b/>
          <w:bCs/>
          <w:i w:val="false"/>
          <w:iCs w:val="false"/>
          <w:sz w:val="22"/>
          <w:szCs w:val="22"/>
        </w:rPr>
        <w:t xml:space="preserve">Trends in total fertility rate by residence, Ethiopia DHS 2000–2024/25.</w:t>
      </w:r>
      <w:r>
        <w:rPr>
          <w:rFonts w:ascii="Times New Roman" w:cs="Times New Roman" w:eastAsia="Times New Roman" w:hAnsi="Times New Roman"/>
          <w:b w:val="false"/>
          <w:bCs w:val="false"/>
          <w:i w:val="false"/>
          <w:iCs w:val="false"/>
          <w:sz w:val="22"/>
          <w:szCs w:val="22"/>
        </w:rPr>
        <w:t xml:space="preserve"> The total fertility rate refers to the three years preceding each survey. Source: EDHS final and key-indicator reports [1–6].</w:t>
      </w:r>
    </w:p>
    <w:p>
      <w:r>
        <w:br w:type="page"/>
      </w:r>
    </w:p>
    <w:p>
      <w:pPr>
        <w:spacing w:after="60" w:before="160" w:line="240"/>
        <w:jc w:val="center"/>
      </w:pPr>
      <w:r>
        <w:drawing>
          <wp:inline distT="0" distB="0" distL="0" distR="0">
            <wp:extent cx="5191125" cy="31432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191125" cy="3143250"/>
                    </a:xfrm>
                    <a:prstGeom prst="rect">
                      <a:avLst/>
                    </a:prstGeom>
                  </pic:spPr>
                </pic:pic>
              </a:graphicData>
            </a:graphic>
          </wp:inline>
        </w:drawing>
      </w:r>
    </w:p>
    <w:p>
      <w:pPr>
        <w:spacing w:after="220" w:before="0" w:line="240" w:lineRule="auto"/>
        <w:jc w:val="both"/>
      </w:pPr>
      <w:r>
        <w:rPr>
          <w:rFonts w:ascii="Times New Roman" w:cs="Times New Roman" w:eastAsia="Times New Roman" w:hAnsi="Times New Roman"/>
          <w:b/>
          <w:bCs/>
          <w:i w:val="false"/>
          <w:iCs w:val="false"/>
          <w:sz w:val="22"/>
          <w:szCs w:val="22"/>
        </w:rPr>
        <w:t xml:space="preserve">Supplementary Figure S2. </w:t>
      </w:r>
      <w:r>
        <w:rPr>
          <w:rFonts w:ascii="Times New Roman" w:cs="Times New Roman" w:eastAsia="Times New Roman" w:hAnsi="Times New Roman"/>
          <w:b/>
          <w:bCs/>
          <w:i w:val="false"/>
          <w:iCs w:val="false"/>
          <w:sz w:val="22"/>
          <w:szCs w:val="22"/>
        </w:rPr>
        <w:t xml:space="preserve">Trends in modern contraceptive prevalence and unmet need for family planning, Ethiopia DHS 2000–2024/25.</w:t>
      </w:r>
      <w:r>
        <w:rPr>
          <w:rFonts w:ascii="Times New Roman" w:cs="Times New Roman" w:eastAsia="Times New Roman" w:hAnsi="Times New Roman"/>
          <w:b w:val="false"/>
          <w:bCs w:val="false"/>
          <w:i w:val="false"/>
          <w:iCs w:val="false"/>
          <w:sz w:val="22"/>
          <w:szCs w:val="22"/>
        </w:rPr>
        <w:t xml:space="preserve"> Currently married women aged 15–49. The 2019 point is from the Mini-DHS; the apparent post-2019 decline in contraceptive prevalence should be interpreted in light of the narrower scope of that round and conflict-related service disruption over 2020–2023.</w:t>
      </w:r>
    </w:p>
    <w:p>
      <w:r>
        <w:br w:type="page"/>
      </w:r>
    </w:p>
    <w:p>
      <w:pPr>
        <w:spacing w:after="60" w:before="160" w:line="240"/>
        <w:jc w:val="center"/>
      </w:pPr>
      <w:r>
        <w:drawing>
          <wp:inline distT="0" distB="0" distL="0" distR="0">
            <wp:extent cx="5191125" cy="32766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191125" cy="3276600"/>
                    </a:xfrm>
                    <a:prstGeom prst="rect">
                      <a:avLst/>
                    </a:prstGeom>
                  </pic:spPr>
                </pic:pic>
              </a:graphicData>
            </a:graphic>
          </wp:inline>
        </w:drawing>
      </w:r>
    </w:p>
    <w:p>
      <w:pPr>
        <w:spacing w:after="220" w:before="0" w:line="240" w:lineRule="auto"/>
        <w:jc w:val="both"/>
      </w:pPr>
      <w:r>
        <w:rPr>
          <w:rFonts w:ascii="Times New Roman" w:cs="Times New Roman" w:eastAsia="Times New Roman" w:hAnsi="Times New Roman"/>
          <w:b/>
          <w:bCs/>
          <w:i w:val="false"/>
          <w:iCs w:val="false"/>
          <w:sz w:val="22"/>
          <w:szCs w:val="22"/>
        </w:rPr>
        <w:t xml:space="preserve">Supplementary Figure S3. </w:t>
      </w:r>
      <w:r>
        <w:rPr>
          <w:rFonts w:ascii="Times New Roman" w:cs="Times New Roman" w:eastAsia="Times New Roman" w:hAnsi="Times New Roman"/>
          <w:b/>
          <w:bCs/>
          <w:i w:val="false"/>
          <w:iCs w:val="false"/>
          <w:sz w:val="22"/>
          <w:szCs w:val="22"/>
        </w:rPr>
        <w:t xml:space="preserve">Trends in the pregnancy-related mortality ratio, Ethiopia DHS 2000–2024/25.</w:t>
      </w:r>
      <w:r>
        <w:rPr>
          <w:rFonts w:ascii="Times New Roman" w:cs="Times New Roman" w:eastAsia="Times New Roman" w:hAnsi="Times New Roman"/>
          <w:b w:val="false"/>
          <w:bCs w:val="false"/>
          <w:i w:val="false"/>
          <w:iCs w:val="false"/>
          <w:sz w:val="22"/>
          <w:szCs w:val="22"/>
        </w:rPr>
        <w:t xml:space="preserve"> Estimates refer to the seven years preceding each survey and include all deaths during pregnancy, childbirth or within 42 days of termination of pregnancy, irrespective of cause. The 2019 Mini-DHS did not measure maternal mortality. The dashed line marks the SDG 3.1 target.</w:t>
      </w:r>
    </w:p>
    <w:p>
      <w:r>
        <w:br w:type="page"/>
      </w:r>
    </w:p>
    <w:p>
      <w:pPr>
        <w:spacing w:after="60" w:before="160" w:line="240"/>
        <w:jc w:val="center"/>
      </w:pPr>
      <w:r>
        <w:drawing>
          <wp:inline distT="0" distB="0" distL="0" distR="0">
            <wp:extent cx="5191125" cy="31337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191125" cy="3133725"/>
                    </a:xfrm>
                    <a:prstGeom prst="rect">
                      <a:avLst/>
                    </a:prstGeom>
                  </pic:spPr>
                </pic:pic>
              </a:graphicData>
            </a:graphic>
          </wp:inline>
        </w:drawing>
      </w:r>
    </w:p>
    <w:p>
      <w:pPr>
        <w:spacing w:after="220" w:before="0" w:line="240" w:lineRule="auto"/>
        <w:jc w:val="both"/>
      </w:pPr>
      <w:r>
        <w:rPr>
          <w:rFonts w:ascii="Times New Roman" w:cs="Times New Roman" w:eastAsia="Times New Roman" w:hAnsi="Times New Roman"/>
          <w:b/>
          <w:bCs/>
          <w:i w:val="false"/>
          <w:iCs w:val="false"/>
          <w:sz w:val="22"/>
          <w:szCs w:val="22"/>
        </w:rPr>
        <w:t xml:space="preserve">Supplementary Figure S4. </w:t>
      </w:r>
      <w:r>
        <w:rPr>
          <w:rFonts w:ascii="Times New Roman" w:cs="Times New Roman" w:eastAsia="Times New Roman" w:hAnsi="Times New Roman"/>
          <w:b/>
          <w:bCs/>
          <w:i w:val="false"/>
          <w:iCs w:val="false"/>
          <w:sz w:val="22"/>
          <w:szCs w:val="22"/>
        </w:rPr>
        <w:t xml:space="preserve">Trends in full basic-antigen vaccination and zero-dose prevalence, Ethiopia DHS 2000–2024/25.</w:t>
      </w:r>
      <w:r>
        <w:rPr>
          <w:rFonts w:ascii="Times New Roman" w:cs="Times New Roman" w:eastAsia="Times New Roman" w:hAnsi="Times New Roman"/>
          <w:b w:val="false"/>
          <w:bCs w:val="false"/>
          <w:i w:val="false"/>
          <w:iCs w:val="false"/>
          <w:sz w:val="22"/>
          <w:szCs w:val="22"/>
        </w:rPr>
        <w:t xml:space="preserve"> Children aged 12–23 months. Basic antigens comprise BCG, three doses of a DPT-containing vaccine, three doses of polio vaccine and one measles-containing dose. The 2016 round included a health-facility record check, which may raise ascertainment relative to other rounds.</w:t>
      </w:r>
    </w:p>
    <w:p>
      <w:r>
        <w:br w:type="page"/>
      </w:r>
    </w:p>
    <w:p>
      <w:pPr>
        <w:spacing w:after="60" w:before="160" w:line="240"/>
        <w:jc w:val="center"/>
      </w:pPr>
      <w:r>
        <w:drawing>
          <wp:inline distT="0" distB="0" distL="0" distR="0">
            <wp:extent cx="5191125" cy="32861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5191125" cy="3286125"/>
                    </a:xfrm>
                    <a:prstGeom prst="rect">
                      <a:avLst/>
                    </a:prstGeom>
                  </pic:spPr>
                </pic:pic>
              </a:graphicData>
            </a:graphic>
          </wp:inline>
        </w:drawing>
      </w:r>
    </w:p>
    <w:p>
      <w:pPr>
        <w:spacing w:after="220" w:before="0" w:line="240" w:lineRule="auto"/>
        <w:jc w:val="both"/>
      </w:pPr>
      <w:r>
        <w:rPr>
          <w:rFonts w:ascii="Times New Roman" w:cs="Times New Roman" w:eastAsia="Times New Roman" w:hAnsi="Times New Roman"/>
          <w:b/>
          <w:bCs/>
          <w:i w:val="false"/>
          <w:iCs w:val="false"/>
          <w:sz w:val="22"/>
          <w:szCs w:val="22"/>
        </w:rPr>
        <w:t xml:space="preserve">Supplementary Figure S5. </w:t>
      </w:r>
      <w:r>
        <w:rPr>
          <w:rFonts w:ascii="Times New Roman" w:cs="Times New Roman" w:eastAsia="Times New Roman" w:hAnsi="Times New Roman"/>
          <w:b/>
          <w:bCs/>
          <w:i w:val="false"/>
          <w:iCs w:val="false"/>
          <w:sz w:val="22"/>
          <w:szCs w:val="22"/>
        </w:rPr>
        <w:t xml:space="preserve">Trends in stunting, underweight and wasting among children under five, Ethiopia DHS 2000–2024/25.</w:t>
      </w:r>
      <w:r>
        <w:rPr>
          <w:rFonts w:ascii="Times New Roman" w:cs="Times New Roman" w:eastAsia="Times New Roman" w:hAnsi="Times New Roman"/>
          <w:b w:val="false"/>
          <w:bCs w:val="false"/>
          <w:i w:val="false"/>
          <w:iCs w:val="false"/>
          <w:sz w:val="22"/>
          <w:szCs w:val="22"/>
        </w:rPr>
        <w:t xml:space="preserve"> Based on the WHO Child Growth Standards. All six rounds are shown; 2019 values are from the Mini-DHS.</w:t>
      </w:r>
    </w:p>
    <w:p>
      <w:r>
        <w:br w:type="page"/>
      </w:r>
    </w:p>
    <w:p>
      <w:pPr>
        <w:spacing w:after="60" w:before="160" w:line="240"/>
        <w:jc w:val="center"/>
      </w:pPr>
      <w:r>
        <w:drawing>
          <wp:inline distT="0" distB="0" distL="0" distR="0">
            <wp:extent cx="5191125" cy="33813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5191125" cy="3381375"/>
                    </a:xfrm>
                    <a:prstGeom prst="rect">
                      <a:avLst/>
                    </a:prstGeom>
                  </pic:spPr>
                </pic:pic>
              </a:graphicData>
            </a:graphic>
          </wp:inline>
        </w:drawing>
      </w:r>
    </w:p>
    <w:p>
      <w:pPr>
        <w:spacing w:after="220" w:before="0" w:line="240" w:lineRule="auto"/>
        <w:jc w:val="both"/>
      </w:pPr>
      <w:r>
        <w:rPr>
          <w:rFonts w:ascii="Times New Roman" w:cs="Times New Roman" w:eastAsia="Times New Roman" w:hAnsi="Times New Roman"/>
          <w:b/>
          <w:bCs/>
          <w:i w:val="false"/>
          <w:iCs w:val="false"/>
          <w:sz w:val="22"/>
          <w:szCs w:val="22"/>
        </w:rPr>
        <w:t xml:space="preserve">Supplementary Figure S6. </w:t>
      </w:r>
      <w:r>
        <w:rPr>
          <w:rFonts w:ascii="Times New Roman" w:cs="Times New Roman" w:eastAsia="Times New Roman" w:hAnsi="Times New Roman"/>
          <w:b/>
          <w:bCs/>
          <w:i w:val="false"/>
          <w:iCs w:val="false"/>
          <w:sz w:val="22"/>
          <w:szCs w:val="22"/>
        </w:rPr>
        <w:t xml:space="preserve">Urban–rural gaps in selected maternal, child health and nutrition indicators, Ethiopia DHS 2000–2024/25.</w:t>
      </w:r>
      <w:r>
        <w:rPr>
          <w:rFonts w:ascii="Times New Roman" w:cs="Times New Roman" w:eastAsia="Times New Roman" w:hAnsi="Times New Roman"/>
          <w:b w:val="false"/>
          <w:bCs w:val="false"/>
          <w:i w:val="false"/>
          <w:iCs w:val="false"/>
          <w:sz w:val="22"/>
          <w:szCs w:val="22"/>
        </w:rPr>
        <w:t xml:space="preserve"> For stunting, lower values indicate better nutritional status.</w:t>
      </w:r>
    </w:p>
    <w:p>
      <w:r>
        <w:br w:type="page"/>
      </w:r>
    </w:p>
    <w:p>
      <w:pPr>
        <w:spacing w:after="60" w:before="160" w:line="240"/>
        <w:jc w:val="center"/>
      </w:pPr>
      <w:r>
        <w:drawing>
          <wp:inline distT="0" distB="0" distL="0" distR="0">
            <wp:extent cx="5191125" cy="3619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5191125" cy="3619500"/>
                    </a:xfrm>
                    <a:prstGeom prst="rect">
                      <a:avLst/>
                    </a:prstGeom>
                  </pic:spPr>
                </pic:pic>
              </a:graphicData>
            </a:graphic>
          </wp:inline>
        </w:drawing>
      </w:r>
    </w:p>
    <w:p>
      <w:pPr>
        <w:spacing w:after="220" w:before="0" w:line="240" w:lineRule="auto"/>
        <w:jc w:val="both"/>
      </w:pPr>
      <w:r>
        <w:rPr>
          <w:rFonts w:ascii="Times New Roman" w:cs="Times New Roman" w:eastAsia="Times New Roman" w:hAnsi="Times New Roman"/>
          <w:b/>
          <w:bCs/>
          <w:i w:val="false"/>
          <w:iCs w:val="false"/>
          <w:sz w:val="22"/>
          <w:szCs w:val="22"/>
        </w:rPr>
        <w:t xml:space="preserve">Supplementary Figure S7. </w:t>
      </w:r>
      <w:r>
        <w:rPr>
          <w:rFonts w:ascii="Times New Roman" w:cs="Times New Roman" w:eastAsia="Times New Roman" w:hAnsi="Times New Roman"/>
          <w:b/>
          <w:bCs/>
          <w:i w:val="false"/>
          <w:iCs w:val="false"/>
          <w:sz w:val="22"/>
          <w:szCs w:val="22"/>
        </w:rPr>
        <w:t xml:space="preserve">Skilled birth attendance by region, Ethiopia EDHS 2024–25.</w:t>
      </w:r>
      <w:r>
        <w:rPr>
          <w:rFonts w:ascii="Times New Roman" w:cs="Times New Roman" w:eastAsia="Times New Roman" w:hAnsi="Times New Roman"/>
          <w:b w:val="false"/>
          <w:bCs w:val="false"/>
          <w:i w:val="false"/>
          <w:iCs w:val="false"/>
          <w:sz w:val="22"/>
          <w:szCs w:val="22"/>
        </w:rPr>
        <w:t xml:space="preserve"> Percentage of live births in the two years preceding the survey delivered by a skilled provider. The dashed line marks the national average (64.0 percent).</w:t>
      </w:r>
    </w:p>
    <w:p>
      <w:r>
        <w:br w:type="page"/>
      </w:r>
    </w:p>
    <w:p>
      <w:pPr>
        <w:spacing w:after="60" w:before="160" w:line="240"/>
        <w:jc w:val="center"/>
      </w:pPr>
      <w:r>
        <w:drawing>
          <wp:inline distT="0" distB="0" distL="0" distR="0">
            <wp:extent cx="4191000" cy="36004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 cstate="none"/>
                    <a:srcRect/>
                    <a:stretch>
                      <a:fillRect/>
                    </a:stretch>
                  </pic:blipFill>
                  <pic:spPr bwMode="auto">
                    <a:xfrm>
                      <a:off x="0" y="0"/>
                      <a:ext cx="4191000" cy="3600450"/>
                    </a:xfrm>
                    <a:prstGeom prst="rect">
                      <a:avLst/>
                    </a:prstGeom>
                  </pic:spPr>
                </pic:pic>
              </a:graphicData>
            </a:graphic>
          </wp:inline>
        </w:drawing>
      </w:r>
    </w:p>
    <w:p>
      <w:pPr>
        <w:spacing w:after="220" w:before="0" w:line="240" w:lineRule="auto"/>
        <w:jc w:val="both"/>
      </w:pPr>
      <w:r>
        <w:rPr>
          <w:rFonts w:ascii="Times New Roman" w:cs="Times New Roman" w:eastAsia="Times New Roman" w:hAnsi="Times New Roman"/>
          <w:b/>
          <w:bCs/>
          <w:i w:val="false"/>
          <w:iCs w:val="false"/>
          <w:sz w:val="22"/>
          <w:szCs w:val="22"/>
        </w:rPr>
        <w:t xml:space="preserve">Supplementary Figure S8. </w:t>
      </w:r>
      <w:r>
        <w:rPr>
          <w:rFonts w:ascii="Times New Roman" w:cs="Times New Roman" w:eastAsia="Times New Roman" w:hAnsi="Times New Roman"/>
          <w:b/>
          <w:bCs/>
          <w:i w:val="false"/>
          <w:iCs w:val="false"/>
          <w:sz w:val="22"/>
          <w:szCs w:val="22"/>
        </w:rPr>
        <w:t xml:space="preserve">Regional performance matrix (heat map) across ten key indicators, Ethiopia EDHS 2024–25.</w:t>
      </w:r>
      <w:r>
        <w:rPr>
          <w:rFonts w:ascii="Times New Roman" w:cs="Times New Roman" w:eastAsia="Times New Roman" w:hAnsi="Times New Roman"/>
          <w:b w:val="false"/>
          <w:bCs w:val="false"/>
          <w:i w:val="false"/>
          <w:iCs w:val="false"/>
          <w:sz w:val="22"/>
          <w:szCs w:val="22"/>
        </w:rPr>
        <w:t xml:space="preserve"> Cell shading is normalized within each indicator (column) so that green denotes relatively better and red relatively worse performance; for zero-dose prevalence, stunting and teenage pregnancy the shading is inverted so that lower prevalence displays as green. Cell values are the indicator percentages from Supplementary Table S1. This matrix is summarized in main-text Fig. 6.</w:t>
      </w:r>
    </w:p>
    <w:p>
      <w:r>
        <w:br w:type="page"/>
      </w:r>
    </w:p>
    <w:p>
      <w:pPr>
        <w:spacing w:after="60" w:before="160" w:line="240"/>
        <w:jc w:val="center"/>
      </w:pPr>
      <w:r>
        <w:drawing>
          <wp:inline distT="0" distB="0" distL="0" distR="0">
            <wp:extent cx="5191125" cy="38290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 cstate="none"/>
                    <a:srcRect/>
                    <a:stretch>
                      <a:fillRect/>
                    </a:stretch>
                  </pic:blipFill>
                  <pic:spPr bwMode="auto">
                    <a:xfrm>
                      <a:off x="0" y="0"/>
                      <a:ext cx="5191125" cy="3829050"/>
                    </a:xfrm>
                    <a:prstGeom prst="rect">
                      <a:avLst/>
                    </a:prstGeom>
                  </pic:spPr>
                </pic:pic>
              </a:graphicData>
            </a:graphic>
          </wp:inline>
        </w:drawing>
      </w:r>
    </w:p>
    <w:p>
      <w:pPr>
        <w:spacing w:after="220" w:before="0" w:line="240" w:lineRule="auto"/>
        <w:jc w:val="both"/>
      </w:pPr>
      <w:r>
        <w:rPr>
          <w:rFonts w:ascii="Times New Roman" w:cs="Times New Roman" w:eastAsia="Times New Roman" w:hAnsi="Times New Roman"/>
          <w:b/>
          <w:bCs/>
          <w:i w:val="false"/>
          <w:iCs w:val="false"/>
          <w:sz w:val="22"/>
          <w:szCs w:val="22"/>
        </w:rPr>
        <w:t xml:space="preserve">Supplementary Figure S9. </w:t>
      </w:r>
      <w:r>
        <w:rPr>
          <w:rFonts w:ascii="Times New Roman" w:cs="Times New Roman" w:eastAsia="Times New Roman" w:hAnsi="Times New Roman"/>
          <w:b/>
          <w:bCs/>
          <w:i w:val="false"/>
          <w:iCs w:val="false"/>
          <w:sz w:val="22"/>
          <w:szCs w:val="22"/>
        </w:rPr>
        <w:t xml:space="preserve">Regional association between antenatal care completion (4+ visits) and skilled birth attendance, Ethiopia EDHS 2024–25.</w:t>
      </w:r>
      <w:r>
        <w:rPr>
          <w:rFonts w:ascii="Times New Roman" w:cs="Times New Roman" w:eastAsia="Times New Roman" w:hAnsi="Times New Roman"/>
          <w:b w:val="false"/>
          <w:bCs w:val="false"/>
          <w:i w:val="false"/>
          <w:iCs w:val="false"/>
          <w:sz w:val="22"/>
          <w:szCs w:val="22"/>
        </w:rPr>
        <w:t xml:space="preserve"> Dotted reference lines mark the national averages (53.0 and 64.0 percent) and the dashed line is the linear fit across the fourteen regions and city administrations. Colours distinguish city administrations, agrarian/highland regions, emerging regions and pastoralist regions.</w:t>
      </w:r>
    </w:p>
    <w:p>
      <w:r>
        <w:br w:type="page"/>
      </w:r>
    </w:p>
    <w:p>
      <w:pPr>
        <w:spacing w:after="60" w:before="160" w:line="240"/>
        <w:jc w:val="center"/>
      </w:pPr>
      <w:r>
        <w:drawing>
          <wp:inline distT="0" distB="0" distL="0" distR="0">
            <wp:extent cx="5191125" cy="2476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 cstate="none"/>
                    <a:srcRect/>
                    <a:stretch>
                      <a:fillRect/>
                    </a:stretch>
                  </pic:blipFill>
                  <pic:spPr bwMode="auto">
                    <a:xfrm>
                      <a:off x="0" y="0"/>
                      <a:ext cx="5191125" cy="2476500"/>
                    </a:xfrm>
                    <a:prstGeom prst="rect">
                      <a:avLst/>
                    </a:prstGeom>
                  </pic:spPr>
                </pic:pic>
              </a:graphicData>
            </a:graphic>
          </wp:inline>
        </w:drawing>
      </w:r>
    </w:p>
    <w:p>
      <w:pPr>
        <w:spacing w:after="220" w:before="0" w:line="240" w:lineRule="auto"/>
        <w:jc w:val="both"/>
      </w:pPr>
      <w:r>
        <w:rPr>
          <w:rFonts w:ascii="Times New Roman" w:cs="Times New Roman" w:eastAsia="Times New Roman" w:hAnsi="Times New Roman"/>
          <w:b/>
          <w:bCs/>
          <w:i w:val="false"/>
          <w:iCs w:val="false"/>
          <w:sz w:val="22"/>
          <w:szCs w:val="22"/>
        </w:rPr>
        <w:t xml:space="preserve">Supplementary Figure S10. </w:t>
      </w:r>
      <w:r>
        <w:rPr>
          <w:rFonts w:ascii="Times New Roman" w:cs="Times New Roman" w:eastAsia="Times New Roman" w:hAnsi="Times New Roman"/>
          <w:b/>
          <w:bCs/>
          <w:i w:val="false"/>
          <w:iCs w:val="false"/>
          <w:sz w:val="22"/>
          <w:szCs w:val="22"/>
        </w:rPr>
        <w:t xml:space="preserve">Regional ranking of zero-dose prevalence among children aged 12–23 months, Ethiopia EDHS 2024–25.</w:t>
      </w:r>
      <w:r>
        <w:rPr>
          <w:rFonts w:ascii="Times New Roman" w:cs="Times New Roman" w:eastAsia="Times New Roman" w:hAnsi="Times New Roman"/>
          <w:b w:val="false"/>
          <w:bCs w:val="false"/>
          <w:i w:val="false"/>
          <w:iCs w:val="false"/>
          <w:sz w:val="22"/>
          <w:szCs w:val="22"/>
        </w:rPr>
        <w:t xml:space="preserve"> Percentage of children who received no vaccinations. The dashed line marks the national average (19.8 percent). Red denotes substantially worse than the national average, orange worse, and green better.</w:t>
      </w:r>
    </w:p>
    <w:p>
      <w:r>
        <w:br w:type="page"/>
      </w:r>
    </w:p>
    <w:p>
      <w:pPr>
        <w:spacing w:after="60" w:before="160" w:line="240"/>
        <w:jc w:val="center"/>
      </w:pPr>
      <w:r>
        <w:drawing>
          <wp:inline distT="0" distB="0" distL="0" distR="0">
            <wp:extent cx="5191125" cy="29146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 cstate="none"/>
                    <a:srcRect/>
                    <a:stretch>
                      <a:fillRect/>
                    </a:stretch>
                  </pic:blipFill>
                  <pic:spPr bwMode="auto">
                    <a:xfrm>
                      <a:off x="0" y="0"/>
                      <a:ext cx="5191125" cy="2914650"/>
                    </a:xfrm>
                    <a:prstGeom prst="rect">
                      <a:avLst/>
                    </a:prstGeom>
                  </pic:spPr>
                </pic:pic>
              </a:graphicData>
            </a:graphic>
          </wp:inline>
        </w:drawing>
      </w:r>
    </w:p>
    <w:p>
      <w:pPr>
        <w:spacing w:after="220" w:before="0" w:line="240" w:lineRule="auto"/>
        <w:jc w:val="both"/>
      </w:pPr>
      <w:r>
        <w:rPr>
          <w:rFonts w:ascii="Times New Roman" w:cs="Times New Roman" w:eastAsia="Times New Roman" w:hAnsi="Times New Roman"/>
          <w:b/>
          <w:bCs/>
          <w:i w:val="false"/>
          <w:iCs w:val="false"/>
          <w:sz w:val="22"/>
          <w:szCs w:val="22"/>
        </w:rPr>
        <w:t xml:space="preserve">Supplementary Figure S11. </w:t>
      </w:r>
      <w:r>
        <w:rPr>
          <w:rFonts w:ascii="Times New Roman" w:cs="Times New Roman" w:eastAsia="Times New Roman" w:hAnsi="Times New Roman"/>
          <w:b/>
          <w:bCs/>
          <w:i w:val="false"/>
          <w:iCs w:val="false"/>
          <w:sz w:val="22"/>
          <w:szCs w:val="22"/>
        </w:rPr>
        <w:t xml:space="preserve">Regional ranking of stunting prevalence among children under five, Ethiopia EDHS 2024–25.</w:t>
      </w:r>
      <w:r>
        <w:rPr>
          <w:rFonts w:ascii="Times New Roman" w:cs="Times New Roman" w:eastAsia="Times New Roman" w:hAnsi="Times New Roman"/>
          <w:b w:val="false"/>
          <w:bCs w:val="false"/>
          <w:i w:val="false"/>
          <w:iCs w:val="false"/>
          <w:sz w:val="22"/>
          <w:szCs w:val="22"/>
        </w:rPr>
        <w:t xml:space="preserve"> The dashed line marks the national average (39.9 percent). Red denotes substantially worse than the national average, orange worse, and green better.</w:t>
      </w:r>
    </w:p>
    <w:sectPr>
      <w:headerReference w:type="default" r:id="rId7"/>
      <w:footerReference w:type="default" r:id="rId8"/>
      <w:pgSz w:w="12240" w:h="15840" w:orient="portrait"/>
      <w:pgMar w:top="1300" w:right="1300" w:bottom="1300" w:left="13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Times New Roman" w:cs="Times New Roman" w:eastAsia="Times New Roman" w:hAnsi="Times New Roman"/>
        <w:sz w:val="16"/>
        <w:szCs w:val="16"/>
      </w:rPr>
      <w:t xml:space="preserve">S</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Times New Roman" w:cs="Times New Roman" w:eastAsia="Times New Roman" w:hAnsi="Times New Roman"/>
        <w:b w:val="false"/>
        <w:bCs w:val="false"/>
        <w:i/>
        <w:iCs/>
        <w:sz w:val="16"/>
        <w:szCs w:val="16"/>
      </w:rPr>
      <w:t xml:space="preserve">Additional file 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2e6ecd27b1aa2fc8c0ea34178fdb4fa36fc5f41a.png"/><Relationship Id="rId10" Type="http://schemas.openxmlformats.org/officeDocument/2006/relationships/image" Target="media/853b1dcd63852686e89997ba0b95c8de9c9cf0a6.png"/><Relationship Id="rId11" Type="http://schemas.openxmlformats.org/officeDocument/2006/relationships/image" Target="media/63c8c6ce6ae6b14a441a11609901c90fd34baae5.png"/><Relationship Id="rId12" Type="http://schemas.openxmlformats.org/officeDocument/2006/relationships/image" Target="media/6150afbb8b62519be7f1596043940ad5ff8e5a89.png"/><Relationship Id="rId13" Type="http://schemas.openxmlformats.org/officeDocument/2006/relationships/image" Target="media/ee4a276fde1e6616b8a149a902e1ffe9692822b2.png"/><Relationship Id="rId14" Type="http://schemas.openxmlformats.org/officeDocument/2006/relationships/image" Target="media/a05354389407eff6d14c1fc8b5084d23d332a941.png"/><Relationship Id="rId15" Type="http://schemas.openxmlformats.org/officeDocument/2006/relationships/image" Target="media/935635d4779d1a2f3f0cf1e5166349aac3eac60c.png"/><Relationship Id="rId16" Type="http://schemas.openxmlformats.org/officeDocument/2006/relationships/image" Target="media/e4483b4155d0905e80ff3fc587a3f471d01476a6.png"/><Relationship Id="rId17" Type="http://schemas.openxmlformats.org/officeDocument/2006/relationships/image" Target="media/df1d56d27b2dd4c759b94bd451e38a8b889251fa.png"/><Relationship Id="rId18" Type="http://schemas.openxmlformats.org/officeDocument/2006/relationships/image" Target="media/cd0a53ceac23f2f5fdbda139dc82f039b10ba1f8.png"/><Relationship Id="rId19" Type="http://schemas.openxmlformats.org/officeDocument/2006/relationships/image" Target="media/3653165cd4342cd694d38584de56831fb08815ca.png"/><Relationship Id="rId2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file 1 - Supplementary tables and figures</dc:title>
  <dc:creator>Amnie &amp; Nigussie</dc:creator>
  <cp:lastModifiedBy>Un-named</cp:lastModifiedBy>
  <cp:revision>1</cp:revision>
  <dcterms:created xsi:type="dcterms:W3CDTF">2026-07-18T23:23:52.552Z</dcterms:created>
  <dcterms:modified xsi:type="dcterms:W3CDTF">2026-07-18T23:23:52.552Z</dcterms:modified>
</cp:coreProperties>
</file>

<file path=docProps/custom.xml><?xml version="1.0" encoding="utf-8"?>
<Properties xmlns="http://schemas.openxmlformats.org/officeDocument/2006/custom-properties" xmlns:vt="http://schemas.openxmlformats.org/officeDocument/2006/docPropsVTypes"/>
</file>