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297B4" w14:textId="77777777" w:rsidR="005F0142" w:rsidRPr="00D005DC" w:rsidRDefault="005F0142" w:rsidP="005F0142">
      <w:pPr>
        <w:pStyle w:val="Heading1"/>
        <w:spacing w:line="360" w:lineRule="auto"/>
        <w:rPr>
          <w:rFonts w:asciiTheme="majorBidi" w:hAnsiTheme="majorBidi"/>
          <w:sz w:val="24"/>
          <w:szCs w:val="24"/>
        </w:rPr>
      </w:pPr>
      <w:r w:rsidRPr="00D005DC">
        <w:rPr>
          <w:rFonts w:asciiTheme="majorBidi" w:hAnsiTheme="majorBidi"/>
          <w:sz w:val="24"/>
          <w:szCs w:val="24"/>
        </w:rPr>
        <w:t>Appendix A. Reproducible calculation rules</w:t>
      </w:r>
    </w:p>
    <w:p w14:paraId="3CD29761" w14:textId="77777777" w:rsidR="005F0142" w:rsidRPr="00D005DC" w:rsidRDefault="005F0142" w:rsidP="005F0142">
      <w:pPr>
        <w:spacing w:line="360" w:lineRule="auto"/>
        <w:rPr>
          <w:rFonts w:asciiTheme="majorBidi" w:hAnsiTheme="majorBidi" w:cstheme="majorBidi"/>
          <w:sz w:val="24"/>
          <w:szCs w:val="24"/>
        </w:rPr>
      </w:pPr>
      <w:r w:rsidRPr="00D005DC">
        <w:rPr>
          <w:rFonts w:asciiTheme="majorBidi" w:hAnsiTheme="majorBidi" w:cstheme="majorBidi"/>
          <w:sz w:val="24"/>
          <w:szCs w:val="24"/>
        </w:rPr>
        <w:t>For household h in the formal maximum branch, monthly resources are R_h = 5,000 + 300C_1-3,h + 100C_4-6,h + min(50D_h, 300), where C_1-3,h is the number of eligible children among the first three, C_4-6,h is the number among children four through six, and D_h is the number of recognised dependants. The conservative cash branch excludes the dependant tax reduction. The unprotected equal-earnings branch sets family-linked additions to zero. The modified OECD weights are 1.0, 1.5, 1.8, 2.1, 2.4, 2.7, 3.0 and 3.3 for H1-H8. Equivalent income equals R_h divided by the corresponding weight.</w:t>
      </w:r>
    </w:p>
    <w:p w14:paraId="7606268C" w14:textId="77777777" w:rsidR="005F0142" w:rsidRPr="00D005DC" w:rsidRDefault="005F0142" w:rsidP="005F0142">
      <w:pPr>
        <w:spacing w:line="360" w:lineRule="auto"/>
        <w:rPr>
          <w:rFonts w:asciiTheme="majorBidi" w:hAnsiTheme="majorBidi" w:cstheme="majorBidi"/>
          <w:sz w:val="24"/>
          <w:szCs w:val="24"/>
        </w:rPr>
      </w:pPr>
      <w:r w:rsidRPr="00D005DC">
        <w:rPr>
          <w:rFonts w:asciiTheme="majorBidi" w:hAnsiTheme="majorBidi" w:cstheme="majorBidi"/>
          <w:sz w:val="24"/>
          <w:szCs w:val="24"/>
        </w:rPr>
        <w:t>FWAR_hgr = R_hr/B_hg. The Family Transition Penalty is 1 - (FWAR_h/FWAR_s). The required base wage is B_h minus maximum family-linked additions. Geographic budgets apply the multipliers in Table 3 to the housing and non-housing components of Table 2. All monthly values are rounded to the nearest dirham; ratios are rounded to two decimals.</w:t>
      </w:r>
    </w:p>
    <w:p w14:paraId="6501BF8B" w14:textId="77777777" w:rsidR="005F0142" w:rsidRPr="00D005DC" w:rsidRDefault="005F0142" w:rsidP="005F0142">
      <w:pPr>
        <w:spacing w:line="360" w:lineRule="auto"/>
        <w:rPr>
          <w:rFonts w:asciiTheme="majorBidi" w:hAnsiTheme="majorBidi" w:cstheme="majorBidi"/>
          <w:sz w:val="24"/>
          <w:szCs w:val="24"/>
        </w:rPr>
      </w:pPr>
      <w:r w:rsidRPr="00D005DC">
        <w:rPr>
          <w:rFonts w:asciiTheme="majorBidi" w:hAnsiTheme="majorBidi" w:cstheme="majorBidi"/>
          <w:sz w:val="24"/>
          <w:szCs w:val="24"/>
        </w:rPr>
        <w:t>Annual H5 fiscal cost equals the monthly incremental household package x 12 x eligible households. Doubling the allowance for three children adds 900 x 12 = MAD 10,800 per H5 household. Replacing the maximum MAD 50 monthly reduction for each of four dependants with a refundable MAD 300 credit adds (300 - 50) x 4 x 12 = MAD 12,000. The combined increment is MAD 22,800, and the 50 per cent gap supplement is 1,800 x 12 = MAD 21,600. The full annual H5 gap is 3,600 x 12 = MAD 43,200. The mechanical maximum number of full-gap crossings from envelope F is floor(F/43,200). For the indexation stress test, the post-shock basket is 3,300(1.05) + 6,400(1.02) = MAD 9,993. Child-allowance indexation at rate pi changes monthly resources to 5,000 + 900(1 + pi) + 200. For the financing-incidence test, a gross transfer G produces net household gain G(1 - r), where r is the assumed household recapture share. The four-to-six-child extension adds MAD 1,250 to the basket for each additional child, applies MAD 100 monthly allowance for each child after the third up to the sixth, and respects the MAD 300 monthly ceiling on dependant tax recognition.</w:t>
      </w:r>
    </w:p>
    <w:p w14:paraId="0F1E2CE9" w14:textId="77777777" w:rsidR="005F0142" w:rsidRPr="00D005DC" w:rsidRDefault="005F0142" w:rsidP="005F0142">
      <w:pPr>
        <w:pStyle w:val="Heading1"/>
        <w:spacing w:line="360" w:lineRule="auto"/>
        <w:rPr>
          <w:rFonts w:asciiTheme="majorBidi" w:hAnsiTheme="majorBidi"/>
          <w:sz w:val="24"/>
          <w:szCs w:val="24"/>
        </w:rPr>
      </w:pPr>
      <w:r w:rsidRPr="00D005DC">
        <w:rPr>
          <w:rFonts w:asciiTheme="majorBidi" w:hAnsiTheme="majorBidi"/>
          <w:sz w:val="24"/>
          <w:szCs w:val="24"/>
        </w:rPr>
        <w:t>Appendix B. Qualitative validation protocol</w:t>
      </w:r>
    </w:p>
    <w:p w14:paraId="13ADB253" w14:textId="77777777" w:rsidR="005F0142" w:rsidRPr="00D005DC" w:rsidRDefault="005F0142" w:rsidP="005F0142">
      <w:pPr>
        <w:spacing w:line="360" w:lineRule="auto"/>
        <w:rPr>
          <w:rFonts w:asciiTheme="majorBidi" w:hAnsiTheme="majorBidi" w:cstheme="majorBidi"/>
          <w:sz w:val="24"/>
          <w:szCs w:val="24"/>
        </w:rPr>
      </w:pPr>
      <w:r w:rsidRPr="00D005DC">
        <w:rPr>
          <w:rFonts w:asciiTheme="majorBidi" w:hAnsiTheme="majorBidi" w:cstheme="majorBidi"/>
          <w:sz w:val="24"/>
          <w:szCs w:val="24"/>
        </w:rPr>
        <w:t>A follow-up study should purposively sample formal protected employees, undeclared or irregular workers, one- and two-earner couples, single parents, tenants, owners and co-resident extended families across at least three cost environments. Where safe and ethical, partners should be interviewed separately as well as jointly. Core modules should cover: control of wages and benefits; allocation of food, health, education and personal expenditure; childcare and transport costs; kin transfers; debt and arrears; overcrowding; sacrifices after childbirth; labour-force entry or exit; and the amount respondents consider necessary for a decent but non-luxurious life.</w:t>
      </w:r>
    </w:p>
    <w:p w14:paraId="099EDF2A" w14:textId="77777777" w:rsidR="005F0142" w:rsidRPr="00D005DC" w:rsidRDefault="005F0142" w:rsidP="005F0142">
      <w:pPr>
        <w:spacing w:line="360" w:lineRule="auto"/>
        <w:rPr>
          <w:rFonts w:asciiTheme="majorBidi" w:hAnsiTheme="majorBidi" w:cstheme="majorBidi"/>
          <w:sz w:val="24"/>
          <w:szCs w:val="24"/>
        </w:rPr>
      </w:pPr>
      <w:r w:rsidRPr="00D005DC">
        <w:rPr>
          <w:rFonts w:asciiTheme="majorBidi" w:hAnsiTheme="majorBidi" w:cstheme="majorBidi"/>
          <w:sz w:val="24"/>
          <w:szCs w:val="24"/>
        </w:rPr>
        <w:lastRenderedPageBreak/>
        <w:t>The qualitative evidence should be used to test three model assumptions: whether resources are pooled, whether the basket categories correspond to experienced necessities, and whether coping mechanisms impose non-monetary costs. Member-specific diaries can operationalise IAC by recording which person received each good or service and which needs were postponed. This would connect aggregate budget sufficiency with gender, age and bargaining power inside the household.</w:t>
      </w:r>
    </w:p>
    <w:p w14:paraId="2EE40CE6" w14:textId="77777777" w:rsidR="005F0142" w:rsidRPr="00D005DC" w:rsidRDefault="005F0142" w:rsidP="005F0142">
      <w:pPr>
        <w:pStyle w:val="Heading1"/>
        <w:spacing w:line="360" w:lineRule="auto"/>
        <w:rPr>
          <w:rFonts w:asciiTheme="majorBidi" w:hAnsiTheme="majorBidi"/>
          <w:sz w:val="24"/>
          <w:szCs w:val="24"/>
        </w:rPr>
      </w:pPr>
      <w:r w:rsidRPr="00D005DC">
        <w:rPr>
          <w:rFonts w:asciiTheme="majorBidi" w:hAnsiTheme="majorBidi"/>
          <w:sz w:val="24"/>
          <w:szCs w:val="24"/>
        </w:rPr>
        <w:t>Appendix C. Larger-family and implementation sensitivity</w:t>
      </w:r>
    </w:p>
    <w:p w14:paraId="7DCFA7B2" w14:textId="77777777" w:rsidR="005F0142" w:rsidRPr="00D005DC" w:rsidRDefault="005F0142" w:rsidP="005F0142">
      <w:pPr>
        <w:spacing w:line="360" w:lineRule="auto"/>
        <w:rPr>
          <w:rFonts w:asciiTheme="majorBidi" w:hAnsiTheme="majorBidi" w:cstheme="majorBidi"/>
          <w:sz w:val="24"/>
          <w:szCs w:val="24"/>
        </w:rPr>
      </w:pPr>
      <w:r w:rsidRPr="00D005DC">
        <w:rPr>
          <w:rFonts w:asciiTheme="majorBidi" w:hAnsiTheme="majorBidi" w:cstheme="majorBidi"/>
          <w:sz w:val="24"/>
          <w:szCs w:val="24"/>
        </w:rPr>
        <w:t>Table C1 extends the synthetic life-course trajectory beyond the three-child baseline because the statutory schedule changes after the third child. This is an analytical extension, not an estimate of the prevalence or observed expenditure of larger Moroccan families. The basket continues to add MAD 1,250 for each additional child, while the allowance falls to MAD 100 for children four through six. Maximum tax recognition rises by MAD 50 for the fourth and fifth child but does not rise for the sixth because the annual ceiling has been reached.</w:t>
      </w:r>
    </w:p>
    <w:p w14:paraId="22615732" w14:textId="77777777" w:rsidR="005F0142" w:rsidRPr="00D005DC" w:rsidRDefault="005F0142" w:rsidP="005F0142">
      <w:pPr>
        <w:pStyle w:val="TableCaption"/>
        <w:spacing w:line="360" w:lineRule="auto"/>
        <w:rPr>
          <w:rFonts w:asciiTheme="majorBidi" w:hAnsiTheme="majorBidi" w:cstheme="majorBidi"/>
          <w:sz w:val="24"/>
          <w:szCs w:val="24"/>
        </w:rPr>
      </w:pPr>
      <w:r w:rsidRPr="00D005DC">
        <w:rPr>
          <w:rFonts w:asciiTheme="majorBidi" w:hAnsiTheme="majorBidi" w:cstheme="majorBidi"/>
          <w:sz w:val="24"/>
          <w:szCs w:val="24"/>
        </w:rPr>
        <w:t>Table C1. Synthetic extension from three to six children</w:t>
      </w:r>
    </w:p>
    <w:tbl>
      <w:tblPr>
        <w:tblStyle w:val="TableGrid"/>
        <w:tblW w:w="0" w:type="auto"/>
        <w:jc w:val="center"/>
        <w:tblLook w:val="04A0" w:firstRow="1" w:lastRow="0" w:firstColumn="1" w:lastColumn="0" w:noHBand="0" w:noVBand="1"/>
      </w:tblPr>
      <w:tblGrid>
        <w:gridCol w:w="904"/>
        <w:gridCol w:w="1236"/>
        <w:gridCol w:w="1291"/>
        <w:gridCol w:w="1357"/>
        <w:gridCol w:w="1203"/>
        <w:gridCol w:w="1081"/>
        <w:gridCol w:w="1402"/>
        <w:gridCol w:w="1268"/>
      </w:tblGrid>
      <w:tr w:rsidR="005F0142" w:rsidRPr="00D005DC" w14:paraId="4CDBA764" w14:textId="77777777" w:rsidTr="009A1571">
        <w:trPr>
          <w:tblHeader/>
          <w:jc w:val="center"/>
        </w:trPr>
        <w:tc>
          <w:tcPr>
            <w:tcW w:w="1219" w:type="dxa"/>
            <w:shd w:val="clear" w:color="auto" w:fill="D9E2F3"/>
            <w:vAlign w:val="center"/>
          </w:tcPr>
          <w:p w14:paraId="0B5AD2A3" w14:textId="77777777" w:rsidR="005F0142" w:rsidRPr="00D005DC" w:rsidRDefault="005F0142" w:rsidP="009A1571">
            <w:pPr>
              <w:spacing w:after="0" w:line="360" w:lineRule="auto"/>
              <w:jc w:val="left"/>
              <w:rPr>
                <w:rFonts w:asciiTheme="majorBidi" w:hAnsiTheme="majorBidi" w:cstheme="majorBidi"/>
                <w:sz w:val="24"/>
                <w:szCs w:val="24"/>
              </w:rPr>
            </w:pPr>
            <w:r w:rsidRPr="00D005DC">
              <w:rPr>
                <w:rFonts w:asciiTheme="majorBidi" w:hAnsiTheme="majorBidi" w:cstheme="majorBidi"/>
                <w:b/>
                <w:sz w:val="24"/>
                <w:szCs w:val="24"/>
              </w:rPr>
              <w:t>State</w:t>
            </w:r>
          </w:p>
        </w:tc>
        <w:tc>
          <w:tcPr>
            <w:tcW w:w="1219" w:type="dxa"/>
            <w:shd w:val="clear" w:color="auto" w:fill="D9E2F3"/>
            <w:vAlign w:val="center"/>
          </w:tcPr>
          <w:p w14:paraId="364F76E8"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Children</w:t>
            </w:r>
          </w:p>
        </w:tc>
        <w:tc>
          <w:tcPr>
            <w:tcW w:w="1219" w:type="dxa"/>
            <w:shd w:val="clear" w:color="auto" w:fill="D9E2F3"/>
            <w:vAlign w:val="center"/>
          </w:tcPr>
          <w:p w14:paraId="219164E5"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Adequate budget</w:t>
            </w:r>
          </w:p>
        </w:tc>
        <w:tc>
          <w:tcPr>
            <w:tcW w:w="1219" w:type="dxa"/>
            <w:shd w:val="clear" w:color="auto" w:fill="D9E2F3"/>
            <w:vAlign w:val="center"/>
          </w:tcPr>
          <w:p w14:paraId="61D86B06"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Maximum resources</w:t>
            </w:r>
          </w:p>
        </w:tc>
        <w:tc>
          <w:tcPr>
            <w:tcW w:w="1219" w:type="dxa"/>
            <w:shd w:val="clear" w:color="auto" w:fill="D9E2F3"/>
            <w:vAlign w:val="center"/>
          </w:tcPr>
          <w:p w14:paraId="468EAA1C"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Monthly gap</w:t>
            </w:r>
          </w:p>
        </w:tc>
        <w:tc>
          <w:tcPr>
            <w:tcW w:w="1219" w:type="dxa"/>
            <w:shd w:val="clear" w:color="auto" w:fill="D9E2F3"/>
            <w:vAlign w:val="center"/>
          </w:tcPr>
          <w:p w14:paraId="6A20C159"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FWAR</w:t>
            </w:r>
          </w:p>
        </w:tc>
        <w:tc>
          <w:tcPr>
            <w:tcW w:w="1219" w:type="dxa"/>
            <w:shd w:val="clear" w:color="auto" w:fill="D9E2F3"/>
            <w:vAlign w:val="center"/>
          </w:tcPr>
          <w:p w14:paraId="05A6509F"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Equivalent income</w:t>
            </w:r>
          </w:p>
        </w:tc>
        <w:tc>
          <w:tcPr>
            <w:tcW w:w="1219" w:type="dxa"/>
            <w:shd w:val="clear" w:color="auto" w:fill="D9E2F3"/>
            <w:vAlign w:val="center"/>
          </w:tcPr>
          <w:p w14:paraId="586F9CB5"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Marginal support for added child</w:t>
            </w:r>
          </w:p>
        </w:tc>
      </w:tr>
      <w:tr w:rsidR="005F0142" w:rsidRPr="00D005DC" w14:paraId="23D39B4E" w14:textId="77777777" w:rsidTr="009A1571">
        <w:trPr>
          <w:jc w:val="center"/>
        </w:trPr>
        <w:tc>
          <w:tcPr>
            <w:tcW w:w="1219" w:type="dxa"/>
            <w:vAlign w:val="center"/>
          </w:tcPr>
          <w:p w14:paraId="21B186CA" w14:textId="77777777" w:rsidR="005F0142" w:rsidRPr="00D005DC" w:rsidRDefault="005F0142" w:rsidP="009A1571">
            <w:pPr>
              <w:spacing w:after="0" w:line="360" w:lineRule="auto"/>
              <w:jc w:val="left"/>
              <w:rPr>
                <w:rFonts w:asciiTheme="majorBidi" w:hAnsiTheme="majorBidi" w:cstheme="majorBidi"/>
                <w:sz w:val="24"/>
                <w:szCs w:val="24"/>
              </w:rPr>
            </w:pPr>
            <w:r w:rsidRPr="00D005DC">
              <w:rPr>
                <w:rFonts w:asciiTheme="majorBidi" w:hAnsiTheme="majorBidi" w:cstheme="majorBidi"/>
                <w:sz w:val="24"/>
                <w:szCs w:val="24"/>
              </w:rPr>
              <w:t>H5</w:t>
            </w:r>
          </w:p>
        </w:tc>
        <w:tc>
          <w:tcPr>
            <w:tcW w:w="1219" w:type="dxa"/>
            <w:vAlign w:val="center"/>
          </w:tcPr>
          <w:p w14:paraId="328CB698"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3</w:t>
            </w:r>
          </w:p>
        </w:tc>
        <w:tc>
          <w:tcPr>
            <w:tcW w:w="1219" w:type="dxa"/>
            <w:vAlign w:val="center"/>
          </w:tcPr>
          <w:p w14:paraId="5B45BC6F"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9,700</w:t>
            </w:r>
          </w:p>
        </w:tc>
        <w:tc>
          <w:tcPr>
            <w:tcW w:w="1219" w:type="dxa"/>
            <w:vAlign w:val="center"/>
          </w:tcPr>
          <w:p w14:paraId="1D5AD8A6"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6,100</w:t>
            </w:r>
          </w:p>
        </w:tc>
        <w:tc>
          <w:tcPr>
            <w:tcW w:w="1219" w:type="dxa"/>
            <w:vAlign w:val="center"/>
          </w:tcPr>
          <w:p w14:paraId="4136287A"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-3,600</w:t>
            </w:r>
          </w:p>
        </w:tc>
        <w:tc>
          <w:tcPr>
            <w:tcW w:w="1219" w:type="dxa"/>
            <w:vAlign w:val="center"/>
          </w:tcPr>
          <w:p w14:paraId="55BBB7CC"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0.63</w:t>
            </w:r>
          </w:p>
        </w:tc>
        <w:tc>
          <w:tcPr>
            <w:tcW w:w="1219" w:type="dxa"/>
            <w:vAlign w:val="center"/>
          </w:tcPr>
          <w:p w14:paraId="1D86E108"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2,542</w:t>
            </w:r>
          </w:p>
        </w:tc>
        <w:tc>
          <w:tcPr>
            <w:tcW w:w="1219" w:type="dxa"/>
            <w:vAlign w:val="center"/>
          </w:tcPr>
          <w:p w14:paraId="5A73B42A"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Baseline</w:t>
            </w:r>
          </w:p>
        </w:tc>
      </w:tr>
      <w:tr w:rsidR="005F0142" w:rsidRPr="00D005DC" w14:paraId="17453569" w14:textId="77777777" w:rsidTr="009A1571">
        <w:trPr>
          <w:jc w:val="center"/>
        </w:trPr>
        <w:tc>
          <w:tcPr>
            <w:tcW w:w="1219" w:type="dxa"/>
            <w:vAlign w:val="center"/>
          </w:tcPr>
          <w:p w14:paraId="07F9D655" w14:textId="77777777" w:rsidR="005F0142" w:rsidRPr="00D005DC" w:rsidRDefault="005F0142" w:rsidP="009A1571">
            <w:pPr>
              <w:spacing w:after="0" w:line="360" w:lineRule="auto"/>
              <w:jc w:val="left"/>
              <w:rPr>
                <w:rFonts w:asciiTheme="majorBidi" w:hAnsiTheme="majorBidi" w:cstheme="majorBidi"/>
                <w:sz w:val="24"/>
                <w:szCs w:val="24"/>
              </w:rPr>
            </w:pPr>
            <w:r w:rsidRPr="00D005DC">
              <w:rPr>
                <w:rFonts w:asciiTheme="majorBidi" w:hAnsiTheme="majorBidi" w:cstheme="majorBidi"/>
                <w:sz w:val="24"/>
                <w:szCs w:val="24"/>
              </w:rPr>
              <w:t>H6</w:t>
            </w:r>
          </w:p>
        </w:tc>
        <w:tc>
          <w:tcPr>
            <w:tcW w:w="1219" w:type="dxa"/>
            <w:vAlign w:val="center"/>
          </w:tcPr>
          <w:p w14:paraId="16A029F0"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4</w:t>
            </w:r>
          </w:p>
        </w:tc>
        <w:tc>
          <w:tcPr>
            <w:tcW w:w="1219" w:type="dxa"/>
            <w:vAlign w:val="center"/>
          </w:tcPr>
          <w:p w14:paraId="1975925D"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10,950</w:t>
            </w:r>
          </w:p>
        </w:tc>
        <w:tc>
          <w:tcPr>
            <w:tcW w:w="1219" w:type="dxa"/>
            <w:vAlign w:val="center"/>
          </w:tcPr>
          <w:p w14:paraId="4E7CB9C6"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6,250</w:t>
            </w:r>
          </w:p>
        </w:tc>
        <w:tc>
          <w:tcPr>
            <w:tcW w:w="1219" w:type="dxa"/>
            <w:vAlign w:val="center"/>
          </w:tcPr>
          <w:p w14:paraId="21EFBF6B"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-4,700</w:t>
            </w:r>
          </w:p>
        </w:tc>
        <w:tc>
          <w:tcPr>
            <w:tcW w:w="1219" w:type="dxa"/>
            <w:vAlign w:val="center"/>
          </w:tcPr>
          <w:p w14:paraId="058F2139"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0.57</w:t>
            </w:r>
          </w:p>
        </w:tc>
        <w:tc>
          <w:tcPr>
            <w:tcW w:w="1219" w:type="dxa"/>
            <w:vAlign w:val="center"/>
          </w:tcPr>
          <w:p w14:paraId="5EFA47C5"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2,315</w:t>
            </w:r>
          </w:p>
        </w:tc>
        <w:tc>
          <w:tcPr>
            <w:tcW w:w="1219" w:type="dxa"/>
            <w:vAlign w:val="center"/>
          </w:tcPr>
          <w:p w14:paraId="42A03605"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+150 (12% of added cost)</w:t>
            </w:r>
          </w:p>
        </w:tc>
      </w:tr>
      <w:tr w:rsidR="005F0142" w:rsidRPr="00D005DC" w14:paraId="7A6C4B71" w14:textId="77777777" w:rsidTr="009A1571">
        <w:trPr>
          <w:jc w:val="center"/>
        </w:trPr>
        <w:tc>
          <w:tcPr>
            <w:tcW w:w="1219" w:type="dxa"/>
            <w:vAlign w:val="center"/>
          </w:tcPr>
          <w:p w14:paraId="551EBD95" w14:textId="77777777" w:rsidR="005F0142" w:rsidRPr="00D005DC" w:rsidRDefault="005F0142" w:rsidP="009A1571">
            <w:pPr>
              <w:spacing w:after="0" w:line="360" w:lineRule="auto"/>
              <w:jc w:val="left"/>
              <w:rPr>
                <w:rFonts w:asciiTheme="majorBidi" w:hAnsiTheme="majorBidi" w:cstheme="majorBidi"/>
                <w:sz w:val="24"/>
                <w:szCs w:val="24"/>
              </w:rPr>
            </w:pPr>
            <w:r w:rsidRPr="00D005DC">
              <w:rPr>
                <w:rFonts w:asciiTheme="majorBidi" w:hAnsiTheme="majorBidi" w:cstheme="majorBidi"/>
                <w:sz w:val="24"/>
                <w:szCs w:val="24"/>
              </w:rPr>
              <w:t>H7</w:t>
            </w:r>
          </w:p>
        </w:tc>
        <w:tc>
          <w:tcPr>
            <w:tcW w:w="1219" w:type="dxa"/>
            <w:vAlign w:val="center"/>
          </w:tcPr>
          <w:p w14:paraId="175BDF10"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5</w:t>
            </w:r>
          </w:p>
        </w:tc>
        <w:tc>
          <w:tcPr>
            <w:tcW w:w="1219" w:type="dxa"/>
            <w:vAlign w:val="center"/>
          </w:tcPr>
          <w:p w14:paraId="3A892BCD"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12,200</w:t>
            </w:r>
          </w:p>
        </w:tc>
        <w:tc>
          <w:tcPr>
            <w:tcW w:w="1219" w:type="dxa"/>
            <w:vAlign w:val="center"/>
          </w:tcPr>
          <w:p w14:paraId="3B6219C9"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6,400</w:t>
            </w:r>
          </w:p>
        </w:tc>
        <w:tc>
          <w:tcPr>
            <w:tcW w:w="1219" w:type="dxa"/>
            <w:vAlign w:val="center"/>
          </w:tcPr>
          <w:p w14:paraId="3D840458"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-5,800</w:t>
            </w:r>
          </w:p>
        </w:tc>
        <w:tc>
          <w:tcPr>
            <w:tcW w:w="1219" w:type="dxa"/>
            <w:vAlign w:val="center"/>
          </w:tcPr>
          <w:p w14:paraId="0CA77306"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0.52</w:t>
            </w:r>
          </w:p>
        </w:tc>
        <w:tc>
          <w:tcPr>
            <w:tcW w:w="1219" w:type="dxa"/>
            <w:vAlign w:val="center"/>
          </w:tcPr>
          <w:p w14:paraId="0EF4527F"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2,133</w:t>
            </w:r>
          </w:p>
        </w:tc>
        <w:tc>
          <w:tcPr>
            <w:tcW w:w="1219" w:type="dxa"/>
            <w:vAlign w:val="center"/>
          </w:tcPr>
          <w:p w14:paraId="4E0D9725"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+150 (12% of added cost)</w:t>
            </w:r>
          </w:p>
        </w:tc>
      </w:tr>
      <w:tr w:rsidR="005F0142" w:rsidRPr="00D005DC" w14:paraId="7706AD7A" w14:textId="77777777" w:rsidTr="009A1571">
        <w:trPr>
          <w:jc w:val="center"/>
        </w:trPr>
        <w:tc>
          <w:tcPr>
            <w:tcW w:w="1219" w:type="dxa"/>
            <w:vAlign w:val="center"/>
          </w:tcPr>
          <w:p w14:paraId="2797288F" w14:textId="77777777" w:rsidR="005F0142" w:rsidRPr="00D005DC" w:rsidRDefault="005F0142" w:rsidP="009A1571">
            <w:pPr>
              <w:spacing w:after="0" w:line="360" w:lineRule="auto"/>
              <w:jc w:val="left"/>
              <w:rPr>
                <w:rFonts w:asciiTheme="majorBidi" w:hAnsiTheme="majorBidi" w:cstheme="majorBidi"/>
                <w:sz w:val="24"/>
                <w:szCs w:val="24"/>
              </w:rPr>
            </w:pPr>
            <w:r w:rsidRPr="00D005DC">
              <w:rPr>
                <w:rFonts w:asciiTheme="majorBidi" w:hAnsiTheme="majorBidi" w:cstheme="majorBidi"/>
                <w:sz w:val="24"/>
                <w:szCs w:val="24"/>
              </w:rPr>
              <w:t>H8</w:t>
            </w:r>
          </w:p>
        </w:tc>
        <w:tc>
          <w:tcPr>
            <w:tcW w:w="1219" w:type="dxa"/>
            <w:vAlign w:val="center"/>
          </w:tcPr>
          <w:p w14:paraId="6CFBCF30"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6</w:t>
            </w:r>
          </w:p>
        </w:tc>
        <w:tc>
          <w:tcPr>
            <w:tcW w:w="1219" w:type="dxa"/>
            <w:vAlign w:val="center"/>
          </w:tcPr>
          <w:p w14:paraId="13484B18"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13,450</w:t>
            </w:r>
          </w:p>
        </w:tc>
        <w:tc>
          <w:tcPr>
            <w:tcW w:w="1219" w:type="dxa"/>
            <w:vAlign w:val="center"/>
          </w:tcPr>
          <w:p w14:paraId="57758580"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6,500</w:t>
            </w:r>
          </w:p>
        </w:tc>
        <w:tc>
          <w:tcPr>
            <w:tcW w:w="1219" w:type="dxa"/>
            <w:vAlign w:val="center"/>
          </w:tcPr>
          <w:p w14:paraId="528F58AA"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-6,950</w:t>
            </w:r>
          </w:p>
        </w:tc>
        <w:tc>
          <w:tcPr>
            <w:tcW w:w="1219" w:type="dxa"/>
            <w:vAlign w:val="center"/>
          </w:tcPr>
          <w:p w14:paraId="60495171"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0.48</w:t>
            </w:r>
          </w:p>
        </w:tc>
        <w:tc>
          <w:tcPr>
            <w:tcW w:w="1219" w:type="dxa"/>
            <w:vAlign w:val="center"/>
          </w:tcPr>
          <w:p w14:paraId="77C6342A"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1,970</w:t>
            </w:r>
          </w:p>
        </w:tc>
        <w:tc>
          <w:tcPr>
            <w:tcW w:w="1219" w:type="dxa"/>
            <w:vAlign w:val="center"/>
          </w:tcPr>
          <w:p w14:paraId="09CC207A"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+100 (8% of added cost)</w:t>
            </w:r>
          </w:p>
        </w:tc>
      </w:tr>
    </w:tbl>
    <w:p w14:paraId="563A1442" w14:textId="77777777" w:rsidR="005F0142" w:rsidRPr="00D005DC" w:rsidRDefault="005F0142" w:rsidP="005F0142">
      <w:pPr>
        <w:pStyle w:val="TableNote"/>
        <w:spacing w:line="360" w:lineRule="auto"/>
        <w:rPr>
          <w:rFonts w:asciiTheme="majorBidi" w:hAnsiTheme="majorBidi" w:cstheme="majorBidi"/>
          <w:sz w:val="24"/>
          <w:szCs w:val="24"/>
        </w:rPr>
      </w:pPr>
      <w:r w:rsidRPr="00D005DC">
        <w:rPr>
          <w:rFonts w:asciiTheme="majorBidi" w:hAnsiTheme="majorBidi" w:cstheme="majorBidi"/>
          <w:sz w:val="24"/>
          <w:szCs w:val="24"/>
        </w:rPr>
        <w:t xml:space="preserve">Note. Values continue the reference urban-renter assumptions. Maximum resources include the statutory child-allowance schedule and maximum dependant tax recognition subject to its ceiling. </w:t>
      </w:r>
      <w:r w:rsidRPr="00D005DC">
        <w:rPr>
          <w:rFonts w:asciiTheme="majorBidi" w:hAnsiTheme="majorBidi" w:cstheme="majorBidi"/>
          <w:sz w:val="24"/>
          <w:szCs w:val="24"/>
        </w:rPr>
        <w:lastRenderedPageBreak/>
        <w:t>Percentages compare the marginal family-linked addition with the assumed MAD 1,250 monthly incremental basket cost. Results are diagnostic sensitivity values, not population estimates.</w:t>
      </w:r>
    </w:p>
    <w:p w14:paraId="0D281A65" w14:textId="77777777" w:rsidR="005F0142" w:rsidRPr="00D005DC" w:rsidRDefault="005F0142" w:rsidP="005F0142">
      <w:pPr>
        <w:spacing w:line="360" w:lineRule="auto"/>
        <w:rPr>
          <w:rFonts w:asciiTheme="majorBidi" w:hAnsiTheme="majorBidi" w:cstheme="majorBidi"/>
          <w:sz w:val="24"/>
          <w:szCs w:val="24"/>
        </w:rPr>
      </w:pPr>
      <w:r w:rsidRPr="00D005DC">
        <w:rPr>
          <w:rFonts w:asciiTheme="majorBidi" w:hAnsiTheme="majorBidi" w:cstheme="majorBidi"/>
          <w:sz w:val="24"/>
          <w:szCs w:val="24"/>
        </w:rPr>
        <w:t>Table C1 exposes a sharp discontinuity in marginal support. For the first three children, the combined maximum monthly addition is MAD 350 per child when the tax reduction is fully usable. It falls to MAD 150 for the fourth and fifth child and to MAD 100 for the sixth. The modelled gap therefore widens by MAD 1,100 after the fourth child, another MAD 1,100 after the fifth and MAD 1,150 after the sixth. Microdata should be used to test whether larger families are concentrated in particular income, housing, regional or protection-status groups rather than extrapolating this stylised path mechanically. Table C2 complements the calculation by comparing the information and updating requirements of four policy instruments.</w:t>
      </w:r>
    </w:p>
    <w:p w14:paraId="5689562D" w14:textId="77777777" w:rsidR="005F0142" w:rsidRPr="00D005DC" w:rsidRDefault="005F0142" w:rsidP="005F0142">
      <w:pPr>
        <w:pStyle w:val="TableCaption"/>
        <w:spacing w:line="360" w:lineRule="auto"/>
        <w:rPr>
          <w:rFonts w:asciiTheme="majorBidi" w:hAnsiTheme="majorBidi" w:cstheme="majorBidi"/>
          <w:sz w:val="24"/>
          <w:szCs w:val="24"/>
        </w:rPr>
      </w:pPr>
      <w:r w:rsidRPr="00D005DC">
        <w:rPr>
          <w:rFonts w:asciiTheme="majorBidi" w:hAnsiTheme="majorBidi" w:cstheme="majorBidi"/>
          <w:sz w:val="24"/>
          <w:szCs w:val="24"/>
        </w:rPr>
        <w:t>Table C2. Administrative feasibility ladder</w:t>
      </w:r>
    </w:p>
    <w:tbl>
      <w:tblPr>
        <w:tblStyle w:val="TableGrid"/>
        <w:tblW w:w="0" w:type="auto"/>
        <w:jc w:val="center"/>
        <w:tblLook w:val="04A0" w:firstRow="1" w:lastRow="0" w:firstColumn="1" w:lastColumn="0" w:noHBand="0" w:noVBand="1"/>
      </w:tblPr>
      <w:tblGrid>
        <w:gridCol w:w="1950"/>
        <w:gridCol w:w="1948"/>
        <w:gridCol w:w="1948"/>
        <w:gridCol w:w="1949"/>
        <w:gridCol w:w="1947"/>
      </w:tblGrid>
      <w:tr w:rsidR="005F0142" w:rsidRPr="00D005DC" w14:paraId="545D6167" w14:textId="77777777" w:rsidTr="009A1571">
        <w:trPr>
          <w:tblHeader/>
          <w:jc w:val="center"/>
        </w:trPr>
        <w:tc>
          <w:tcPr>
            <w:tcW w:w="1950" w:type="dxa"/>
            <w:shd w:val="clear" w:color="auto" w:fill="D9E2F3"/>
            <w:vAlign w:val="center"/>
          </w:tcPr>
          <w:p w14:paraId="6DBBF31B" w14:textId="77777777" w:rsidR="005F0142" w:rsidRPr="00D005DC" w:rsidRDefault="005F0142" w:rsidP="009A1571">
            <w:pPr>
              <w:spacing w:after="0" w:line="360" w:lineRule="auto"/>
              <w:jc w:val="left"/>
              <w:rPr>
                <w:rFonts w:asciiTheme="majorBidi" w:hAnsiTheme="majorBidi" w:cstheme="majorBidi"/>
                <w:sz w:val="24"/>
                <w:szCs w:val="24"/>
              </w:rPr>
            </w:pPr>
            <w:r w:rsidRPr="00D005DC">
              <w:rPr>
                <w:rFonts w:asciiTheme="majorBidi" w:hAnsiTheme="majorBidi" w:cstheme="majorBidi"/>
                <w:b/>
                <w:sz w:val="24"/>
                <w:szCs w:val="24"/>
              </w:rPr>
              <w:t>Instrument</w:t>
            </w:r>
          </w:p>
        </w:tc>
        <w:tc>
          <w:tcPr>
            <w:tcW w:w="1950" w:type="dxa"/>
            <w:shd w:val="clear" w:color="auto" w:fill="D9E2F3"/>
            <w:vAlign w:val="center"/>
          </w:tcPr>
          <w:p w14:paraId="5E6A4F30"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Core information required</w:t>
            </w:r>
          </w:p>
        </w:tc>
        <w:tc>
          <w:tcPr>
            <w:tcW w:w="1950" w:type="dxa"/>
            <w:shd w:val="clear" w:color="auto" w:fill="D9E2F3"/>
            <w:vAlign w:val="center"/>
          </w:tcPr>
          <w:p w14:paraId="2F6CD25C"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Update frequency</w:t>
            </w:r>
          </w:p>
        </w:tc>
        <w:tc>
          <w:tcPr>
            <w:tcW w:w="1950" w:type="dxa"/>
            <w:shd w:val="clear" w:color="auto" w:fill="D9E2F3"/>
            <w:vAlign w:val="center"/>
          </w:tcPr>
          <w:p w14:paraId="7CCED8CD"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Main implementation risk</w:t>
            </w:r>
          </w:p>
        </w:tc>
        <w:tc>
          <w:tcPr>
            <w:tcW w:w="1950" w:type="dxa"/>
            <w:shd w:val="clear" w:color="auto" w:fill="D9E2F3"/>
            <w:vAlign w:val="center"/>
          </w:tcPr>
          <w:p w14:paraId="26603852"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b/>
                <w:sz w:val="24"/>
                <w:szCs w:val="24"/>
              </w:rPr>
              <w:t>Near-term feasibility</w:t>
            </w:r>
          </w:p>
        </w:tc>
      </w:tr>
      <w:tr w:rsidR="005F0142" w:rsidRPr="00D005DC" w14:paraId="1DB014C8" w14:textId="77777777" w:rsidTr="009A1571">
        <w:trPr>
          <w:jc w:val="center"/>
        </w:trPr>
        <w:tc>
          <w:tcPr>
            <w:tcW w:w="1950" w:type="dxa"/>
            <w:vAlign w:val="center"/>
          </w:tcPr>
          <w:p w14:paraId="1D6E8E6D" w14:textId="77777777" w:rsidR="005F0142" w:rsidRPr="00D005DC" w:rsidRDefault="005F0142" w:rsidP="009A1571">
            <w:pPr>
              <w:spacing w:after="0" w:line="360" w:lineRule="auto"/>
              <w:jc w:val="left"/>
              <w:rPr>
                <w:rFonts w:asciiTheme="majorBidi" w:hAnsiTheme="majorBidi" w:cstheme="majorBidi"/>
                <w:sz w:val="24"/>
                <w:szCs w:val="24"/>
              </w:rPr>
            </w:pPr>
            <w:r w:rsidRPr="00D005DC">
              <w:rPr>
                <w:rFonts w:asciiTheme="majorBidi" w:hAnsiTheme="majorBidi" w:cstheme="majorBidi"/>
                <w:sz w:val="24"/>
                <w:szCs w:val="24"/>
              </w:rPr>
              <w:t>Index existing child allowance</w:t>
            </w:r>
          </w:p>
        </w:tc>
        <w:tc>
          <w:tcPr>
            <w:tcW w:w="1950" w:type="dxa"/>
            <w:vAlign w:val="center"/>
          </w:tcPr>
          <w:p w14:paraId="355AB58E"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Verified child eligibility and covered-worker status</w:t>
            </w:r>
          </w:p>
        </w:tc>
        <w:tc>
          <w:tcPr>
            <w:tcW w:w="1950" w:type="dxa"/>
            <w:vAlign w:val="center"/>
          </w:tcPr>
          <w:p w14:paraId="73F3C6C6"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Annual</w:t>
            </w:r>
          </w:p>
        </w:tc>
        <w:tc>
          <w:tcPr>
            <w:tcW w:w="1950" w:type="dxa"/>
            <w:vAlign w:val="center"/>
          </w:tcPr>
          <w:p w14:paraId="6A1D90FD"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Excludes uncovered workers; weak income targeting</w:t>
            </w:r>
          </w:p>
        </w:tc>
        <w:tc>
          <w:tcPr>
            <w:tcW w:w="1950" w:type="dxa"/>
            <w:vAlign w:val="center"/>
          </w:tcPr>
          <w:p w14:paraId="0B502BE1"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High within covered sector</w:t>
            </w:r>
          </w:p>
        </w:tc>
      </w:tr>
      <w:tr w:rsidR="005F0142" w:rsidRPr="00D005DC" w14:paraId="07518D66" w14:textId="77777777" w:rsidTr="009A1571">
        <w:trPr>
          <w:jc w:val="center"/>
        </w:trPr>
        <w:tc>
          <w:tcPr>
            <w:tcW w:w="1950" w:type="dxa"/>
            <w:vAlign w:val="center"/>
          </w:tcPr>
          <w:p w14:paraId="0719FF6C" w14:textId="77777777" w:rsidR="005F0142" w:rsidRPr="00D005DC" w:rsidRDefault="005F0142" w:rsidP="009A1571">
            <w:pPr>
              <w:spacing w:after="0" w:line="360" w:lineRule="auto"/>
              <w:jc w:val="left"/>
              <w:rPr>
                <w:rFonts w:asciiTheme="majorBidi" w:hAnsiTheme="majorBidi" w:cstheme="majorBidi"/>
                <w:sz w:val="24"/>
                <w:szCs w:val="24"/>
              </w:rPr>
            </w:pPr>
            <w:r w:rsidRPr="00D005DC">
              <w:rPr>
                <w:rFonts w:asciiTheme="majorBidi" w:hAnsiTheme="majorBidi" w:cstheme="majorBidi"/>
                <w:sz w:val="24"/>
                <w:szCs w:val="24"/>
              </w:rPr>
              <w:t>Refundable family credit</w:t>
            </w:r>
          </w:p>
        </w:tc>
        <w:tc>
          <w:tcPr>
            <w:tcW w:w="1950" w:type="dxa"/>
            <w:vAlign w:val="center"/>
          </w:tcPr>
          <w:p w14:paraId="0B687FA5"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Annual household income, dependants, payment account</w:t>
            </w:r>
          </w:p>
        </w:tc>
        <w:tc>
          <w:tcPr>
            <w:tcW w:w="1950" w:type="dxa"/>
            <w:vAlign w:val="center"/>
          </w:tcPr>
          <w:p w14:paraId="42F59344"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Annual with reconciliation</w:t>
            </w:r>
          </w:p>
        </w:tc>
        <w:tc>
          <w:tcPr>
            <w:tcW w:w="1950" w:type="dxa"/>
            <w:vAlign w:val="center"/>
          </w:tcPr>
          <w:p w14:paraId="621F65A0"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Non-filing, misreporting, delayed payment</w:t>
            </w:r>
          </w:p>
        </w:tc>
        <w:tc>
          <w:tcPr>
            <w:tcW w:w="1950" w:type="dxa"/>
            <w:vAlign w:val="center"/>
          </w:tcPr>
          <w:p w14:paraId="698AA7BB"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Medium</w:t>
            </w:r>
          </w:p>
        </w:tc>
      </w:tr>
      <w:tr w:rsidR="005F0142" w:rsidRPr="00D005DC" w14:paraId="583EBAFD" w14:textId="77777777" w:rsidTr="009A1571">
        <w:trPr>
          <w:jc w:val="center"/>
        </w:trPr>
        <w:tc>
          <w:tcPr>
            <w:tcW w:w="1950" w:type="dxa"/>
            <w:vAlign w:val="center"/>
          </w:tcPr>
          <w:p w14:paraId="5EAA3B13" w14:textId="77777777" w:rsidR="005F0142" w:rsidRPr="00D005DC" w:rsidRDefault="005F0142" w:rsidP="009A1571">
            <w:pPr>
              <w:spacing w:after="0" w:line="360" w:lineRule="auto"/>
              <w:jc w:val="left"/>
              <w:rPr>
                <w:rFonts w:asciiTheme="majorBidi" w:hAnsiTheme="majorBidi" w:cstheme="majorBidi"/>
                <w:sz w:val="24"/>
                <w:szCs w:val="24"/>
              </w:rPr>
            </w:pPr>
            <w:r w:rsidRPr="00D005DC">
              <w:rPr>
                <w:rFonts w:asciiTheme="majorBidi" w:hAnsiTheme="majorBidi" w:cstheme="majorBidi"/>
                <w:sz w:val="24"/>
                <w:szCs w:val="24"/>
              </w:rPr>
              <w:t>Categorical income-band top-up</w:t>
            </w:r>
          </w:p>
        </w:tc>
        <w:tc>
          <w:tcPr>
            <w:tcW w:w="1950" w:type="dxa"/>
            <w:vAlign w:val="center"/>
          </w:tcPr>
          <w:p w14:paraId="43A92A82"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Household composition and broad verified income band</w:t>
            </w:r>
          </w:p>
        </w:tc>
        <w:tc>
          <w:tcPr>
            <w:tcW w:w="1950" w:type="dxa"/>
            <w:vAlign w:val="center"/>
          </w:tcPr>
          <w:p w14:paraId="4BD09890"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Annual or quarterly</w:t>
            </w:r>
          </w:p>
        </w:tc>
        <w:tc>
          <w:tcPr>
            <w:tcW w:w="1950" w:type="dxa"/>
            <w:vAlign w:val="center"/>
          </w:tcPr>
          <w:p w14:paraId="1C79B643"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Cut-off effects and exclusion errors</w:t>
            </w:r>
          </w:p>
        </w:tc>
        <w:tc>
          <w:tcPr>
            <w:tcW w:w="1950" w:type="dxa"/>
            <w:vAlign w:val="center"/>
          </w:tcPr>
          <w:p w14:paraId="0451FC0A"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Medium</w:t>
            </w:r>
          </w:p>
        </w:tc>
      </w:tr>
      <w:tr w:rsidR="005F0142" w:rsidRPr="00D005DC" w14:paraId="73E9C9E3" w14:textId="77777777" w:rsidTr="009A1571">
        <w:trPr>
          <w:jc w:val="center"/>
        </w:trPr>
        <w:tc>
          <w:tcPr>
            <w:tcW w:w="1950" w:type="dxa"/>
            <w:vAlign w:val="center"/>
          </w:tcPr>
          <w:p w14:paraId="79984DF4" w14:textId="77777777" w:rsidR="005F0142" w:rsidRPr="00D005DC" w:rsidRDefault="005F0142" w:rsidP="009A1571">
            <w:pPr>
              <w:spacing w:after="0" w:line="360" w:lineRule="auto"/>
              <w:jc w:val="left"/>
              <w:rPr>
                <w:rFonts w:asciiTheme="majorBidi" w:hAnsiTheme="majorBidi" w:cstheme="majorBidi"/>
                <w:sz w:val="24"/>
                <w:szCs w:val="24"/>
              </w:rPr>
            </w:pPr>
            <w:r w:rsidRPr="00D005DC">
              <w:rPr>
                <w:rFonts w:asciiTheme="majorBidi" w:hAnsiTheme="majorBidi" w:cstheme="majorBidi"/>
                <w:sz w:val="24"/>
                <w:szCs w:val="24"/>
              </w:rPr>
              <w:t>Individualised gap supplement</w:t>
            </w:r>
          </w:p>
        </w:tc>
        <w:tc>
          <w:tcPr>
            <w:tcW w:w="1950" w:type="dxa"/>
            <w:vAlign w:val="center"/>
          </w:tcPr>
          <w:p w14:paraId="62F385DF"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Current income, assets, housing cost, transfers and household changes</w:t>
            </w:r>
          </w:p>
        </w:tc>
        <w:tc>
          <w:tcPr>
            <w:tcW w:w="1950" w:type="dxa"/>
            <w:vAlign w:val="center"/>
          </w:tcPr>
          <w:p w14:paraId="33639C25"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Monthly or quarterly</w:t>
            </w:r>
          </w:p>
        </w:tc>
        <w:tc>
          <w:tcPr>
            <w:tcW w:w="1950" w:type="dxa"/>
            <w:vAlign w:val="center"/>
          </w:tcPr>
          <w:p w14:paraId="0F6A1302"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High data burden, volatility, fraud, non-take-up and benefit cliffs</w:t>
            </w:r>
          </w:p>
        </w:tc>
        <w:tc>
          <w:tcPr>
            <w:tcW w:w="1950" w:type="dxa"/>
            <w:vAlign w:val="center"/>
          </w:tcPr>
          <w:p w14:paraId="7367E5DA" w14:textId="77777777" w:rsidR="005F0142" w:rsidRPr="00D005DC" w:rsidRDefault="005F0142" w:rsidP="009A1571">
            <w:pPr>
              <w:spacing w:after="0" w:line="360" w:lineRule="auto"/>
              <w:jc w:val="center"/>
              <w:rPr>
                <w:rFonts w:asciiTheme="majorBidi" w:hAnsiTheme="majorBidi" w:cstheme="majorBidi"/>
                <w:sz w:val="24"/>
                <w:szCs w:val="24"/>
              </w:rPr>
            </w:pPr>
            <w:r w:rsidRPr="00D005DC">
              <w:rPr>
                <w:rFonts w:asciiTheme="majorBidi" w:hAnsiTheme="majorBidi" w:cstheme="majorBidi"/>
                <w:sz w:val="24"/>
                <w:szCs w:val="24"/>
              </w:rPr>
              <w:t>Low; pilot or benchmark</w:t>
            </w:r>
          </w:p>
        </w:tc>
      </w:tr>
    </w:tbl>
    <w:p w14:paraId="6AF306AB" w14:textId="77777777" w:rsidR="005F0142" w:rsidRPr="00D005DC" w:rsidRDefault="005F0142" w:rsidP="005F0142">
      <w:pPr>
        <w:pStyle w:val="TableNote"/>
        <w:spacing w:line="360" w:lineRule="auto"/>
        <w:rPr>
          <w:rFonts w:asciiTheme="majorBidi" w:hAnsiTheme="majorBidi" w:cstheme="majorBidi"/>
          <w:sz w:val="24"/>
          <w:szCs w:val="24"/>
        </w:rPr>
      </w:pPr>
      <w:r w:rsidRPr="00D005DC">
        <w:rPr>
          <w:rFonts w:asciiTheme="majorBidi" w:hAnsiTheme="majorBidi" w:cstheme="majorBidi"/>
          <w:sz w:val="24"/>
          <w:szCs w:val="24"/>
        </w:rPr>
        <w:lastRenderedPageBreak/>
        <w:t>Note. Feasibility rankings are institutional design assessments, not measured implementation scores. A less targeted instrument may be easier to deliver, while a theoretically precise instrument can perform poorly if information is incomplete or updating is slow.</w:t>
      </w:r>
    </w:p>
    <w:p w14:paraId="0853BC0B" w14:textId="77777777" w:rsidR="005F0142" w:rsidRPr="00D005DC" w:rsidRDefault="005F0142" w:rsidP="005F0142">
      <w:pPr>
        <w:pStyle w:val="TableNote"/>
        <w:spacing w:line="360" w:lineRule="auto"/>
        <w:rPr>
          <w:rFonts w:asciiTheme="majorBidi" w:hAnsiTheme="majorBidi" w:cstheme="majorBidi"/>
          <w:sz w:val="24"/>
          <w:szCs w:val="24"/>
        </w:rPr>
      </w:pPr>
    </w:p>
    <w:p w14:paraId="7329881A" w14:textId="77777777" w:rsidR="008B07A6" w:rsidRDefault="008B07A6"/>
    <w:sectPr w:rsidR="008B07A6" w:rsidSect="005F0142">
      <w:headerReference w:type="default" r:id="rId4"/>
      <w:footerReference w:type="default" r:id="rId5"/>
      <w:pgSz w:w="11906" w:h="16838"/>
      <w:pgMar w:top="1020" w:right="1077" w:bottom="964" w:left="107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413A3" w14:textId="77777777" w:rsidR="005F0142" w:rsidRDefault="005F0142">
    <w:pPr>
      <w:pStyle w:val="Footer"/>
      <w:jc w:val="center"/>
    </w:pPr>
    <w:r>
      <w:fldChar w:fldCharType="begin"/>
    </w:r>
    <w:r>
      <w:instrText xml:space="preserve"> PAGE </w:instrText>
    </w:r>
    <w:r>
      <w:fldChar w:fldCharType="separate"/>
    </w:r>
    <w:r>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B775" w14:textId="77777777" w:rsidR="005F0142" w:rsidRDefault="005F0142">
    <w:pPr>
      <w:pStyle w:val="Header"/>
      <w:jc w:val="center"/>
    </w:pPr>
    <w:r>
      <w:rPr>
        <w:color w:val="757575"/>
        <w:sz w:val="16"/>
      </w:rPr>
      <w:t>Wage Adequacy Across Family Transitions in Morocco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142"/>
    <w:rsid w:val="00066677"/>
    <w:rsid w:val="00153A17"/>
    <w:rsid w:val="001A37F3"/>
    <w:rsid w:val="003A4E89"/>
    <w:rsid w:val="00556784"/>
    <w:rsid w:val="005F0142"/>
    <w:rsid w:val="008B07A6"/>
    <w:rsid w:val="0097029A"/>
    <w:rsid w:val="00987B63"/>
    <w:rsid w:val="009A770B"/>
    <w:rsid w:val="00A234E6"/>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CD75E"/>
  <w15:chartTrackingRefBased/>
  <w15:docId w15:val="{7BF5AFBB-8B1D-4906-BC11-F2118E743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42"/>
    <w:pPr>
      <w:spacing w:after="80" w:line="269" w:lineRule="auto"/>
      <w:ind w:firstLine="312"/>
      <w:jc w:val="both"/>
    </w:pPr>
    <w:rPr>
      <w:rFonts w:ascii="Aptos" w:eastAsiaTheme="minorEastAsia" w:hAnsi="Aptos"/>
      <w:kern w:val="0"/>
      <w:sz w:val="21"/>
      <w:szCs w:val="22"/>
      <w14:ligatures w14:val="none"/>
    </w:rPr>
  </w:style>
  <w:style w:type="paragraph" w:styleId="Heading1">
    <w:name w:val="heading 1"/>
    <w:basedOn w:val="Normal"/>
    <w:next w:val="Normal"/>
    <w:link w:val="Heading1Char"/>
    <w:uiPriority w:val="9"/>
    <w:qFormat/>
    <w:rsid w:val="005F0142"/>
    <w:pPr>
      <w:keepNext/>
      <w:keepLines/>
      <w:spacing w:before="360" w:line="278" w:lineRule="auto"/>
      <w:ind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F0142"/>
    <w:pPr>
      <w:keepNext/>
      <w:keepLines/>
      <w:spacing w:before="160" w:line="278" w:lineRule="auto"/>
      <w:ind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F0142"/>
    <w:pPr>
      <w:keepNext/>
      <w:keepLines/>
      <w:spacing w:before="160" w:line="278" w:lineRule="auto"/>
      <w:ind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F0142"/>
    <w:pPr>
      <w:keepNext/>
      <w:keepLines/>
      <w:spacing w:before="80" w:after="40" w:line="278" w:lineRule="auto"/>
      <w:ind w:firstLine="0"/>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F0142"/>
    <w:pPr>
      <w:keepNext/>
      <w:keepLines/>
      <w:spacing w:before="80" w:after="40" w:line="278" w:lineRule="auto"/>
      <w:ind w:firstLine="0"/>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F0142"/>
    <w:pPr>
      <w:keepNext/>
      <w:keepLines/>
      <w:spacing w:before="40" w:after="0" w:line="278" w:lineRule="auto"/>
      <w:ind w:firstLine="0"/>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F0142"/>
    <w:pPr>
      <w:keepNext/>
      <w:keepLines/>
      <w:spacing w:before="40" w:after="0" w:line="278" w:lineRule="auto"/>
      <w:ind w:firstLine="0"/>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F0142"/>
    <w:pPr>
      <w:keepNext/>
      <w:keepLines/>
      <w:spacing w:after="0" w:line="278" w:lineRule="auto"/>
      <w:ind w:firstLine="0"/>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F0142"/>
    <w:pPr>
      <w:keepNext/>
      <w:keepLines/>
      <w:spacing w:after="0" w:line="278" w:lineRule="auto"/>
      <w:ind w:firstLine="0"/>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1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1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1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1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1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1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1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1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142"/>
    <w:rPr>
      <w:rFonts w:eastAsiaTheme="majorEastAsia" w:cstheme="majorBidi"/>
      <w:color w:val="272727" w:themeColor="text1" w:themeTint="D8"/>
    </w:rPr>
  </w:style>
  <w:style w:type="paragraph" w:styleId="Title">
    <w:name w:val="Title"/>
    <w:basedOn w:val="Normal"/>
    <w:next w:val="Normal"/>
    <w:link w:val="TitleChar"/>
    <w:uiPriority w:val="10"/>
    <w:qFormat/>
    <w:rsid w:val="005F0142"/>
    <w:pPr>
      <w:spacing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F01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142"/>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F0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142"/>
    <w:pPr>
      <w:spacing w:before="160" w:after="160" w:line="278" w:lineRule="auto"/>
      <w:ind w:firstLine="0"/>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F0142"/>
    <w:rPr>
      <w:i/>
      <w:iCs/>
      <w:color w:val="404040" w:themeColor="text1" w:themeTint="BF"/>
    </w:rPr>
  </w:style>
  <w:style w:type="paragraph" w:styleId="ListParagraph">
    <w:name w:val="List Paragraph"/>
    <w:basedOn w:val="Normal"/>
    <w:uiPriority w:val="34"/>
    <w:qFormat/>
    <w:rsid w:val="005F0142"/>
    <w:pPr>
      <w:spacing w:after="160" w:line="278" w:lineRule="auto"/>
      <w:ind w:left="720" w:firstLine="0"/>
      <w:contextualSpacing/>
      <w:jc w:val="left"/>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5F0142"/>
    <w:rPr>
      <w:i/>
      <w:iCs/>
      <w:color w:val="0F4761" w:themeColor="accent1" w:themeShade="BF"/>
    </w:rPr>
  </w:style>
  <w:style w:type="paragraph" w:styleId="IntenseQuote">
    <w:name w:val="Intense Quote"/>
    <w:basedOn w:val="Normal"/>
    <w:next w:val="Normal"/>
    <w:link w:val="IntenseQuoteChar"/>
    <w:uiPriority w:val="30"/>
    <w:qFormat/>
    <w:rsid w:val="005F014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F0142"/>
    <w:rPr>
      <w:i/>
      <w:iCs/>
      <w:color w:val="0F4761" w:themeColor="accent1" w:themeShade="BF"/>
    </w:rPr>
  </w:style>
  <w:style w:type="character" w:styleId="IntenseReference">
    <w:name w:val="Intense Reference"/>
    <w:basedOn w:val="DefaultParagraphFont"/>
    <w:uiPriority w:val="32"/>
    <w:qFormat/>
    <w:rsid w:val="005F0142"/>
    <w:rPr>
      <w:b/>
      <w:bCs/>
      <w:smallCaps/>
      <w:color w:val="0F4761" w:themeColor="accent1" w:themeShade="BF"/>
      <w:spacing w:val="5"/>
    </w:rPr>
  </w:style>
  <w:style w:type="paragraph" w:styleId="Header">
    <w:name w:val="header"/>
    <w:basedOn w:val="Normal"/>
    <w:link w:val="HeaderChar"/>
    <w:uiPriority w:val="99"/>
    <w:unhideWhenUsed/>
    <w:rsid w:val="005F01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0142"/>
    <w:rPr>
      <w:rFonts w:ascii="Aptos" w:eastAsiaTheme="minorEastAsia" w:hAnsi="Aptos"/>
      <w:kern w:val="0"/>
      <w:sz w:val="21"/>
      <w:szCs w:val="22"/>
      <w14:ligatures w14:val="none"/>
    </w:rPr>
  </w:style>
  <w:style w:type="paragraph" w:styleId="Footer">
    <w:name w:val="footer"/>
    <w:basedOn w:val="Normal"/>
    <w:link w:val="FooterChar"/>
    <w:uiPriority w:val="99"/>
    <w:unhideWhenUsed/>
    <w:rsid w:val="005F01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142"/>
    <w:rPr>
      <w:rFonts w:ascii="Aptos" w:eastAsiaTheme="minorEastAsia" w:hAnsi="Aptos"/>
      <w:kern w:val="0"/>
      <w:sz w:val="21"/>
      <w:szCs w:val="22"/>
      <w14:ligatures w14:val="none"/>
    </w:rPr>
  </w:style>
  <w:style w:type="table" w:styleId="TableGrid">
    <w:name w:val="Table Grid"/>
    <w:basedOn w:val="TableNormal"/>
    <w:uiPriority w:val="59"/>
    <w:rsid w:val="005F0142"/>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rsid w:val="005F0142"/>
    <w:pPr>
      <w:keepNext/>
      <w:spacing w:before="140" w:after="60" w:line="276" w:lineRule="auto"/>
    </w:pPr>
    <w:rPr>
      <w:rFonts w:ascii="Aptos" w:eastAsiaTheme="minorEastAsia" w:hAnsi="Aptos"/>
      <w:b/>
      <w:color w:val="1F4E79"/>
      <w:kern w:val="0"/>
      <w:sz w:val="18"/>
      <w:szCs w:val="22"/>
      <w14:ligatures w14:val="none"/>
    </w:rPr>
  </w:style>
  <w:style w:type="paragraph" w:customStyle="1" w:styleId="TableNote">
    <w:name w:val="Table Note"/>
    <w:rsid w:val="005F0142"/>
    <w:pPr>
      <w:spacing w:before="40" w:after="100" w:line="276" w:lineRule="auto"/>
    </w:pPr>
    <w:rPr>
      <w:rFonts w:ascii="Aptos" w:eastAsiaTheme="minorEastAsia" w:hAnsi="Aptos"/>
      <w:i/>
      <w:color w:val="595959"/>
      <w:kern w:val="0"/>
      <w:sz w:val="16"/>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972</Words>
  <Characters>5543</Characters>
  <Application>Microsoft Office Word</Application>
  <DocSecurity>0</DocSecurity>
  <Lines>46</Lines>
  <Paragraphs>13</Paragraphs>
  <ScaleCrop>false</ScaleCrop>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2026-08-25T04:06:00Z</dcterms:created>
  <dcterms:modified xsi:type="dcterms:W3CDTF">2026-08-25T04:06:00Z</dcterms:modified>
</cp:coreProperties>
</file>