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14B261" w14:textId="77777777" w:rsidR="00FC09EE" w:rsidRPr="005022A0" w:rsidRDefault="00FC09EE" w:rsidP="00FC09EE">
      <w:pPr>
        <w:spacing w:line="480" w:lineRule="auto"/>
        <w:jc w:val="center"/>
        <w:rPr>
          <w:rStyle w:val="Emphasis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</w:pPr>
      <w:r w:rsidRPr="005022A0">
        <w:rPr>
          <w:rStyle w:val="Emphasis"/>
          <w:rFonts w:ascii="Times New Roman" w:hAnsi="Times New Roman" w:cs="Times New Roman"/>
          <w:bCs/>
          <w:i w:val="0"/>
          <w:iCs w:val="0"/>
          <w:noProof/>
          <w:sz w:val="24"/>
          <w:szCs w:val="24"/>
          <w:shd w:val="clear" w:color="auto" w:fill="FFFFFF"/>
        </w:rPr>
        <w:drawing>
          <wp:inline distT="0" distB="0" distL="0" distR="0" wp14:anchorId="4B17F1A4" wp14:editId="709E0DE5">
            <wp:extent cx="4572000" cy="2743200"/>
            <wp:effectExtent l="0" t="0" r="0" b="0"/>
            <wp:docPr id="5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90C1DCA" w14:textId="77777777" w:rsidR="00FC09EE" w:rsidRDefault="00FC09EE" w:rsidP="00FC09EE">
      <w:pPr>
        <w:rPr>
          <w:rFonts w:ascii="Times New Roman" w:hAnsi="Times New Roman" w:cs="Times New Roman"/>
          <w:sz w:val="24"/>
          <w:szCs w:val="24"/>
        </w:rPr>
      </w:pPr>
      <w:r w:rsidRPr="005022A0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 xml:space="preserve">Graph. 1: </w:t>
      </w:r>
      <w:r w:rsidRPr="005022A0">
        <w:rPr>
          <w:rFonts w:ascii="Times New Roman" w:hAnsi="Times New Roman" w:cs="Times New Roman"/>
          <w:sz w:val="24"/>
          <w:szCs w:val="24"/>
        </w:rPr>
        <w:t>Standard curve of quercetin (10-100µg/ml) for total flavonoid content.</w:t>
      </w:r>
    </w:p>
    <w:p w14:paraId="30DF8D19" w14:textId="77777777" w:rsidR="00FC09EE" w:rsidRPr="005022A0" w:rsidRDefault="00FC09EE" w:rsidP="00FC09EE">
      <w:pPr>
        <w:spacing w:line="480" w:lineRule="auto"/>
        <w:jc w:val="center"/>
        <w:rPr>
          <w:rStyle w:val="Emphasis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</w:pPr>
      <w:r w:rsidRPr="005022A0">
        <w:rPr>
          <w:rStyle w:val="Emphasis"/>
          <w:rFonts w:ascii="Times New Roman" w:hAnsi="Times New Roman" w:cs="Times New Roman"/>
          <w:bCs/>
          <w:i w:val="0"/>
          <w:iCs w:val="0"/>
          <w:noProof/>
          <w:sz w:val="24"/>
          <w:szCs w:val="24"/>
          <w:shd w:val="clear" w:color="auto" w:fill="FFFFFF"/>
        </w:rPr>
        <w:drawing>
          <wp:inline distT="0" distB="0" distL="0" distR="0" wp14:anchorId="7A880AEA" wp14:editId="5017B59B">
            <wp:extent cx="4572000" cy="2743200"/>
            <wp:effectExtent l="19050" t="0" r="19050" b="0"/>
            <wp:docPr id="6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B34D333" w14:textId="77777777" w:rsidR="00FC09EE" w:rsidRPr="005022A0" w:rsidRDefault="00FC09EE" w:rsidP="00FC09E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22A0">
        <w:rPr>
          <w:rStyle w:val="Emphasis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Graph. 2:</w:t>
      </w:r>
      <w:r w:rsidRPr="005022A0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022A0">
        <w:rPr>
          <w:rFonts w:ascii="Times New Roman" w:hAnsi="Times New Roman" w:cs="Times New Roman"/>
          <w:sz w:val="24"/>
          <w:szCs w:val="24"/>
        </w:rPr>
        <w:t>Standard of quercetin (10-100 µg/ml) for total phenolic content.</w:t>
      </w:r>
    </w:p>
    <w:p w14:paraId="0496FA36" w14:textId="77777777" w:rsidR="00FC09EE" w:rsidRDefault="00FC09EE" w:rsidP="00FC09EE"/>
    <w:p w14:paraId="2F09A350" w14:textId="77777777" w:rsidR="00FC09EE" w:rsidRPr="005022A0" w:rsidRDefault="00FC09EE" w:rsidP="00FC09EE">
      <w:pPr>
        <w:spacing w:line="480" w:lineRule="auto"/>
        <w:jc w:val="center"/>
        <w:rPr>
          <w:rStyle w:val="Emphasis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</w:pPr>
      <w:r w:rsidRPr="005022A0">
        <w:rPr>
          <w:rFonts w:ascii="Times New Roman" w:hAnsi="Times New Roman" w:cs="Times New Roman"/>
          <w:bCs/>
          <w:noProof/>
          <w:sz w:val="24"/>
          <w:szCs w:val="24"/>
          <w:shd w:val="clear" w:color="auto" w:fill="FFFFFF"/>
        </w:rPr>
        <w:lastRenderedPageBreak/>
        <w:drawing>
          <wp:inline distT="0" distB="0" distL="0" distR="0" wp14:anchorId="389EEC3A" wp14:editId="43D93CA5">
            <wp:extent cx="4572000" cy="2743200"/>
            <wp:effectExtent l="0" t="0" r="0" b="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FCB08A9" w14:textId="77777777" w:rsidR="00FC09EE" w:rsidRPr="005022A0" w:rsidRDefault="00FC09EE" w:rsidP="00FC09E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22A0">
        <w:rPr>
          <w:rStyle w:val="Emphasis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Graph. 3</w:t>
      </w:r>
      <w:r w:rsidRPr="005022A0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5022A0">
        <w:rPr>
          <w:rFonts w:ascii="Times New Roman" w:hAnsi="Times New Roman" w:cs="Times New Roman"/>
          <w:sz w:val="24"/>
          <w:szCs w:val="24"/>
        </w:rPr>
        <w:t>Standard of tannic acid (10-100 µg/ml) for total tannin content.</w:t>
      </w:r>
    </w:p>
    <w:p w14:paraId="43164DD5" w14:textId="77777777" w:rsidR="00FC09EE" w:rsidRPr="005022A0" w:rsidRDefault="00FC09EE" w:rsidP="00FC09EE">
      <w:pPr>
        <w:spacing w:line="480" w:lineRule="auto"/>
        <w:jc w:val="center"/>
        <w:rPr>
          <w:rStyle w:val="Emphasis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</w:pPr>
      <w:r w:rsidRPr="005022A0">
        <w:rPr>
          <w:rStyle w:val="Emphasis"/>
          <w:rFonts w:ascii="Times New Roman" w:hAnsi="Times New Roman" w:cs="Times New Roman"/>
          <w:bCs/>
          <w:i w:val="0"/>
          <w:iCs w:val="0"/>
          <w:noProof/>
          <w:sz w:val="24"/>
          <w:szCs w:val="24"/>
          <w:shd w:val="clear" w:color="auto" w:fill="FFFFFF"/>
        </w:rPr>
        <w:drawing>
          <wp:inline distT="0" distB="0" distL="0" distR="0" wp14:anchorId="38819E88" wp14:editId="5FAB8DEA">
            <wp:extent cx="4572000" cy="2743200"/>
            <wp:effectExtent l="0" t="0" r="0" b="0"/>
            <wp:docPr id="9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49B4CF4D" w14:textId="77777777" w:rsidR="00FC09EE" w:rsidRPr="005022A0" w:rsidRDefault="00FC09EE" w:rsidP="00FC09EE">
      <w:pPr>
        <w:spacing w:line="480" w:lineRule="auto"/>
        <w:jc w:val="center"/>
        <w:rPr>
          <w:rStyle w:val="Emphasis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</w:pPr>
      <w:r w:rsidRPr="005022A0">
        <w:rPr>
          <w:rStyle w:val="Emphasis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Graph. 4</w:t>
      </w:r>
      <w:r w:rsidRPr="005022A0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5022A0">
        <w:rPr>
          <w:rFonts w:ascii="Times New Roman" w:hAnsi="Times New Roman" w:cs="Times New Roman"/>
          <w:sz w:val="24"/>
          <w:szCs w:val="24"/>
        </w:rPr>
        <w:t>Standard calibration curve of FeSO</w:t>
      </w:r>
      <w:r w:rsidRPr="005022A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5022A0">
        <w:rPr>
          <w:rFonts w:ascii="Times New Roman" w:hAnsi="Times New Roman" w:cs="Times New Roman"/>
          <w:sz w:val="24"/>
          <w:szCs w:val="24"/>
        </w:rPr>
        <w:t xml:space="preserve"> for FRAP assay.</w:t>
      </w:r>
    </w:p>
    <w:p w14:paraId="025E2CD0" w14:textId="77777777" w:rsidR="004444F9" w:rsidRDefault="004444F9"/>
    <w:sectPr w:rsidR="004444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9EE"/>
    <w:rsid w:val="004444F9"/>
    <w:rsid w:val="00FC0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044D6"/>
  <w15:chartTrackingRefBased/>
  <w15:docId w15:val="{E69258F7-9867-4FE5-8919-E5B6D178E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9E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C09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\Desktop\TFC%20and%20TPC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\Desktop\TFC%20and%20TPC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\Desktop\Frap%20assay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Standard Curve of Quercetin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Abs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intercept val="0"/>
            <c:dispRSqr val="1"/>
            <c:dispEq val="1"/>
            <c:trendlineLbl>
              <c:layout>
                <c:manualLayout>
                  <c:x val="0.41534273840769931"/>
                  <c:y val="6.7337780694079918E-2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y = 0.010x</a:t>
                    </a:r>
                    <a:br>
                      <a:rPr lang="en-US" baseline="0"/>
                    </a:br>
                    <a:r>
                      <a:rPr lang="en-US" baseline="0"/>
                      <a:t>R² = 0.98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xVal>
            <c:numRef>
              <c:f>Sheet1!$A$2:$A$6</c:f>
              <c:numCache>
                <c:formatCode>General</c:formatCode>
                <c:ptCount val="5"/>
                <c:pt idx="0">
                  <c:v>20</c:v>
                </c:pt>
                <c:pt idx="1">
                  <c:v>40</c:v>
                </c:pt>
                <c:pt idx="2">
                  <c:v>60</c:v>
                </c:pt>
                <c:pt idx="3">
                  <c:v>80</c:v>
                </c:pt>
                <c:pt idx="4">
                  <c:v>100</c:v>
                </c:pt>
              </c:numCache>
            </c:numRef>
          </c:xVal>
          <c:yVal>
            <c:numRef>
              <c:f>Sheet1!$B$2:$B$6</c:f>
              <c:numCache>
                <c:formatCode>General</c:formatCode>
                <c:ptCount val="5"/>
                <c:pt idx="0">
                  <c:v>0.18100000000000024</c:v>
                </c:pt>
                <c:pt idx="1">
                  <c:v>0.39400000000000207</c:v>
                </c:pt>
                <c:pt idx="2">
                  <c:v>0.59300000000000008</c:v>
                </c:pt>
                <c:pt idx="3">
                  <c:v>0.89400000000000013</c:v>
                </c:pt>
                <c:pt idx="4">
                  <c:v>1.0049999999999928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E09-41B1-A050-5C96D76335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0641664"/>
        <c:axId val="230643584"/>
      </c:scatterChart>
      <c:valAx>
        <c:axId val="23064166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 (20-100µg/ml)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30643584"/>
        <c:crosses val="autoZero"/>
        <c:crossBetween val="midCat"/>
      </c:valAx>
      <c:valAx>
        <c:axId val="230643584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Absorbance (415nm)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30641664"/>
        <c:crosses val="autoZero"/>
        <c:crossBetween val="midCat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Standard Curve of Quercetin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Sheet1!$B$15</c:f>
              <c:strCache>
                <c:ptCount val="1"/>
                <c:pt idx="0">
                  <c:v>Abs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intercept val="0"/>
            <c:dispRSqr val="1"/>
            <c:dispEq val="1"/>
            <c:trendlineLbl>
              <c:layout>
                <c:manualLayout>
                  <c:x val="0.41534273840769931"/>
                  <c:y val="7.1967410323709582E-2"/>
                </c:manualLayout>
              </c:layout>
              <c:numFmt formatCode="General" sourceLinked="0"/>
            </c:trendlineLbl>
          </c:trendline>
          <c:xVal>
            <c:numRef>
              <c:f>Sheet1!$A$16:$A$21</c:f>
              <c:numCache>
                <c:formatCode>General</c:formatCode>
                <c:ptCount val="6"/>
                <c:pt idx="0">
                  <c:v>10</c:v>
                </c:pt>
                <c:pt idx="1">
                  <c:v>20</c:v>
                </c:pt>
                <c:pt idx="2">
                  <c:v>40</c:v>
                </c:pt>
                <c:pt idx="3">
                  <c:v>60</c:v>
                </c:pt>
                <c:pt idx="4">
                  <c:v>80</c:v>
                </c:pt>
                <c:pt idx="5">
                  <c:v>100</c:v>
                </c:pt>
              </c:numCache>
            </c:numRef>
          </c:xVal>
          <c:yVal>
            <c:numRef>
              <c:f>Sheet1!$B$16:$B$21</c:f>
              <c:numCache>
                <c:formatCode>General</c:formatCode>
                <c:ptCount val="6"/>
                <c:pt idx="0">
                  <c:v>0.14900000000000024</c:v>
                </c:pt>
                <c:pt idx="1">
                  <c:v>0.31200000000000161</c:v>
                </c:pt>
                <c:pt idx="2">
                  <c:v>0.64300000000000368</c:v>
                </c:pt>
                <c:pt idx="3">
                  <c:v>0.91500000000000004</c:v>
                </c:pt>
                <c:pt idx="4">
                  <c:v>1.238</c:v>
                </c:pt>
                <c:pt idx="5">
                  <c:v>1.4419999999999871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ABC-4E24-A48A-52A758F737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0738176"/>
        <c:axId val="232379136"/>
      </c:scatterChart>
      <c:valAx>
        <c:axId val="2307381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 (20-100µg/ml)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32379136"/>
        <c:crosses val="autoZero"/>
        <c:crossBetween val="midCat"/>
      </c:valAx>
      <c:valAx>
        <c:axId val="232379136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Absorbance (760 nm)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30738176"/>
        <c:crosses val="autoZero"/>
        <c:crossBetween val="midCat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/>
              <a:t>Standard Curve of Tannic Acid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Absorbance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47073206474190726"/>
                  <c:y val="7.7777413240011667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Sheet1!$A$2:$A$6</c:f>
              <c:numCache>
                <c:formatCode>General</c:formatCode>
                <c:ptCount val="5"/>
                <c:pt idx="0">
                  <c:v>20</c:v>
                </c:pt>
                <c:pt idx="1">
                  <c:v>40</c:v>
                </c:pt>
                <c:pt idx="2">
                  <c:v>60</c:v>
                </c:pt>
                <c:pt idx="3">
                  <c:v>80</c:v>
                </c:pt>
                <c:pt idx="4">
                  <c:v>100</c:v>
                </c:pt>
              </c:numCache>
            </c:numRef>
          </c:xVal>
          <c:yVal>
            <c:numRef>
              <c:f>Sheet1!$B$2:$B$6</c:f>
              <c:numCache>
                <c:formatCode>General</c:formatCode>
                <c:ptCount val="5"/>
                <c:pt idx="0">
                  <c:v>0.30399999999999999</c:v>
                </c:pt>
                <c:pt idx="1">
                  <c:v>0.624</c:v>
                </c:pt>
                <c:pt idx="2">
                  <c:v>0.88700000000000001</c:v>
                </c:pt>
                <c:pt idx="3">
                  <c:v>1.113</c:v>
                </c:pt>
                <c:pt idx="4">
                  <c:v>1.4139999999999999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7E7-41F5-899F-38DA948ABA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7463056"/>
        <c:axId val="474000096"/>
      </c:scatterChart>
      <c:valAx>
        <c:axId val="4774630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Conc (20-100µg/ml)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74000096"/>
        <c:crosses val="autoZero"/>
        <c:crossBetween val="midCat"/>
      </c:valAx>
      <c:valAx>
        <c:axId val="474000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Absorbance (650 nm)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7746305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Standard Curve of (FeSO4)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Abs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intercept val="0"/>
            <c:dispRSqr val="1"/>
            <c:dispEq val="1"/>
            <c:trendlineLbl>
              <c:layout>
                <c:manualLayout>
                  <c:x val="0.44490179352581011"/>
                  <c:y val="9.5509259259259266E-2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y = 0.0011x</a:t>
                    </a:r>
                    <a:br>
                      <a:rPr lang="en-US" baseline="0"/>
                    </a:br>
                    <a:r>
                      <a:rPr lang="en-US" baseline="0"/>
                      <a:t>R² = 0.919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xVal>
            <c:numRef>
              <c:f>Sheet1!$A$2:$A$8</c:f>
              <c:numCache>
                <c:formatCode>General</c:formatCode>
                <c:ptCount val="7"/>
                <c:pt idx="0">
                  <c:v>100</c:v>
                </c:pt>
                <c:pt idx="1">
                  <c:v>200</c:v>
                </c:pt>
                <c:pt idx="2">
                  <c:v>400</c:v>
                </c:pt>
                <c:pt idx="3">
                  <c:v>500</c:v>
                </c:pt>
                <c:pt idx="4">
                  <c:v>600</c:v>
                </c:pt>
                <c:pt idx="5">
                  <c:v>800</c:v>
                </c:pt>
                <c:pt idx="6">
                  <c:v>1000</c:v>
                </c:pt>
              </c:numCache>
            </c:numRef>
          </c:xVal>
          <c:yVal>
            <c:numRef>
              <c:f>Sheet1!$B$2:$B$8</c:f>
              <c:numCache>
                <c:formatCode>General</c:formatCode>
                <c:ptCount val="7"/>
                <c:pt idx="0">
                  <c:v>3.9000000000000014E-2</c:v>
                </c:pt>
                <c:pt idx="1">
                  <c:v>0.15900000000000086</c:v>
                </c:pt>
                <c:pt idx="2">
                  <c:v>0.42400000000000032</c:v>
                </c:pt>
                <c:pt idx="3">
                  <c:v>0.80400000000000005</c:v>
                </c:pt>
                <c:pt idx="4">
                  <c:v>0.63300000000000356</c:v>
                </c:pt>
                <c:pt idx="5">
                  <c:v>0.85700000000000065</c:v>
                </c:pt>
                <c:pt idx="6">
                  <c:v>1.109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00C-453E-B8F2-B50FA0DB30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2471168"/>
        <c:axId val="232520704"/>
      </c:scatterChart>
      <c:valAx>
        <c:axId val="23247116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 (100-1000 µM)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32520704"/>
        <c:crosses val="autoZero"/>
        <c:crossBetween val="midCat"/>
      </c:valAx>
      <c:valAx>
        <c:axId val="232520704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Absorbance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32471168"/>
        <c:crosses val="autoZero"/>
        <c:crossBetween val="midCat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4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 Sharma</dc:creator>
  <cp:keywords/>
  <dc:description/>
  <cp:lastModifiedBy>Yash Sharma</cp:lastModifiedBy>
  <cp:revision>1</cp:revision>
  <dcterms:created xsi:type="dcterms:W3CDTF">2021-11-01T15:30:00Z</dcterms:created>
  <dcterms:modified xsi:type="dcterms:W3CDTF">2021-11-01T15:35:00Z</dcterms:modified>
</cp:coreProperties>
</file>