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A1DA" w14:textId="10A4C5A2" w:rsidR="00EC136B" w:rsidRDefault="00EC136B" w:rsidP="007C30C0">
      <w:pPr>
        <w:pStyle w:val="berschrift2"/>
        <w:spacing w:line="360" w:lineRule="auto"/>
        <w:rPr>
          <w:kern w:val="0"/>
          <w:lang w:val="en-US"/>
          <w14:ligatures w14:val="none"/>
        </w:rPr>
      </w:pPr>
      <w:r>
        <w:rPr>
          <w:kern w:val="0"/>
          <w:lang w:val="en-US"/>
          <w14:ligatures w14:val="none"/>
        </w:rPr>
        <w:t>SMART - Additional File 2</w:t>
      </w:r>
    </w:p>
    <w:p w14:paraId="1F2EABF8" w14:textId="7FDB6DF1" w:rsidR="004D3A3E" w:rsidRPr="007C30C0" w:rsidRDefault="004D3A3E" w:rsidP="007C30C0">
      <w:pPr>
        <w:pStyle w:val="berschrift2"/>
        <w:spacing w:line="360" w:lineRule="auto"/>
        <w:rPr>
          <w:kern w:val="0"/>
          <w:lang w:val="en-US"/>
          <w14:ligatures w14:val="none"/>
        </w:rPr>
      </w:pPr>
      <w:r w:rsidRPr="007C30C0">
        <w:rPr>
          <w:kern w:val="0"/>
          <w:lang w:val="en-US"/>
          <w14:ligatures w14:val="none"/>
        </w:rPr>
        <w:t>EIT model and image reconstruction</w:t>
      </w:r>
    </w:p>
    <w:p w14:paraId="5C881A8A" w14:textId="77777777" w:rsidR="004D3A3E" w:rsidRDefault="004D3A3E" w:rsidP="004D3A3E">
      <w:pPr>
        <w:pStyle w:val="Textkrper"/>
        <w:spacing w:line="360" w:lineRule="auto"/>
      </w:pPr>
      <w:r w:rsidRPr="00CF726C">
        <w:t>EIT was employed to regionally validate the model’s ventilation predictions. It should be emphasized that the EIT measurements collected during patient ventilation were used solely for validation purposes and were not involved in the calibration of the digital twins.</w:t>
      </w:r>
    </w:p>
    <w:p w14:paraId="6C6F0AFA" w14:textId="77777777" w:rsidR="004D3A3E" w:rsidRDefault="004D3A3E" w:rsidP="004D3A3E">
      <w:pPr>
        <w:pStyle w:val="Textkrper"/>
        <w:spacing w:line="360" w:lineRule="auto"/>
      </w:pPr>
      <w:r w:rsidRPr="005C7982">
        <w:t>Only some patients wore the EIT sensor belt during the CT scan, allowing for direct identification of electrode positions based on their visibility in the CT images.</w:t>
      </w:r>
      <w:r w:rsidRPr="005C7982">
        <w:br/>
        <w:t>For the remaining patients, electrode positions were estimated according to a standard clinical configuration, aligned along the costal arc based on the belt size and corresponding electrode spacing.</w:t>
      </w:r>
    </w:p>
    <w:p w14:paraId="7B0519C5" w14:textId="1107D472" w:rsidR="004D3A3E" w:rsidRDefault="004D3A3E" w:rsidP="004D3A3E">
      <w:pPr>
        <w:pStyle w:val="Textkrper"/>
        <w:spacing w:line="360" w:lineRule="auto"/>
      </w:pPr>
      <w:r w:rsidRPr="00CF726C">
        <w:t>In this study, the EIT-based regional validation method described by Roth et al.</w:t>
      </w:r>
      <w:r w:rsidR="00466449">
        <w:t xml:space="preserve"> </w:t>
      </w:r>
      <w:r w:rsidR="00466449">
        <w:fldChar w:fldCharType="begin"/>
      </w:r>
      <w:r w:rsidR="00843984">
        <w:instrText xml:space="preserve"> ADDIN ZOTERO_ITEM CSL_CITATION {"citationID":"tMEFjk0f","properties":{"formattedCitation":"(1)","plainCitation":"(1)","noteIndex":0},"citationItems":[{"id":1470,"uris":["http://zotero.org/users/9434334/items/HDCKS3UD"],"itemData":{"id":1470,"type":"article-journal","abstract":"Providing optimal personalized mechanical ventilation for patients with acute or chronic respiratory failure is still a challenge within a clinical setting for each case anew. In this article, we integrate electrical impedance tomography (EIT) monitoring into a powerful patient-specific computational lung model to create an approach for personalizing protective ventilatory treatment. The underlying computational lung model is based on a single computed tomography scan and able to predict global airflow quantities, as well as local tissue aeration and strains for any ventilation maneuver. For validation, a novel \"virtual EIT\" module is added to our computational lung model, allowing to simulate EIT images based on the patient's thorax geometry and the results of our numerically predicted tissue aeration. Clinically measured EIT images are not used to calibrate the computational model. Thus they provide an independent method to validate the computational predictions at high temporal resolution. The performance of this coupling approach has been tested in an example patient with acute respiratory distress syndrome. The method shows good agreement between computationally predicted and clinically measured airflow data and EIT images. These results imply that the proposed framework can be used for numerical prediction of patient-specific responses to certain therapeutic measures before applying them to an actual patient. In the long run, definition of patient-specific optimal ventilation protocols might be assisted by computational modeling.NEW &amp; NOTEWORTHY In this work, we present a patient-specific computational lung model that is able to predict global and local ventilatory quantities for a given patient and any selected ventilation protocol. For the first time, such a predictive lung model is equipped with a virtual electrical impedance tomography module allowing real-time validation of the computed results with the patient measurements. First promising results obtained in an acute respiratory distress syndrome patient show the potential of this approach for personalized computationally guided optimization of mechanical ventilation in future.","container-title":"Journal of Applied Physiology (Bethesda, Md.: 1985)","DOI":"10.1152/japplphysiol.00236.2016","ISSN":"1522-1601","issue":"4","journalAbbreviation":"J Appl Physiol (1985)","language":"eng","page":"855-867","PMID":"27932671","source":"PubMed","title":"Coupling of EIT with computational lung modeling for predicting patient-specific ventilatory responses","volume":"122","author":[{"family":"Roth","given":"Christian J."},{"family":"Becher","given":"Tobias"},{"family":"Frerichs","given":"Inéz"},{"family":"Weiler","given":"Norbert"},{"family":"Wall","given":"Wolfgang A."}],"issued":{"date-parts":[["2017",4,1]]}}}],"schema":"https://github.com/citation-style-language/schema/raw/master/csl-citation.json"} </w:instrText>
      </w:r>
      <w:r w:rsidR="00466449">
        <w:fldChar w:fldCharType="separate"/>
      </w:r>
      <w:r w:rsidR="00466449">
        <w:rPr>
          <w:noProof/>
        </w:rPr>
        <w:t>(1)</w:t>
      </w:r>
      <w:r w:rsidR="00466449">
        <w:fldChar w:fldCharType="end"/>
      </w:r>
      <w:r w:rsidRPr="00CF726C">
        <w:t xml:space="preserve"> was implemented with modifications to accommodate the clinical measurement setup.</w:t>
      </w:r>
      <w:r>
        <w:t xml:space="preserve"> </w:t>
      </w:r>
      <w:r w:rsidRPr="007B07B6">
        <w:t xml:space="preserve">The EIT validation procedure was implemented in the open source software package </w:t>
      </w:r>
      <w:proofErr w:type="spellStart"/>
      <w:r w:rsidRPr="002A5D28">
        <w:t>holoshed</w:t>
      </w:r>
      <w:proofErr w:type="spellEnd"/>
      <w:r w:rsidRPr="002A5D28">
        <w:t xml:space="preserve"> </w:t>
      </w:r>
      <w:r w:rsidR="00466449">
        <w:fldChar w:fldCharType="begin"/>
      </w:r>
      <w:r w:rsidR="00466449">
        <w:instrText xml:space="preserve"> ADDIN ZOTERO_ITEM CSL_CITATION {"citationID":"s47sufqW","properties":{"formattedCitation":"(2)","plainCitation":"(2)","noteIndex":0},"citationItems":[{"id":2576,"uris":["http://zotero.org/users/9434334/items/YMENDLYA"],"itemData":{"id":2576,"type":"webpage","abstract":"Generate EIT images from simulation output.","container-title":"GitLab","language":"de","title":"Xenotaph3 / Holo Shed · GitLab","URL":"https://gitlab.com/xenotaph3/holoshed","accessed":{"date-parts":[["2025",11,14]]},"issued":{"date-parts":[["2024",8,14]]}}}],"schema":"https://github.com/citation-style-language/schema/raw/master/csl-citation.json"} </w:instrText>
      </w:r>
      <w:r w:rsidR="00466449">
        <w:fldChar w:fldCharType="separate"/>
      </w:r>
      <w:r w:rsidR="00466449">
        <w:rPr>
          <w:noProof/>
        </w:rPr>
        <w:t>(2)</w:t>
      </w:r>
      <w:r w:rsidR="00466449">
        <w:fldChar w:fldCharType="end"/>
      </w:r>
      <w:r w:rsidRPr="007B07B6">
        <w:t xml:space="preserve"> which is based on the EIDORS toolbox and the GREIT reconstruction algorithm</w:t>
      </w:r>
      <w:r w:rsidR="00466449">
        <w:t xml:space="preserve"> </w:t>
      </w:r>
      <w:r w:rsidR="00466449">
        <w:fldChar w:fldCharType="begin"/>
      </w:r>
      <w:r w:rsidR="00466449">
        <w:instrText xml:space="preserve"> ADDIN ZOTERO_ITEM CSL_CITATION {"citationID":"Y74QExd4","properties":{"formattedCitation":"(3)","plainCitation":"(3)","noteIndex":0},"citationItems":[{"id":2814,"uris":["http://zotero.org/users/9434334/items/6VVQIRK4"],"itemData":{"id":2814,"type":"article-journal","abstract":"Electrical impedance tomography (EIT) is an attractive method for clinically monitoring patients during mechanical ventilation, because it can provide a non-invasive continuous image of pulmonary impedance which indicates the distribution of ventilation. However, most clinical and physiological research in lung EIT is done using older and proprietary algorithms; this is an obstacle to interpretation of EIT images because the reconstructed images are not well characterized. To address this issue, we develop a consensus linear reconstruction algorithm for lung EIT, called GREIT (Graz consensus Reconstruction algorithm for EIT). This paper describes the unified approach to linear image reconstruction developed for GREIT. The framework for the linear reconstruction algorithm consists of (1) detailed finite element models of a representative adult and neonatal thorax, (2) consensus on the performance figures of merit for EIT image reconstruction and (3) a systematic approach to optimize a linear reconstruction matrix to desired performance measures. Consensus figures of merit, in order of importance, are (a) uniform amplitude response, (b) small and uniform position error, (c) small ringing artefacts, (d) uniform resolution, (e) limited shape deformation and (f) high resolution. Such figures of merit must be attained while maintaining small noise amplification and small sensitivity to electrode and boundary movement. This approach represents the consensus of a large and representative group of experts in EIT algorithm design and clinical applications for pulmonary monitoring. All software and data to implement and test the algorithm have been made available under an open source license which allows free research and commercial use.","container-title":"Physiological Measurement","DOI":"10.1088/0967-3334/30/6/S03","ISSN":"0967-3334","issue":"6","journalAbbreviation":"Physiol. Meas.","language":"en","page":"S35","source":"Institute of Physics","title":"GREIT: a unified approach to 2D linear EIT reconstruction of lung images","title-short":"GREIT","volume":"30","author":[{"family":"Adler","given":"Andy"},{"family":"Arnold","given":"John H"},{"family":"Bayford","given":"Richard"},{"family":"Borsic","given":"Andrea"},{"family":"Brown","given":"Brian"},{"family":"Dixon","given":"Paul"},{"family":"Faes","given":"Theo J C"},{"family":"Frerichs","given":"Inéz"},{"family":"Gagnon","given":"Hervé"},{"family":"Gärber","given":"Yvo"},{"family":"Grychtol","given":"Bartłomiej"},{"family":"Hahn","given":"Günter"},{"family":"Lionheart","given":"William R B"},{"family":"Malik","given":"Anjum"},{"family":"Patterson","given":"Robert P"},{"family":"Stocks","given":"Janet"},{"family":"Tizzard","given":"Andrew"},{"family":"Weiler","given":"Norbert"},{"family":"Wolf","given":"Gerhard K"}],"issued":{"date-parts":[["2009",6]]}}}],"schema":"https://github.com/citation-style-language/schema/raw/master/csl-citation.json"} </w:instrText>
      </w:r>
      <w:r w:rsidR="00466449">
        <w:fldChar w:fldCharType="separate"/>
      </w:r>
      <w:r w:rsidR="00466449">
        <w:rPr>
          <w:noProof/>
        </w:rPr>
        <w:t>(3)</w:t>
      </w:r>
      <w:r w:rsidR="00466449">
        <w:fldChar w:fldCharType="end"/>
      </w:r>
      <w:r w:rsidRPr="007B07B6">
        <w:t>. The EIT model is based on a three-dimensional thorax model segmented from the patient CT scan and uses the finite element method for the electrical simulations. At its surface, the thorax model was equipped with 32 rectangular electrodes</w:t>
      </w:r>
      <w:r w:rsidR="000F79C0">
        <w:t xml:space="preserve"> (10x40</w:t>
      </w:r>
      <w:r w:rsidR="00EA5DC5">
        <w:t xml:space="preserve"> </w:t>
      </w:r>
      <w:r w:rsidR="000F79C0">
        <w:t>mm)</w:t>
      </w:r>
      <w:r w:rsidRPr="007B07B6">
        <w:t xml:space="preserve"> using a refined finite element mesh size</w:t>
      </w:r>
      <w:r w:rsidR="000F79C0">
        <w:t xml:space="preserve"> 2</w:t>
      </w:r>
      <w:r w:rsidR="00EA5DC5">
        <w:t xml:space="preserve"> </w:t>
      </w:r>
      <w:r w:rsidR="000F79C0">
        <w:t>mm</w:t>
      </w:r>
      <w:r w:rsidRPr="007B07B6">
        <w:t xml:space="preserve"> in contrast to</w:t>
      </w:r>
      <w:r w:rsidR="000F79C0">
        <w:t xml:space="preserve"> 10 mm</w:t>
      </w:r>
      <w:r w:rsidRPr="007B07B6">
        <w:t xml:space="preserve"> in the remaining domain). </w:t>
      </w:r>
    </w:p>
    <w:p w14:paraId="0DBA8BA3" w14:textId="057E654F" w:rsidR="004D3A3E" w:rsidRDefault="004D3A3E" w:rsidP="004D3A3E">
      <w:pPr>
        <w:pStyle w:val="FirstParagraph"/>
        <w:spacing w:line="360" w:lineRule="auto"/>
      </w:pPr>
      <w:r w:rsidRPr="007B07B6">
        <w:t>Following Roth et al.</w:t>
      </w:r>
      <w:r>
        <w:t xml:space="preserve"> </w:t>
      </w:r>
      <w:r w:rsidR="00466449">
        <w:fldChar w:fldCharType="begin"/>
      </w:r>
      <w:r w:rsidR="00843984">
        <w:instrText xml:space="preserve"> ADDIN ZOTERO_ITEM CSL_CITATION {"citationID":"CIdU7iL5","properties":{"formattedCitation":"(1,4)","plainCitation":"(1,4)","noteIndex":0},"citationItems":[{"id":1470,"uris":["http://zotero.org/users/9434334/items/HDCKS3UD"],"itemData":{"id":1470,"type":"article-journal","abstract":"Providing optimal personalized mechanical ventilation for patients with acute or chronic respiratory failure is still a challenge within a clinical setting for each case anew. In this article, we integrate electrical impedance tomography (EIT) monitoring into a powerful patient-specific computational lung model to create an approach for personalizing protective ventilatory treatment. The underlying computational lung model is based on a single computed tomography scan and able to predict global airflow quantities, as well as local tissue aeration and strains for any ventilation maneuver. For validation, a novel \"virtual EIT\" module is added to our computational lung model, allowing to simulate EIT images based on the patient's thorax geometry and the results of our numerically predicted tissue aeration. Clinically measured EIT images are not used to calibrate the computational model. Thus they provide an independent method to validate the computational predictions at high temporal resolution. The performance of this coupling approach has been tested in an example patient with acute respiratory distress syndrome. The method shows good agreement between computationally predicted and clinically measured airflow data and EIT images. These results imply that the proposed framework can be used for numerical prediction of patient-specific responses to certain therapeutic measures before applying them to an actual patient. In the long run, definition of patient-specific optimal ventilation protocols might be assisted by computational modeling.NEW &amp; NOTEWORTHY In this work, we present a patient-specific computational lung model that is able to predict global and local ventilatory quantities for a given patient and any selected ventilation protocol. For the first time, such a predictive lung model is equipped with a virtual electrical impedance tomography module allowing real-time validation of the computed results with the patient measurements. First promising results obtained in an acute respiratory distress syndrome patient show the potential of this approach for personalized computationally guided optimization of mechanical ventilation in future.","container-title":"Journal of Applied Physiology (Bethesda, Md.: 1985)","DOI":"10.1152/japplphysiol.00236.2016","ISSN":"1522-1601","issue":"4","journalAbbreviation":"J Appl Physiol (1985)","language":"eng","page":"855-867","PMID":"27932671","source":"PubMed","title":"Coupling of EIT with computational lung modeling for predicting patient-specific ventilatory responses","volume":"122","author":[{"family":"Roth","given":"Christian J."},{"family":"Becher","given":"Tobias"},{"family":"Frerichs","given":"Inéz"},{"family":"Weiler","given":"Norbert"},{"family":"Wall","given":"Wolfgang A."}],"issued":{"date-parts":[["2017",4,1]]}}},{"id":2816,"uris":["http://zotero.org/users/9434334/items/56YW93ZP"],"itemData":{"id":2816,"type":"article-journal","abstract":"One key problem in modern medical imaging is linking measured data and actual physiological quantities. In this article we derive such a link between the electrical bioimpedance of lung parenchyma, which can be measured by electrical impedance tomography (EIT), and the magnitude of regional ventilation, a key to understanding lung mechanics and developing novel protective ventilation strategies. Two rat-derived three-dimensional alveolar microstructures obtained from synchrotron-based x-ray tomography are each exposed to a constant potential difference for different states of ventilation in a finite element simulation. While the alveolar wall volume remains constant during stretch, the enclosed air volume varies, similar to the lung volume during ventilation. The enclosed air, serving as insulator in the alveolar ensemble, determines the resulting current and accordingly local tissue bioimpedance. From this we can derive a relationship between lung tissue bioimpedance and regional alveolar ventilation. The derived relationship shows a linear dependence between air content and tissue impedance and matches clinical data determined from a ventilated patient at the bedside.","container-title":"Physiological Measurement","DOI":"10.1088/0967-3334/36/6/1211","ISSN":"1361-6579","issue":"6","journalAbbreviation":"Physiol Meas","language":"eng","page":"1211-1226","PMID":"26008964","source":"PubMed","title":"Correlation between alveolar ventilation and electrical properties of lung parenchyma","volume":"36","author":[{"family":"Roth","given":"Christian J."},{"family":"Ehrl","given":"Andreas"},{"family":"Becher","given":"Tobias"},{"family":"Frerichs","given":"Inéz"},{"family":"Schittny","given":"Johannes C."},{"family":"Weiler","given":"Norbert"},{"family":"Wall","given":"Wolfgang A."}],"issued":{"date-parts":[["2015",6]]}}}],"schema":"https://github.com/citation-style-language/schema/raw/master/csl-citation.json"} </w:instrText>
      </w:r>
      <w:r w:rsidR="00466449">
        <w:fldChar w:fldCharType="separate"/>
      </w:r>
      <w:r w:rsidR="00466449">
        <w:rPr>
          <w:noProof/>
        </w:rPr>
        <w:t>(1,4)</w:t>
      </w:r>
      <w:r w:rsidR="00466449">
        <w:fldChar w:fldCharType="end"/>
      </w:r>
      <w:r w:rsidR="00466449">
        <w:t xml:space="preserve"> </w:t>
      </w:r>
      <w:r w:rsidRPr="007B07B6">
        <w:t xml:space="preserve">we mapped the locally simulated lung tissue strains, and hence air content in the mechanical model to the electrical resistivity of the lung tissue in the EIT model. Applying the same electrode stimulation pattern as in the clinical setup to this EIT model, we calculated virtual EIT electrode measurements that aim to mimic the behavior in the clinical measurements. </w:t>
      </w:r>
      <w:r>
        <w:t xml:space="preserve">Figure 1 shows the virtual EIT pipeline as a more detailed version of the virtual EIT module shown in </w:t>
      </w:r>
      <w:r w:rsidR="00466449">
        <w:t xml:space="preserve">Additional File </w:t>
      </w:r>
      <w:r>
        <w:t xml:space="preserve"> 1.</w:t>
      </w:r>
    </w:p>
    <w:p w14:paraId="488BA370" w14:textId="38B02E1A" w:rsidR="004D3A3E" w:rsidRPr="00EA5DC5" w:rsidRDefault="004D3A3E" w:rsidP="004D3A3E">
      <w:pPr>
        <w:pStyle w:val="Textkrper"/>
        <w:spacing w:line="360" w:lineRule="auto"/>
      </w:pPr>
      <w:r>
        <w:t xml:space="preserve">As </w:t>
      </w:r>
      <w:r w:rsidR="00466449">
        <w:t xml:space="preserve">shown </w:t>
      </w:r>
      <w:r>
        <w:t xml:space="preserve">in </w:t>
      </w:r>
      <w:r w:rsidR="00466449">
        <w:t>Additional File</w:t>
      </w:r>
      <w:r>
        <w:t xml:space="preserve"> 1,  the virtual EIT module consists of two blocks ("Resistivity mapping" and "EIT simulation") and shares the EIT reconstruction block with the clinical EIT module. From the mechanical lung model, we get locally resolved values of the air, </w:t>
      </w:r>
      <w:r>
        <w:lastRenderedPageBreak/>
        <w:t>tissue, and fluid volume in the terminal units (</w:t>
      </w:r>
      <m:oMath>
        <m:sSub>
          <m:sSubPr>
            <m:ctrlPr>
              <w:rPr>
                <w:rFonts w:ascii="Cambria Math" w:hAnsi="Cambria Math"/>
                <w:i/>
              </w:rPr>
            </m:ctrlPr>
          </m:sSubPr>
          <m:e>
            <m:r>
              <w:rPr>
                <w:rFonts w:ascii="Cambria Math" w:hAnsi="Cambria Math"/>
              </w:rPr>
              <m:t>V</m:t>
            </m:r>
          </m:e>
          <m:sub>
            <m:r>
              <w:rPr>
                <w:rFonts w:ascii="Cambria Math" w:hAnsi="Cambria Math"/>
              </w:rPr>
              <m:t>air</m:t>
            </m:r>
          </m:sub>
        </m:sSub>
      </m:oMath>
      <w:r>
        <w:t xml:space="preserve">, </w:t>
      </w:r>
      <m:oMath>
        <m:sSub>
          <m:sSubPr>
            <m:ctrlPr>
              <w:rPr>
                <w:rFonts w:ascii="Cambria Math" w:hAnsi="Cambria Math"/>
                <w:i/>
              </w:rPr>
            </m:ctrlPr>
          </m:sSubPr>
          <m:e>
            <m:r>
              <w:rPr>
                <w:rFonts w:ascii="Cambria Math" w:hAnsi="Cambria Math"/>
              </w:rPr>
              <m:t>V</m:t>
            </m:r>
          </m:e>
          <m:sub>
            <m:r>
              <w:rPr>
                <w:rFonts w:ascii="Cambria Math" w:hAnsi="Cambria Math"/>
              </w:rPr>
              <m:t>tis</m:t>
            </m:r>
          </m:sub>
        </m:sSub>
      </m:oMath>
      <w:r>
        <w:t xml:space="preserve">, and </w:t>
      </w:r>
      <m:oMath>
        <m:sSub>
          <m:sSubPr>
            <m:ctrlPr>
              <w:rPr>
                <w:rFonts w:ascii="Cambria Math" w:hAnsi="Cambria Math"/>
                <w:i/>
              </w:rPr>
            </m:ctrlPr>
          </m:sSubPr>
          <m:e>
            <m:r>
              <w:rPr>
                <w:rFonts w:ascii="Cambria Math" w:hAnsi="Cambria Math"/>
              </w:rPr>
              <m:t>V</m:t>
            </m:r>
          </m:e>
          <m:sub>
            <m:r>
              <w:rPr>
                <w:rFonts w:ascii="Cambria Math" w:hAnsi="Cambria Math"/>
              </w:rPr>
              <m:t>liq</m:t>
            </m:r>
          </m:sub>
        </m:sSub>
      </m:oMath>
      <w:r>
        <w:t xml:space="preserve">). From these quantities, the corresponding filling factor </w:t>
      </w:r>
      <m:oMath>
        <m:r>
          <m:rPr>
            <m:sty m:val="p"/>
          </m:rPr>
          <w:rPr>
            <w:rFonts w:ascii="Cambria Math" w:hAnsi="Cambria Math"/>
          </w:rPr>
          <m:t>FF</m:t>
        </m:r>
      </m:oMath>
      <w:r>
        <w:t xml:space="preserve"> and effective </w:t>
      </w:r>
      <w:r w:rsidR="000F79C0" w:rsidRPr="000F79C0">
        <w:t xml:space="preserve">resistivity </w:t>
      </w:r>
      <m:oMath>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eff</m:t>
            </m:r>
          </m:sub>
        </m:sSub>
      </m:oMath>
      <w:r w:rsidR="000F79C0" w:rsidRPr="000F79C0">
        <w:t xml:space="preserve"> can </w:t>
      </w:r>
      <w:r>
        <w:t>be obtained via</w:t>
      </w:r>
    </w:p>
    <w:p w14:paraId="1AFEABF0" w14:textId="63BBBB20" w:rsidR="000F79C0" w:rsidRPr="00BC21E3" w:rsidRDefault="00000000" w:rsidP="00BC21E3">
      <w:pPr>
        <w:pStyle w:val="Textkrper"/>
        <w:spacing w:line="360" w:lineRule="auto"/>
        <w:rPr>
          <w:iCs/>
        </w:rPr>
      </w:pPr>
      <m:oMathPara>
        <m:oMath>
          <m:eqArr>
            <m:eqArrPr>
              <m:ctrlPr>
                <w:rPr>
                  <w:rFonts w:ascii="Cambria Math" w:hAnsi="Cambria Math"/>
                  <w:iCs/>
                </w:rPr>
              </m:ctrlPr>
            </m:eqArrPr>
            <m:e>
              <m:r>
                <m:rPr>
                  <m:sty m:val="p"/>
                </m:rPr>
                <w:rPr>
                  <w:rFonts w:ascii="Cambria Math" w:hAnsi="Cambria Math"/>
                </w:rPr>
                <m:t>FF&amp;=</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air</m:t>
                      </m:r>
                    </m:sub>
                  </m:sSub>
                </m:num>
                <m:den>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tis</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liq</m:t>
                      </m:r>
                    </m:sub>
                  </m:sSub>
                </m:den>
              </m:f>
              <m:r>
                <m:rPr>
                  <m:sty m:val="p"/>
                </m:rPr>
                <w:rPr>
                  <w:rFonts w:ascii="Cambria Math" w:hAnsi="Cambria Math"/>
                </w:rPr>
                <m:t>,</m:t>
              </m:r>
            </m:e>
            <m:e>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eff</m:t>
                  </m:r>
                </m:sub>
              </m:sSub>
              <m:r>
                <m:rPr>
                  <m:sty m:val="p"/>
                </m:rPr>
                <w:rPr>
                  <w:rFonts w:ascii="Cambria Math" w:hAnsi="Cambria Math"/>
                </w:rPr>
                <m:t>&amp;=</m:t>
              </m:r>
              <m:f>
                <m:fPr>
                  <m:ctrlPr>
                    <w:rPr>
                      <w:rFonts w:ascii="Cambria Math" w:hAnsi="Cambria Math"/>
                      <w:iCs/>
                    </w:rPr>
                  </m:ctrlPr>
                </m:fPr>
                <m:num>
                  <m:r>
                    <m:rPr>
                      <m:sty m:val="p"/>
                    </m:rPr>
                    <w:rPr>
                      <w:rFonts w:ascii="Cambria Math" w:hAnsi="Cambria Math"/>
                    </w:rPr>
                    <m:t>τ</m:t>
                  </m:r>
                </m:num>
                <m:den>
                  <m:sSub>
                    <m:sSubPr>
                      <m:ctrlPr>
                        <w:rPr>
                          <w:rFonts w:ascii="Cambria Math" w:hAnsi="Cambria Math"/>
                          <w:iCs/>
                        </w:rPr>
                      </m:ctrlPr>
                    </m:sSubPr>
                    <m:e>
                      <m:r>
                        <m:rPr>
                          <m:sty m:val="p"/>
                        </m:rPr>
                        <w:rPr>
                          <w:rFonts w:ascii="Cambria Math" w:hAnsi="Cambria Math"/>
                        </w:rPr>
                        <m:t>σ</m:t>
                      </m:r>
                    </m:e>
                    <m:sub>
                      <m:r>
                        <m:rPr>
                          <m:sty m:val="p"/>
                        </m:rPr>
                        <w:rPr>
                          <w:rFonts w:ascii="Cambria Math" w:hAnsi="Cambria Math"/>
                        </w:rPr>
                        <m:t>alv</m:t>
                      </m:r>
                    </m:sub>
                  </m:sSub>
                </m:den>
              </m:f>
              <m:r>
                <m:rPr>
                  <m:sty m:val="p"/>
                </m:rPr>
                <w:rPr>
                  <w:rFonts w:ascii="Cambria Math" w:hAnsi="Cambria Math"/>
                </w:rPr>
                <m:t>⋅</m:t>
              </m:r>
              <m:r>
                <m:rPr>
                  <m:sty m:val="p"/>
                </m:rPr>
                <w:rPr>
                  <w:rFonts w:ascii="Cambria Math" w:hAnsi="Cambria Math"/>
                </w:rPr>
                <m:t>(FF+1),</m:t>
              </m:r>
            </m:e>
          </m:eqArr>
        </m:oMath>
      </m:oMathPara>
    </w:p>
    <w:p w14:paraId="042A4A62" w14:textId="52F004B3" w:rsidR="004D3A3E" w:rsidRPr="00B70498" w:rsidRDefault="000F79C0" w:rsidP="004D3A3E">
      <w:pPr>
        <w:pStyle w:val="FirstParagraph"/>
        <w:spacing w:line="360" w:lineRule="auto"/>
      </w:pPr>
      <w:r w:rsidRPr="00B70498">
        <w:t xml:space="preserve">where </w:t>
      </w:r>
      <m:oMath>
        <m:r>
          <w:rPr>
            <w:rFonts w:ascii="Cambria Math" w:hAnsi="Cambria Math"/>
          </w:rPr>
          <m:t>τ=1.71</m:t>
        </m:r>
      </m:oMath>
      <w:r w:rsidRPr="00B70498">
        <w:t xml:space="preserve"> is the mean tortuosity, and </w:t>
      </w:r>
      <m:oMath>
        <m:sSub>
          <m:sSubPr>
            <m:ctrlPr>
              <w:rPr>
                <w:rFonts w:ascii="Cambria Math" w:hAnsi="Cambria Math"/>
                <w:iCs/>
              </w:rPr>
            </m:ctrlPr>
          </m:sSubPr>
          <m:e>
            <m:r>
              <m:rPr>
                <m:sty m:val="p"/>
              </m:rPr>
              <w:rPr>
                <w:rFonts w:ascii="Cambria Math" w:hAnsi="Cambria Math"/>
              </w:rPr>
              <m:t>σ</m:t>
            </m:r>
          </m:e>
          <m:sub>
            <m:r>
              <m:rPr>
                <m:sty m:val="p"/>
              </m:rPr>
              <w:rPr>
                <w:rFonts w:ascii="Cambria Math" w:hAnsi="Cambria Math"/>
              </w:rPr>
              <m:t>alv</m:t>
            </m:r>
          </m:sub>
        </m:sSub>
        <m:r>
          <w:rPr>
            <w:rFonts w:ascii="Cambria Math" w:hAnsi="Cambria Math"/>
          </w:rPr>
          <m:t xml:space="preserve">=0.7284 </m:t>
        </m:r>
        <m:sSup>
          <m:sSupPr>
            <m:ctrlPr>
              <w:rPr>
                <w:rFonts w:ascii="Cambria Math" w:hAnsi="Cambria Math"/>
                <w:i/>
              </w:rPr>
            </m:ctrlPr>
          </m:sSupPr>
          <m:e>
            <m:r>
              <m:rPr>
                <m:sty m:val="p"/>
              </m:rPr>
              <w:rPr>
                <w:rFonts w:ascii="Cambria Math" w:hAnsi="Cambria Math"/>
              </w:rPr>
              <m:t>Ω</m:t>
            </m:r>
          </m:e>
          <m:sup>
            <m:r>
              <w:rPr>
                <w:rFonts w:ascii="Cambria Math" w:hAnsi="Cambria Math"/>
              </w:rPr>
              <m:t>-1</m:t>
            </m:r>
          </m:sup>
        </m:sSup>
        <m:sSup>
          <m:sSupPr>
            <m:ctrlPr>
              <w:rPr>
                <w:rFonts w:ascii="Cambria Math" w:hAnsi="Cambria Math"/>
                <w:i/>
              </w:rPr>
            </m:ctrlPr>
          </m:sSupPr>
          <m:e>
            <m:r>
              <m:rPr>
                <m:sty m:val="p"/>
              </m:rPr>
              <w:rPr>
                <w:rFonts w:ascii="Cambria Math" w:hAnsi="Cambria Math"/>
              </w:rPr>
              <m:t>m</m:t>
            </m:r>
          </m:e>
          <m:sup>
            <m:r>
              <w:rPr>
                <w:rFonts w:ascii="Cambria Math" w:hAnsi="Cambria Math"/>
              </w:rPr>
              <m:t>-1</m:t>
            </m:r>
          </m:sup>
        </m:sSup>
      </m:oMath>
      <w:r w:rsidRPr="00B70498">
        <w:t>  is the alveolar conductivity </w:t>
      </w:r>
      <w:r w:rsidR="004D3A3E" w:rsidRPr="00B70498">
        <w:t xml:space="preserve"> </w:t>
      </w:r>
      <w:r w:rsidR="005F25EA">
        <w:t>(</w:t>
      </w:r>
      <w:r w:rsidR="004D3A3E" w:rsidRPr="00B70498">
        <w:t>1,3</w:t>
      </w:r>
      <w:r w:rsidR="005F25EA">
        <w:t>)</w:t>
      </w:r>
      <w:r w:rsidR="004D3A3E" w:rsidRPr="00B70498">
        <w:t xml:space="preserve">. The effective resistivity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eff</m:t>
            </m:r>
          </m:sub>
        </m:sSub>
      </m:oMath>
      <w:r w:rsidR="004D3A3E" w:rsidRPr="00B70498">
        <w:t xml:space="preserve"> is then mapped from the terminal units to tetrahedral elements of the EIT thorax mesh. Outside the lung regions, a constant </w:t>
      </w:r>
      <w:r w:rsidRPr="00B70498">
        <w:t xml:space="preserve">conductivity of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eff</m:t>
            </m:r>
          </m:sub>
        </m:sSub>
        <m:r>
          <w:rPr>
            <w:rFonts w:ascii="Cambria Math" w:hAnsi="Cambria Math"/>
          </w:rPr>
          <m:t xml:space="preserve">=4 </m:t>
        </m:r>
        <m:r>
          <m:rPr>
            <m:sty m:val="p"/>
          </m:rPr>
          <w:rPr>
            <w:rFonts w:ascii="Cambria Math" w:hAnsi="Cambria Math"/>
          </w:rPr>
          <m:t>Ω m</m:t>
        </m:r>
      </m:oMath>
      <w:r w:rsidRPr="00B70498">
        <w:t xml:space="preserve"> is considered</w:t>
      </w:r>
      <w:r w:rsidR="004D3A3E" w:rsidRPr="00B70498">
        <w:t>.</w:t>
      </w:r>
    </w:p>
    <w:p w14:paraId="65744C32" w14:textId="7AA93786" w:rsidR="004D3A3E" w:rsidRPr="00AC14CB" w:rsidRDefault="004D3A3E" w:rsidP="00BC21E3">
      <w:pPr>
        <w:pStyle w:val="FirstParagraph"/>
        <w:spacing w:line="360" w:lineRule="auto"/>
      </w:pPr>
      <w:r w:rsidRPr="00B70498">
        <w:t xml:space="preserve">The next big block is the actual forward simulation of the EIT problem, meaning calculating the voltage field </w:t>
      </w:r>
      <m:oMath>
        <m:r>
          <m:rPr>
            <m:sty m:val="p"/>
          </m:rPr>
          <w:rPr>
            <w:rFonts w:ascii="Cambria Math" w:hAnsi="Cambria Math"/>
          </w:rPr>
          <m:t>u</m:t>
        </m:r>
      </m:oMath>
      <w:r w:rsidRPr="00B70498">
        <w:t xml:space="preserve"> given the resistivities. At all non-electrode surfaces, Neumann boundary conditions are set to zero, while the electrodes follow the Complete Electrode Model (CEM) described</w:t>
      </w:r>
      <w:r w:rsidRPr="00BC21E3">
        <w:t xml:space="preserve"> by </w:t>
      </w:r>
      <w:r w:rsidR="00466449" w:rsidRPr="00BC21E3">
        <w:t>Cheng</w:t>
      </w:r>
      <w:r w:rsidRPr="00BC21E3">
        <w:t xml:space="preserve"> et al.</w:t>
      </w:r>
      <w:r w:rsidR="00466449" w:rsidRPr="00BC21E3">
        <w:t xml:space="preserve"> </w:t>
      </w:r>
      <w:r w:rsidRPr="00BC21E3">
        <w:t xml:space="preserve"> </w:t>
      </w:r>
      <w:r w:rsidR="00466449" w:rsidRPr="00BC21E3">
        <w:fldChar w:fldCharType="begin"/>
      </w:r>
      <w:r w:rsidR="00466449" w:rsidRPr="00BC21E3">
        <w:instrText xml:space="preserve"> ADDIN ZOTERO_ITEM CSL_CITATION {"citationID":"bGuxS5aK","properties":{"formattedCitation":"(5)","plainCitation":"(5)","noteIndex":0},"citationItems":[{"id":2818,"uris":["http://zotero.org/users/9434334/items/53CWS27U"],"itemData":{"id":2818,"type":"article-journal","abstract":"A mathematical model for the physical properties of electrodes suitable for use in electric current computed tomography is discussed. The model includes the effects of discretization, shunt, and contact impedance. The complete model was validated by experiment. Bath resistivities of 284.0, 139.7, 62.3, and 29.5 Omega -cm were studied. Values of effective contact impedance used in the numerical approximations were 58.0, 35.0, 15.0, and 7.5 Omega -cm/sup 2/, respectively. Agreement between the calculated and experimentally measured values was excellent throughout the range of bath conductivities studied. It is desirable in electrical impedance imaging systems to model the observed voltages to the same precision as they are measured in order to be able to make the highest-resolution reconstructions of the internal conductivity that the measurement precision allows. The complete electrode model, which includes the effects of discretization of the current pattern, the shunt effect due to the highly conductive electrode material, and the effect of an effective contact impedance, allows calculation of the voltages due to any current pattern applied to a homogeneous resistivity field.&lt;&gt;","container-title":"IEEE Transactions on Biomedical Engineering","DOI":"10.1109/10.35300","ISSN":"1558-2531","issue":"9","page":"918-924","source":"IEEE Xplore","title":"Electrode models for electric current computed tomography","volume":"36","author":[{"family":"Cheng","given":"Kuo-Sheng"},{"family":"Isaacson","given":"D."},{"family":"Newell","given":"J.C."},{"family":"Gisser","given":"D.G."}],"issued":{"date-parts":[["1989",9]]}}}],"schema":"https://github.com/citation-style-language/schema/raw/master/csl-citation.json"} </w:instrText>
      </w:r>
      <w:r w:rsidR="00466449" w:rsidRPr="00BC21E3">
        <w:fldChar w:fldCharType="separate"/>
      </w:r>
      <w:r w:rsidR="00466449" w:rsidRPr="00BC21E3">
        <w:t>(5)</w:t>
      </w:r>
      <w:r w:rsidR="00466449" w:rsidRPr="00BC21E3">
        <w:fldChar w:fldCharType="end"/>
      </w:r>
      <w:r w:rsidRPr="00BC21E3">
        <w:t xml:space="preserve">. As for the clinical EIT device, we use a 32-electrode belt, with a skip4 electrode pattern for stimulation, meaning there are 4 electrodes between two stimulating ones, and a stimulating current of </w:t>
      </w:r>
      <w:proofErr w:type="spellStart"/>
      <w:r w:rsidR="00BC21E3" w:rsidRPr="00BC21E3">
        <w:t>I</w:t>
      </w:r>
      <w:r w:rsidR="00BC21E3" w:rsidRPr="00BC21E3">
        <w:rPr>
          <w:vertAlign w:val="subscript"/>
        </w:rPr>
        <w:t>stim</w:t>
      </w:r>
      <w:proofErr w:type="spellEnd"/>
      <w:r w:rsidR="00BC21E3" w:rsidRPr="00BC21E3">
        <w:t>=5 mA. The </w:t>
      </w:r>
      <w:r w:rsidRPr="00BC21E3">
        <w:t>voltage field u can then be described by the governing Laplace equation as</w:t>
      </w:r>
    </w:p>
    <w:p w14:paraId="399BF5A7" w14:textId="47053961" w:rsidR="004D3A3E" w:rsidRPr="00BC21E3" w:rsidRDefault="00000000" w:rsidP="004D3A3E">
      <w:pPr>
        <w:pStyle w:val="Textkrper"/>
        <w:spacing w:line="360" w:lineRule="auto"/>
      </w:pPr>
      <m:oMathPara>
        <m:oMath>
          <m:m>
            <m:mPr>
              <m:plcHide m:val="1"/>
              <m:mcs>
                <m:mc>
                  <m:mcPr>
                    <m:count m:val="1"/>
                    <m:mcJc m:val="right"/>
                  </m:mcPr>
                </m:mc>
              </m:mcs>
              <m:ctrlPr>
                <w:rPr>
                  <w:rFonts w:ascii="Cambria Math" w:hAnsi="Cambria Math"/>
                </w:rPr>
              </m:ctrlPr>
            </m:mPr>
            <m:mr>
              <m:e>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ρ</m:t>
                        </m:r>
                      </m:den>
                    </m:f>
                    <m:r>
                      <m:rPr>
                        <m:sty m:val="p"/>
                      </m:rPr>
                      <w:rPr>
                        <w:rFonts w:ascii="Cambria Math" w:hAnsi="Cambria Math"/>
                      </w:rPr>
                      <m:t>∇u</m:t>
                    </m:r>
                  </m:e>
                </m:d>
                <m:r>
                  <m:rPr>
                    <m:sty m:val="p"/>
                  </m:rPr>
                  <w:rPr>
                    <w:rFonts w:ascii="Cambria Math" w:hAnsi="Cambria Math"/>
                  </w:rPr>
                  <m:t>=0,</m:t>
                </m:r>
              </m:e>
            </m:mr>
          </m:m>
        </m:oMath>
      </m:oMathPara>
    </w:p>
    <w:p w14:paraId="3E3BAC15" w14:textId="4A74B74F" w:rsidR="004D3A3E" w:rsidRPr="00BC21E3" w:rsidRDefault="004D3A3E" w:rsidP="00BC21E3">
      <w:pPr>
        <w:pStyle w:val="p1"/>
        <w:spacing w:line="360" w:lineRule="auto"/>
        <w:jc w:val="both"/>
        <w:rPr>
          <w:rFonts w:asciiTheme="minorHAnsi" w:eastAsiaTheme="minorEastAsia" w:hAnsiTheme="minorHAnsi" w:cstheme="minorBidi"/>
          <w:color w:val="auto"/>
          <w:sz w:val="24"/>
          <w:szCs w:val="24"/>
          <w:lang w:val="en-US" w:eastAsia="en-US"/>
        </w:rPr>
      </w:pPr>
      <w:r w:rsidRPr="00BC21E3">
        <w:rPr>
          <w:rFonts w:asciiTheme="minorHAnsi" w:eastAsiaTheme="minorEastAsia" w:hAnsiTheme="minorHAnsi" w:cstheme="minorBidi"/>
          <w:color w:val="auto"/>
          <w:sz w:val="24"/>
          <w:szCs w:val="24"/>
          <w:lang w:val="en-US" w:eastAsia="en-US"/>
        </w:rPr>
        <w:t xml:space="preserve">where </w:t>
      </w:r>
      <w:r w:rsidR="00BC21E3" w:rsidRPr="00BC21E3">
        <w:rPr>
          <w:rFonts w:asciiTheme="minorHAnsi" w:eastAsiaTheme="minorEastAsia" w:hAnsiTheme="minorHAnsi" w:cstheme="minorBidi"/>
          <w:color w:val="auto"/>
          <w:sz w:val="24"/>
          <w:szCs w:val="24"/>
          <w:lang w:val="en-US" w:eastAsia="en-US"/>
        </w:rPr>
        <w:t>ρ i</w:t>
      </w:r>
      <w:r w:rsidRPr="00BC21E3">
        <w:rPr>
          <w:rFonts w:asciiTheme="minorHAnsi" w:eastAsiaTheme="minorEastAsia" w:hAnsiTheme="minorHAnsi" w:cstheme="minorBidi"/>
          <w:color w:val="auto"/>
          <w:sz w:val="24"/>
          <w:szCs w:val="24"/>
          <w:lang w:val="en-US" w:eastAsia="en-US"/>
        </w:rPr>
        <w:t>s the resistivity distribution in the thorax mesh. As for the stimulation, the measuring electrodes are also paired with the skip4 pattern resulting in an array of</w:t>
      </w:r>
      <w:r w:rsidR="00BC21E3" w:rsidRPr="00BC21E3">
        <w:rPr>
          <w:rFonts w:asciiTheme="minorHAnsi" w:eastAsiaTheme="minorEastAsia" w:hAnsiTheme="minorHAnsi" w:cstheme="minorBidi"/>
          <w:color w:val="auto"/>
          <w:sz w:val="24"/>
          <w:szCs w:val="24"/>
          <w:lang w:val="en-US" w:eastAsia="en-US"/>
        </w:rPr>
        <w:t xml:space="preserve"> 32 x 32 =</w:t>
      </w:r>
      <w:r w:rsidRPr="00BC21E3">
        <w:rPr>
          <w:rFonts w:asciiTheme="minorHAnsi" w:eastAsiaTheme="minorEastAsia" w:hAnsiTheme="minorHAnsi" w:cstheme="minorBidi"/>
          <w:color w:val="auto"/>
          <w:sz w:val="24"/>
          <w:szCs w:val="24"/>
          <w:lang w:val="en-US" w:eastAsia="en-US"/>
        </w:rPr>
        <w:t xml:space="preserve"> </w:t>
      </w:r>
      <w:r w:rsidR="00BC21E3" w:rsidRPr="00BC21E3">
        <w:rPr>
          <w:rFonts w:asciiTheme="minorHAnsi" w:eastAsiaTheme="minorEastAsia" w:hAnsiTheme="minorHAnsi" w:cstheme="minorBidi"/>
          <w:color w:val="auto"/>
          <w:sz w:val="24"/>
          <w:szCs w:val="24"/>
          <w:lang w:val="en-US" w:eastAsia="en-US"/>
        </w:rPr>
        <w:t xml:space="preserve">1024 </w:t>
      </w:r>
      <w:r w:rsidRPr="00BC21E3">
        <w:rPr>
          <w:rFonts w:asciiTheme="minorHAnsi" w:eastAsiaTheme="minorEastAsia" w:hAnsiTheme="minorHAnsi" w:cstheme="minorBidi"/>
          <w:color w:val="auto"/>
          <w:sz w:val="24"/>
          <w:szCs w:val="24"/>
          <w:lang w:val="en-US" w:eastAsia="en-US"/>
        </w:rPr>
        <w:t xml:space="preserve">measurements.  </w:t>
      </w:r>
    </w:p>
    <w:p w14:paraId="12456CA3" w14:textId="77777777" w:rsidR="004D3A3E" w:rsidRPr="00AC14CB" w:rsidRDefault="004D3A3E" w:rsidP="004D3A3E">
      <w:pPr>
        <w:pStyle w:val="Textkrper"/>
        <w:spacing w:line="360" w:lineRule="auto"/>
      </w:pPr>
    </w:p>
    <w:tbl>
      <w:tblPr>
        <w:tblStyle w:val="Tabellenraster"/>
        <w:tblW w:w="7351" w:type="dxa"/>
        <w:tblLook w:val="0020" w:firstRow="1" w:lastRow="0" w:firstColumn="0" w:lastColumn="0" w:noHBand="0" w:noVBand="0"/>
      </w:tblPr>
      <w:tblGrid>
        <w:gridCol w:w="775"/>
        <w:gridCol w:w="826"/>
        <w:gridCol w:w="667"/>
        <w:gridCol w:w="667"/>
        <w:gridCol w:w="826"/>
        <w:gridCol w:w="286"/>
        <w:gridCol w:w="286"/>
        <w:gridCol w:w="1509"/>
        <w:gridCol w:w="1509"/>
      </w:tblGrid>
      <w:tr w:rsidR="004D3A3E" w:rsidRPr="00AC14CB" w14:paraId="50E05CCC" w14:textId="77777777" w:rsidTr="00CC305C">
        <w:trPr>
          <w:trHeight w:val="605"/>
        </w:trPr>
        <w:tc>
          <w:tcPr>
            <w:tcW w:w="0" w:type="auto"/>
            <w:gridSpan w:val="6"/>
          </w:tcPr>
          <w:p w14:paraId="0C6555E0" w14:textId="77777777" w:rsidR="004D3A3E" w:rsidRPr="00AC14CB" w:rsidRDefault="004D3A3E" w:rsidP="00CC305C">
            <w:pPr>
              <w:pStyle w:val="Compact"/>
              <w:spacing w:line="360" w:lineRule="auto"/>
            </w:pPr>
            <w:r w:rsidRPr="00AC14CB">
              <w:t>Parameter</w:t>
            </w:r>
          </w:p>
        </w:tc>
        <w:tc>
          <w:tcPr>
            <w:tcW w:w="3061" w:type="dxa"/>
            <w:gridSpan w:val="3"/>
          </w:tcPr>
          <w:p w14:paraId="269C2FBE" w14:textId="77777777" w:rsidR="004D3A3E" w:rsidRPr="00AC14CB" w:rsidRDefault="004D3A3E" w:rsidP="00CC305C">
            <w:pPr>
              <w:pStyle w:val="Compact"/>
              <w:spacing w:line="360" w:lineRule="auto"/>
              <w:jc w:val="center"/>
            </w:pPr>
            <w:r w:rsidRPr="00AC14CB">
              <w:t>Value</w:t>
            </w:r>
          </w:p>
        </w:tc>
      </w:tr>
      <w:tr w:rsidR="004D3A3E" w:rsidRPr="00AC14CB" w14:paraId="7C38F861" w14:textId="77777777" w:rsidTr="00CC305C">
        <w:trPr>
          <w:trHeight w:val="605"/>
        </w:trPr>
        <w:tc>
          <w:tcPr>
            <w:tcW w:w="0" w:type="auto"/>
            <w:gridSpan w:val="6"/>
          </w:tcPr>
          <w:p w14:paraId="4A54D09B" w14:textId="6014A3D6" w:rsidR="004D3A3E" w:rsidRPr="00AC14CB" w:rsidRDefault="004D3A3E" w:rsidP="00CC305C">
            <w:pPr>
              <w:pStyle w:val="Compact"/>
              <w:spacing w:line="360" w:lineRule="auto"/>
            </w:pPr>
            <w:r w:rsidRPr="00AC14CB">
              <w:t xml:space="preserve">Tortuosity </w:t>
            </w:r>
            <m:oMath>
              <m:r>
                <m:rPr>
                  <m:sty m:val="p"/>
                </m:rPr>
                <w:rPr>
                  <w:rFonts w:ascii="Cambria Math" w:hAnsi="Cambria Math"/>
                </w:rPr>
                <m:t>τ</m:t>
              </m:r>
            </m:oMath>
          </w:p>
        </w:tc>
        <w:tc>
          <w:tcPr>
            <w:tcW w:w="3061" w:type="dxa"/>
            <w:gridSpan w:val="3"/>
          </w:tcPr>
          <w:p w14:paraId="32D3A3A0" w14:textId="77777777" w:rsidR="004D3A3E" w:rsidRPr="00AC14CB" w:rsidRDefault="004D3A3E" w:rsidP="00CC305C">
            <w:pPr>
              <w:pStyle w:val="Compact"/>
              <w:spacing w:line="360" w:lineRule="auto"/>
              <w:jc w:val="center"/>
            </w:pPr>
            <w:r w:rsidRPr="00AC14CB">
              <w:t>1.71</w:t>
            </w:r>
          </w:p>
        </w:tc>
      </w:tr>
      <w:tr w:rsidR="004D3A3E" w:rsidRPr="00AC14CB" w14:paraId="3F82B823" w14:textId="77777777" w:rsidTr="00CC305C">
        <w:trPr>
          <w:trHeight w:val="793"/>
        </w:trPr>
        <w:tc>
          <w:tcPr>
            <w:tcW w:w="0" w:type="auto"/>
            <w:gridSpan w:val="6"/>
          </w:tcPr>
          <w:p w14:paraId="309D977A" w14:textId="25E15713" w:rsidR="004D3A3E" w:rsidRPr="00AC14CB" w:rsidRDefault="004D3A3E" w:rsidP="00CC305C">
            <w:pPr>
              <w:pStyle w:val="Compact"/>
              <w:spacing w:line="360" w:lineRule="auto"/>
            </w:pPr>
            <w:r w:rsidRPr="00AC14CB">
              <w:t xml:space="preserve">Alveolar conductivity </w:t>
            </w:r>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alv</m:t>
                  </m:r>
                </m:sub>
              </m:sSub>
            </m:oMath>
          </w:p>
        </w:tc>
        <w:tc>
          <w:tcPr>
            <w:tcW w:w="3061" w:type="dxa"/>
            <w:gridSpan w:val="3"/>
          </w:tcPr>
          <w:p w14:paraId="28C8EEED" w14:textId="75191A21" w:rsidR="004D3A3E" w:rsidRPr="00AC14CB" w:rsidRDefault="004D3A3E" w:rsidP="00CC305C">
            <w:pPr>
              <w:pStyle w:val="Compact"/>
              <w:spacing w:line="360" w:lineRule="auto"/>
              <w:jc w:val="center"/>
            </w:pPr>
            <w:r w:rsidRPr="00AC14CB">
              <w:t xml:space="preserve">0.7284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Ω m</m:t>
                  </m:r>
                </m:den>
              </m:f>
            </m:oMath>
          </w:p>
        </w:tc>
      </w:tr>
      <w:tr w:rsidR="004D3A3E" w:rsidRPr="00AC14CB" w14:paraId="7086A40F" w14:textId="77777777" w:rsidTr="00CC305C">
        <w:trPr>
          <w:trHeight w:val="605"/>
        </w:trPr>
        <w:tc>
          <w:tcPr>
            <w:tcW w:w="0" w:type="auto"/>
            <w:gridSpan w:val="6"/>
          </w:tcPr>
          <w:p w14:paraId="14DEFFD8" w14:textId="59DB2CFE" w:rsidR="004D3A3E" w:rsidRPr="00AC14CB" w:rsidRDefault="004D3A3E" w:rsidP="00CC305C">
            <w:pPr>
              <w:pStyle w:val="Compact"/>
              <w:spacing w:line="360" w:lineRule="auto"/>
            </w:pPr>
            <w:r w:rsidRPr="00AC14CB">
              <w:t xml:space="preserve">Electrode current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stim</m:t>
                  </m:r>
                </m:sub>
              </m:sSub>
            </m:oMath>
          </w:p>
        </w:tc>
        <w:tc>
          <w:tcPr>
            <w:tcW w:w="3061" w:type="dxa"/>
            <w:gridSpan w:val="3"/>
          </w:tcPr>
          <w:p w14:paraId="4A09AEE0" w14:textId="77777777" w:rsidR="004D3A3E" w:rsidRPr="00AC14CB" w:rsidRDefault="004D3A3E" w:rsidP="00CC305C">
            <w:pPr>
              <w:pStyle w:val="Compact"/>
              <w:spacing w:line="360" w:lineRule="auto"/>
              <w:jc w:val="center"/>
            </w:pPr>
            <w:r w:rsidRPr="00AC14CB">
              <w:t>5 mA</w:t>
            </w:r>
          </w:p>
        </w:tc>
      </w:tr>
      <w:tr w:rsidR="004D3A3E" w:rsidRPr="00AC14CB" w14:paraId="286A4175" w14:textId="77777777" w:rsidTr="00CC305C">
        <w:trPr>
          <w:trHeight w:val="605"/>
        </w:trPr>
        <w:tc>
          <w:tcPr>
            <w:tcW w:w="0" w:type="auto"/>
            <w:gridSpan w:val="6"/>
          </w:tcPr>
          <w:p w14:paraId="7850C7BC" w14:textId="77777777" w:rsidR="004D3A3E" w:rsidRPr="00AC14CB" w:rsidRDefault="004D3A3E" w:rsidP="00CC305C">
            <w:pPr>
              <w:pStyle w:val="Compact"/>
              <w:spacing w:line="360" w:lineRule="auto"/>
            </w:pPr>
            <w:r w:rsidRPr="00AC14CB">
              <w:t>Electrode pattern</w:t>
            </w:r>
          </w:p>
        </w:tc>
        <w:tc>
          <w:tcPr>
            <w:tcW w:w="3061" w:type="dxa"/>
            <w:gridSpan w:val="3"/>
          </w:tcPr>
          <w:p w14:paraId="4E0B73E7" w14:textId="77777777" w:rsidR="004D3A3E" w:rsidRPr="00AC14CB" w:rsidRDefault="004D3A3E" w:rsidP="00CC305C">
            <w:pPr>
              <w:pStyle w:val="Compact"/>
              <w:spacing w:line="360" w:lineRule="auto"/>
              <w:jc w:val="center"/>
            </w:pPr>
            <w:r w:rsidRPr="00AC14CB">
              <w:t>skip4</w:t>
            </w:r>
          </w:p>
        </w:tc>
      </w:tr>
      <w:tr w:rsidR="004D3A3E" w:rsidRPr="00AC14CB" w14:paraId="69E94CB0" w14:textId="77777777" w:rsidTr="00CC305C">
        <w:trPr>
          <w:trHeight w:val="605"/>
        </w:trPr>
        <w:tc>
          <w:tcPr>
            <w:tcW w:w="0" w:type="auto"/>
            <w:gridSpan w:val="6"/>
          </w:tcPr>
          <w:p w14:paraId="0F5DE57F" w14:textId="77777777" w:rsidR="004D3A3E" w:rsidRPr="00AC14CB" w:rsidRDefault="004D3A3E" w:rsidP="00CC305C">
            <w:pPr>
              <w:pStyle w:val="Compact"/>
              <w:spacing w:line="360" w:lineRule="auto"/>
            </w:pPr>
            <w:r w:rsidRPr="00AC14CB">
              <w:lastRenderedPageBreak/>
              <w:t>Electrode size</w:t>
            </w:r>
          </w:p>
        </w:tc>
        <w:tc>
          <w:tcPr>
            <w:tcW w:w="3061" w:type="dxa"/>
            <w:gridSpan w:val="3"/>
          </w:tcPr>
          <w:p w14:paraId="2039F143" w14:textId="77777777" w:rsidR="004D3A3E" w:rsidRPr="00AC14CB" w:rsidRDefault="004D3A3E" w:rsidP="00CC305C">
            <w:pPr>
              <w:pStyle w:val="Compact"/>
              <w:spacing w:line="360" w:lineRule="auto"/>
              <w:jc w:val="center"/>
            </w:pPr>
            <w:r w:rsidRPr="00AC14CB">
              <w:t>10 x 40 mm</w:t>
            </w:r>
          </w:p>
        </w:tc>
      </w:tr>
      <w:tr w:rsidR="004D3A3E" w:rsidRPr="00AC14CB" w14:paraId="72E5CEC0" w14:textId="77777777" w:rsidTr="00CC305C">
        <w:trPr>
          <w:trHeight w:val="605"/>
        </w:trPr>
        <w:tc>
          <w:tcPr>
            <w:tcW w:w="0" w:type="auto"/>
            <w:gridSpan w:val="6"/>
          </w:tcPr>
          <w:p w14:paraId="362FE25E" w14:textId="15B8BEF1" w:rsidR="004D3A3E" w:rsidRPr="00AC14CB" w:rsidRDefault="004D3A3E" w:rsidP="00CC305C">
            <w:pPr>
              <w:pStyle w:val="Compact"/>
              <w:spacing w:line="360" w:lineRule="auto"/>
            </w:pPr>
            <w:r w:rsidRPr="00AC14CB">
              <w:t xml:space="preserve">Hom. thorax resistivity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thorax</m:t>
                  </m:r>
                </m:sub>
              </m:sSub>
            </m:oMath>
          </w:p>
        </w:tc>
        <w:tc>
          <w:tcPr>
            <w:tcW w:w="3061" w:type="dxa"/>
            <w:gridSpan w:val="3"/>
          </w:tcPr>
          <w:p w14:paraId="660BEF3C" w14:textId="0332EC76" w:rsidR="004D3A3E" w:rsidRPr="00AC14CB" w:rsidRDefault="00AC14CB" w:rsidP="00CC305C">
            <w:pPr>
              <w:pStyle w:val="Compact"/>
              <w:spacing w:line="360" w:lineRule="auto"/>
              <w:jc w:val="center"/>
            </w:pPr>
            <m:oMathPara>
              <m:oMath>
                <m:r>
                  <m:rPr>
                    <m:sty m:val="p"/>
                  </m:rPr>
                  <w:rPr>
                    <w:rFonts w:ascii="Cambria Math" w:hAnsi="Cambria Math"/>
                  </w:rPr>
                  <m:t>4 Ω m</m:t>
                </m:r>
              </m:oMath>
            </m:oMathPara>
          </w:p>
        </w:tc>
      </w:tr>
      <w:tr w:rsidR="004D3A3E" w:rsidRPr="00AC14CB" w14:paraId="0000EA99" w14:textId="77777777" w:rsidTr="00CC305C">
        <w:trPr>
          <w:trHeight w:val="605"/>
        </w:trPr>
        <w:tc>
          <w:tcPr>
            <w:tcW w:w="0" w:type="auto"/>
            <w:gridSpan w:val="6"/>
          </w:tcPr>
          <w:p w14:paraId="7539828C" w14:textId="639A2BFC" w:rsidR="004D3A3E" w:rsidRPr="00AC14CB" w:rsidRDefault="004D3A3E" w:rsidP="00CC305C">
            <w:pPr>
              <w:pStyle w:val="Compact"/>
              <w:spacing w:line="360" w:lineRule="auto"/>
            </w:pPr>
            <w:r w:rsidRPr="00AC14CB">
              <w:t xml:space="preserve">Training points GREIT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m:t>
                  </m:r>
                </m:sub>
              </m:sSub>
            </m:oMath>
          </w:p>
        </w:tc>
        <w:tc>
          <w:tcPr>
            <w:tcW w:w="3061" w:type="dxa"/>
            <w:gridSpan w:val="3"/>
          </w:tcPr>
          <w:p w14:paraId="3A523D28" w14:textId="77777777" w:rsidR="004D3A3E" w:rsidRPr="00AC14CB" w:rsidRDefault="004D3A3E" w:rsidP="00CC305C">
            <w:pPr>
              <w:pStyle w:val="Compact"/>
              <w:spacing w:line="360" w:lineRule="auto"/>
              <w:jc w:val="center"/>
            </w:pPr>
            <w:r w:rsidRPr="00AC14CB">
              <w:t>1000</w:t>
            </w:r>
          </w:p>
        </w:tc>
      </w:tr>
      <w:tr w:rsidR="004D3A3E" w:rsidRPr="00AC14CB" w14:paraId="49F24A9A" w14:textId="77777777" w:rsidTr="00CC305C">
        <w:trPr>
          <w:trHeight w:val="647"/>
        </w:trPr>
        <w:tc>
          <w:tcPr>
            <w:tcW w:w="0" w:type="auto"/>
            <w:gridSpan w:val="6"/>
          </w:tcPr>
          <w:p w14:paraId="3E349280" w14:textId="5302AEE6" w:rsidR="004D3A3E" w:rsidRPr="00AC14CB" w:rsidRDefault="004D3A3E" w:rsidP="00CC305C">
            <w:pPr>
              <w:pStyle w:val="Compact"/>
              <w:spacing w:line="360" w:lineRule="auto"/>
            </w:pPr>
            <w:r w:rsidRPr="00AC14CB">
              <w:t xml:space="preserve">Target size GREIT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targ</m:t>
                  </m:r>
                </m:sub>
              </m:sSub>
            </m:oMath>
          </w:p>
        </w:tc>
        <w:tc>
          <w:tcPr>
            <w:tcW w:w="3061" w:type="dxa"/>
            <w:gridSpan w:val="3"/>
          </w:tcPr>
          <w:p w14:paraId="01E504B5" w14:textId="77777777" w:rsidR="004D3A3E" w:rsidRPr="00AC14CB" w:rsidRDefault="004D3A3E" w:rsidP="00CC305C">
            <w:pPr>
              <w:pStyle w:val="Compact"/>
              <w:spacing w:line="360" w:lineRule="auto"/>
              <w:jc w:val="center"/>
            </w:pPr>
            <w:r w:rsidRPr="00AC14CB">
              <w:t>0.05</w:t>
            </w:r>
          </w:p>
        </w:tc>
      </w:tr>
      <w:tr w:rsidR="004D3A3E" w:rsidRPr="00AC14CB" w14:paraId="210C4940" w14:textId="77777777" w:rsidTr="00CC305C">
        <w:trPr>
          <w:trHeight w:val="605"/>
        </w:trPr>
        <w:tc>
          <w:tcPr>
            <w:tcW w:w="0" w:type="auto"/>
            <w:gridSpan w:val="6"/>
          </w:tcPr>
          <w:p w14:paraId="6F24CE49" w14:textId="1B99E687" w:rsidR="004D3A3E" w:rsidRPr="00AC14CB" w:rsidRDefault="004D3A3E" w:rsidP="00CC305C">
            <w:pPr>
              <w:pStyle w:val="Compact"/>
              <w:spacing w:line="360" w:lineRule="auto"/>
            </w:pPr>
            <w:r w:rsidRPr="00AC14CB">
              <w:t xml:space="preserve">Weighting radius GREIT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w</m:t>
                  </m:r>
                </m:sub>
              </m:sSub>
            </m:oMath>
          </w:p>
        </w:tc>
        <w:tc>
          <w:tcPr>
            <w:tcW w:w="3061" w:type="dxa"/>
            <w:gridSpan w:val="3"/>
          </w:tcPr>
          <w:p w14:paraId="720ABD47" w14:textId="77777777" w:rsidR="004D3A3E" w:rsidRPr="00AC14CB" w:rsidRDefault="004D3A3E" w:rsidP="00CC305C">
            <w:pPr>
              <w:pStyle w:val="Compact"/>
              <w:spacing w:line="360" w:lineRule="auto"/>
              <w:jc w:val="center"/>
            </w:pPr>
            <w:r w:rsidRPr="00AC14CB">
              <w:t>0.15</w:t>
            </w:r>
          </w:p>
        </w:tc>
      </w:tr>
      <w:tr w:rsidR="004D3A3E" w:rsidRPr="00AC14CB" w14:paraId="4B1DB455" w14:textId="77777777" w:rsidTr="00CC305C">
        <w:trPr>
          <w:trHeight w:val="605"/>
        </w:trPr>
        <w:tc>
          <w:tcPr>
            <w:tcW w:w="0" w:type="auto"/>
            <w:gridSpan w:val="6"/>
          </w:tcPr>
          <w:p w14:paraId="6F62EAD9" w14:textId="6B7F3567" w:rsidR="004D3A3E" w:rsidRPr="00AC14CB" w:rsidRDefault="004D3A3E" w:rsidP="00CC305C">
            <w:pPr>
              <w:pStyle w:val="Compact"/>
              <w:spacing w:line="360" w:lineRule="auto"/>
            </w:pPr>
            <w:r w:rsidRPr="00AC14CB">
              <w:t xml:space="preserve">Boundary distance GREIT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bound</m:t>
                  </m:r>
                </m:sub>
              </m:sSub>
            </m:oMath>
          </w:p>
        </w:tc>
        <w:tc>
          <w:tcPr>
            <w:tcW w:w="3061" w:type="dxa"/>
            <w:gridSpan w:val="3"/>
          </w:tcPr>
          <w:p w14:paraId="40D8756D" w14:textId="316FBB83" w:rsidR="004D3A3E" w:rsidRPr="00AC14CB" w:rsidRDefault="00AC14CB" w:rsidP="00CC305C">
            <w:pPr>
              <w:pStyle w:val="Compact"/>
              <w:spacing w:line="360" w:lineRule="auto"/>
              <w:jc w:val="center"/>
            </w:pPr>
            <m:oMathPara>
              <m:oMath>
                <m:r>
                  <m:rPr>
                    <m:sty m:val="p"/>
                  </m:rPr>
                  <w:rPr>
                    <w:rFonts w:ascii="Cambria Math" w:hAnsi="Cambria Math"/>
                  </w:rPr>
                  <m:t>2 mm</m:t>
                </m:r>
              </m:oMath>
            </m:oMathPara>
          </w:p>
        </w:tc>
      </w:tr>
      <w:tr w:rsidR="004D3A3E" w:rsidRPr="00AC14CB" w14:paraId="57697855" w14:textId="77777777" w:rsidTr="00CC305C">
        <w:trPr>
          <w:trHeight w:val="605"/>
        </w:trPr>
        <w:tc>
          <w:tcPr>
            <w:tcW w:w="0" w:type="auto"/>
            <w:gridSpan w:val="6"/>
          </w:tcPr>
          <w:p w14:paraId="4D9C03A2" w14:textId="79A63B99" w:rsidR="004D3A3E" w:rsidRPr="00AC14CB" w:rsidRDefault="004D3A3E" w:rsidP="00CC305C">
            <w:pPr>
              <w:pStyle w:val="Compact"/>
              <w:spacing w:line="360" w:lineRule="auto"/>
            </w:pPr>
            <w:r w:rsidRPr="00AC14CB">
              <w:t xml:space="preserve">Background conductivity ratio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σ</m:t>
                  </m:r>
                </m:sub>
              </m:sSub>
            </m:oMath>
          </w:p>
        </w:tc>
        <w:tc>
          <w:tcPr>
            <w:tcW w:w="3061" w:type="dxa"/>
            <w:gridSpan w:val="3"/>
          </w:tcPr>
          <w:p w14:paraId="7544471F" w14:textId="0CECAE9E" w:rsidR="004D3A3E" w:rsidRPr="00AC14CB" w:rsidRDefault="00AC14CB" w:rsidP="00CC305C">
            <w:pPr>
              <w:pStyle w:val="Compact"/>
              <w:spacing w:line="360" w:lineRule="auto"/>
              <w:jc w:val="center"/>
            </w:pPr>
            <m:oMathPara>
              <m:oMath>
                <m:r>
                  <m:rPr>
                    <m:sty m:val="p"/>
                  </m:rPr>
                  <w:rPr>
                    <w:rFonts w:ascii="Cambria Math" w:hAnsi="Cambria Math"/>
                  </w:rPr>
                  <m:t>0.3</m:t>
                </m:r>
              </m:oMath>
            </m:oMathPara>
          </w:p>
        </w:tc>
      </w:tr>
      <w:tr w:rsidR="004D3A3E" w:rsidRPr="00AC14CB" w14:paraId="0B7B4B38" w14:textId="77777777" w:rsidTr="00CC305C">
        <w:trPr>
          <w:trHeight w:val="626"/>
        </w:trPr>
        <w:tc>
          <w:tcPr>
            <w:tcW w:w="0" w:type="auto"/>
            <w:gridSpan w:val="6"/>
          </w:tcPr>
          <w:p w14:paraId="043A2954" w14:textId="22D58D92" w:rsidR="004D3A3E" w:rsidRPr="00AC14CB" w:rsidRDefault="004D3A3E" w:rsidP="00CC305C">
            <w:pPr>
              <w:pStyle w:val="Compact"/>
              <w:spacing w:line="360" w:lineRule="auto"/>
            </w:pPr>
            <w:r w:rsidRPr="00AC14CB">
              <w:t xml:space="preserve">Target density ratio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ρ</m:t>
                  </m:r>
                </m:sub>
              </m:sSub>
            </m:oMath>
          </w:p>
        </w:tc>
        <w:tc>
          <w:tcPr>
            <w:tcW w:w="3061" w:type="dxa"/>
            <w:gridSpan w:val="3"/>
          </w:tcPr>
          <w:p w14:paraId="465023D4" w14:textId="531E9C91" w:rsidR="004D3A3E" w:rsidRPr="00AC14CB" w:rsidRDefault="00AC14CB" w:rsidP="00CC305C">
            <w:pPr>
              <w:pStyle w:val="Compact"/>
              <w:spacing w:line="360" w:lineRule="auto"/>
              <w:jc w:val="center"/>
            </w:pPr>
            <m:oMathPara>
              <m:oMath>
                <m:r>
                  <m:rPr>
                    <m:sty m:val="p"/>
                  </m:rPr>
                  <w:rPr>
                    <w:rFonts w:ascii="Cambria Math" w:hAnsi="Cambria Math"/>
                  </w:rPr>
                  <m:t>3.0</m:t>
                </m:r>
              </m:oMath>
            </m:oMathPara>
          </w:p>
        </w:tc>
      </w:tr>
      <w:tr w:rsidR="004D3A3E" w:rsidRPr="00AC14CB" w14:paraId="1263E85A" w14:textId="77777777" w:rsidTr="00CC305C">
        <w:trPr>
          <w:trHeight w:val="400"/>
        </w:trPr>
        <w:tc>
          <w:tcPr>
            <w:tcW w:w="0" w:type="auto"/>
            <w:gridSpan w:val="9"/>
          </w:tcPr>
          <w:p w14:paraId="14015699" w14:textId="595B53EF" w:rsidR="004D3A3E" w:rsidRPr="00AC14CB" w:rsidRDefault="004D3A3E" w:rsidP="00CC305C">
            <w:pPr>
              <w:spacing w:line="360" w:lineRule="auto"/>
              <w:jc w:val="center"/>
            </w:pPr>
            <w:r w:rsidRPr="00AC14CB">
              <w:t xml:space="preserve">Noise Figures </w:t>
            </w:r>
            <m:oMath>
              <m:r>
                <m:rPr>
                  <m:sty m:val="p"/>
                </m:rPr>
                <w:rPr>
                  <w:rFonts w:ascii="Cambria Math" w:hAnsi="Cambria Math"/>
                </w:rPr>
                <m:t>NF</m:t>
              </m:r>
            </m:oMath>
            <w:r w:rsidRPr="00AC14CB">
              <w:t xml:space="preserve"> are chosen according to EIT measurement quality:</w:t>
            </w:r>
          </w:p>
        </w:tc>
      </w:tr>
      <w:tr w:rsidR="004D3A3E" w:rsidRPr="00AC14CB" w14:paraId="0BAF3208" w14:textId="77777777" w:rsidTr="00CC305C">
        <w:trPr>
          <w:trHeight w:val="400"/>
        </w:trPr>
        <w:tc>
          <w:tcPr>
            <w:tcW w:w="0" w:type="auto"/>
          </w:tcPr>
          <w:p w14:paraId="1DD58416" w14:textId="77777777" w:rsidR="004D3A3E" w:rsidRPr="00AC14CB" w:rsidRDefault="004D3A3E" w:rsidP="00CC305C">
            <w:pPr>
              <w:spacing w:line="360" w:lineRule="auto"/>
            </w:pPr>
            <w:r w:rsidRPr="00AC14CB">
              <w:t>Pat.</w:t>
            </w:r>
          </w:p>
        </w:tc>
        <w:tc>
          <w:tcPr>
            <w:tcW w:w="0" w:type="auto"/>
          </w:tcPr>
          <w:p w14:paraId="23390D18" w14:textId="77777777" w:rsidR="004D3A3E" w:rsidRPr="00AC14CB" w:rsidRDefault="004D3A3E" w:rsidP="00CC305C">
            <w:pPr>
              <w:spacing w:line="360" w:lineRule="auto"/>
              <w:jc w:val="center"/>
            </w:pPr>
            <w:r w:rsidRPr="00AC14CB">
              <w:t>1</w:t>
            </w:r>
          </w:p>
        </w:tc>
        <w:tc>
          <w:tcPr>
            <w:tcW w:w="0" w:type="auto"/>
          </w:tcPr>
          <w:p w14:paraId="5EB82809" w14:textId="77777777" w:rsidR="004D3A3E" w:rsidRPr="00AC14CB" w:rsidRDefault="004D3A3E" w:rsidP="00CC305C">
            <w:pPr>
              <w:spacing w:line="360" w:lineRule="auto"/>
              <w:jc w:val="center"/>
            </w:pPr>
            <w:r w:rsidRPr="00AC14CB">
              <w:t>2</w:t>
            </w:r>
          </w:p>
        </w:tc>
        <w:tc>
          <w:tcPr>
            <w:tcW w:w="0" w:type="auto"/>
          </w:tcPr>
          <w:p w14:paraId="59E4C4B3" w14:textId="77777777" w:rsidR="004D3A3E" w:rsidRPr="00AC14CB" w:rsidRDefault="004D3A3E" w:rsidP="00CC305C">
            <w:pPr>
              <w:spacing w:line="360" w:lineRule="auto"/>
              <w:jc w:val="center"/>
            </w:pPr>
            <w:r w:rsidRPr="00AC14CB">
              <w:t>5</w:t>
            </w:r>
          </w:p>
        </w:tc>
        <w:tc>
          <w:tcPr>
            <w:tcW w:w="0" w:type="auto"/>
          </w:tcPr>
          <w:p w14:paraId="385AE24A" w14:textId="77777777" w:rsidR="004D3A3E" w:rsidRPr="00AC14CB" w:rsidRDefault="004D3A3E" w:rsidP="00CC305C">
            <w:pPr>
              <w:spacing w:line="360" w:lineRule="auto"/>
              <w:jc w:val="center"/>
            </w:pPr>
            <w:r w:rsidRPr="00AC14CB">
              <w:t>7</w:t>
            </w:r>
          </w:p>
        </w:tc>
        <w:tc>
          <w:tcPr>
            <w:tcW w:w="0" w:type="auto"/>
            <w:gridSpan w:val="2"/>
          </w:tcPr>
          <w:p w14:paraId="11A813DE" w14:textId="77777777" w:rsidR="004D3A3E" w:rsidRPr="00AC14CB" w:rsidRDefault="004D3A3E" w:rsidP="00CC305C">
            <w:pPr>
              <w:spacing w:line="360" w:lineRule="auto"/>
              <w:jc w:val="center"/>
            </w:pPr>
            <w:r w:rsidRPr="00AC14CB">
              <w:t>8</w:t>
            </w:r>
          </w:p>
        </w:tc>
        <w:tc>
          <w:tcPr>
            <w:tcW w:w="0" w:type="auto"/>
          </w:tcPr>
          <w:p w14:paraId="780EDD19" w14:textId="77777777" w:rsidR="004D3A3E" w:rsidRPr="00AC14CB" w:rsidRDefault="004D3A3E" w:rsidP="00CC305C">
            <w:pPr>
              <w:spacing w:line="360" w:lineRule="auto"/>
              <w:jc w:val="center"/>
            </w:pPr>
            <w:r w:rsidRPr="00AC14CB">
              <w:t>9</w:t>
            </w:r>
          </w:p>
        </w:tc>
        <w:tc>
          <w:tcPr>
            <w:tcW w:w="0" w:type="auto"/>
          </w:tcPr>
          <w:p w14:paraId="6D4503C9" w14:textId="77777777" w:rsidR="004D3A3E" w:rsidRPr="00AC14CB" w:rsidRDefault="004D3A3E" w:rsidP="00CC305C">
            <w:pPr>
              <w:spacing w:line="360" w:lineRule="auto"/>
              <w:jc w:val="center"/>
            </w:pPr>
            <w:r w:rsidRPr="00AC14CB">
              <w:t>10</w:t>
            </w:r>
          </w:p>
        </w:tc>
      </w:tr>
      <w:tr w:rsidR="004D3A3E" w:rsidRPr="00AC14CB" w14:paraId="5EA521E2" w14:textId="77777777" w:rsidTr="00CC305C">
        <w:trPr>
          <w:trHeight w:val="400"/>
        </w:trPr>
        <w:tc>
          <w:tcPr>
            <w:tcW w:w="0" w:type="auto"/>
          </w:tcPr>
          <w:p w14:paraId="5B1F01B2" w14:textId="388C671A" w:rsidR="004D3A3E" w:rsidRPr="00AC14CB" w:rsidRDefault="00AC14CB" w:rsidP="00CC305C">
            <w:pPr>
              <w:spacing w:line="360" w:lineRule="auto"/>
            </w:pPr>
            <m:oMathPara>
              <m:oMath>
                <m:r>
                  <m:rPr>
                    <m:sty m:val="p"/>
                  </m:rPr>
                  <w:rPr>
                    <w:rFonts w:ascii="Cambria Math" w:hAnsi="Cambria Math"/>
                  </w:rPr>
                  <m:t>NF</m:t>
                </m:r>
              </m:oMath>
            </m:oMathPara>
          </w:p>
        </w:tc>
        <w:tc>
          <w:tcPr>
            <w:tcW w:w="0" w:type="auto"/>
          </w:tcPr>
          <w:p w14:paraId="4F90EA9F" w14:textId="77777777" w:rsidR="004D3A3E" w:rsidRPr="00AC14CB" w:rsidRDefault="004D3A3E" w:rsidP="00CC305C">
            <w:pPr>
              <w:spacing w:line="360" w:lineRule="auto"/>
              <w:jc w:val="center"/>
            </w:pPr>
            <w:r w:rsidRPr="00AC14CB">
              <w:t>0.21</w:t>
            </w:r>
          </w:p>
        </w:tc>
        <w:tc>
          <w:tcPr>
            <w:tcW w:w="0" w:type="auto"/>
          </w:tcPr>
          <w:p w14:paraId="0585B141" w14:textId="77777777" w:rsidR="004D3A3E" w:rsidRPr="00AC14CB" w:rsidRDefault="004D3A3E" w:rsidP="00CC305C">
            <w:pPr>
              <w:spacing w:line="360" w:lineRule="auto"/>
              <w:jc w:val="center"/>
            </w:pPr>
            <w:r w:rsidRPr="00AC14CB">
              <w:t>0.2</w:t>
            </w:r>
          </w:p>
        </w:tc>
        <w:tc>
          <w:tcPr>
            <w:tcW w:w="0" w:type="auto"/>
          </w:tcPr>
          <w:p w14:paraId="74EDB5C5" w14:textId="77777777" w:rsidR="004D3A3E" w:rsidRPr="00AC14CB" w:rsidRDefault="004D3A3E" w:rsidP="00CC305C">
            <w:pPr>
              <w:spacing w:line="360" w:lineRule="auto"/>
              <w:jc w:val="center"/>
            </w:pPr>
            <w:r w:rsidRPr="00AC14CB">
              <w:t>0.2</w:t>
            </w:r>
          </w:p>
        </w:tc>
        <w:tc>
          <w:tcPr>
            <w:tcW w:w="0" w:type="auto"/>
          </w:tcPr>
          <w:p w14:paraId="5E633862" w14:textId="77777777" w:rsidR="004D3A3E" w:rsidRPr="00AC14CB" w:rsidRDefault="004D3A3E" w:rsidP="00CC305C">
            <w:pPr>
              <w:spacing w:line="360" w:lineRule="auto"/>
              <w:jc w:val="center"/>
            </w:pPr>
            <w:r w:rsidRPr="00AC14CB">
              <w:t>0.18</w:t>
            </w:r>
          </w:p>
        </w:tc>
        <w:tc>
          <w:tcPr>
            <w:tcW w:w="0" w:type="auto"/>
            <w:gridSpan w:val="2"/>
          </w:tcPr>
          <w:p w14:paraId="1F76DE25" w14:textId="77777777" w:rsidR="004D3A3E" w:rsidRPr="00AC14CB" w:rsidRDefault="004D3A3E" w:rsidP="00CC305C">
            <w:pPr>
              <w:spacing w:line="360" w:lineRule="auto"/>
              <w:jc w:val="center"/>
            </w:pPr>
            <w:r w:rsidRPr="00AC14CB">
              <w:t>0.16</w:t>
            </w:r>
          </w:p>
        </w:tc>
        <w:tc>
          <w:tcPr>
            <w:tcW w:w="0" w:type="auto"/>
          </w:tcPr>
          <w:p w14:paraId="2E35036A" w14:textId="77777777" w:rsidR="004D3A3E" w:rsidRPr="00AC14CB" w:rsidRDefault="004D3A3E" w:rsidP="00CC305C">
            <w:pPr>
              <w:spacing w:line="360" w:lineRule="auto"/>
              <w:jc w:val="center"/>
            </w:pPr>
            <w:r w:rsidRPr="00AC14CB">
              <w:t>0.16</w:t>
            </w:r>
          </w:p>
        </w:tc>
        <w:tc>
          <w:tcPr>
            <w:tcW w:w="0" w:type="auto"/>
          </w:tcPr>
          <w:p w14:paraId="42D0C868" w14:textId="77777777" w:rsidR="004D3A3E" w:rsidRPr="00AC14CB" w:rsidRDefault="004D3A3E" w:rsidP="00CC305C">
            <w:pPr>
              <w:keepNext/>
              <w:spacing w:line="360" w:lineRule="auto"/>
              <w:jc w:val="center"/>
            </w:pPr>
            <w:r w:rsidRPr="00AC14CB">
              <w:t>0.16</w:t>
            </w:r>
          </w:p>
        </w:tc>
      </w:tr>
    </w:tbl>
    <w:p w14:paraId="0011CEB8" w14:textId="1F4DCEC7" w:rsidR="004D3A3E" w:rsidRPr="00AC14CB" w:rsidRDefault="004D3A3E" w:rsidP="004D3A3E">
      <w:pPr>
        <w:pStyle w:val="Figure-TableCaption"/>
        <w:spacing w:line="360" w:lineRule="auto"/>
        <w:rPr>
          <w:i w:val="0"/>
        </w:rPr>
      </w:pPr>
      <w:r w:rsidRPr="007A70CE">
        <w:rPr>
          <w:b/>
          <w:bCs/>
          <w:i w:val="0"/>
        </w:rPr>
        <w:t>Table 1</w:t>
      </w:r>
      <w:r w:rsidRPr="00AC14CB">
        <w:rPr>
          <w:i w:val="0"/>
        </w:rPr>
        <w:t xml:space="preserve"> Parameters of the virtual EIT module. The nomenclature is consistent with the work of Ludwig et al.</w:t>
      </w:r>
      <w:r w:rsidR="00BC21E3">
        <w:rPr>
          <w:i w:val="0"/>
        </w:rPr>
        <w:t xml:space="preserve"> </w:t>
      </w:r>
      <w:r w:rsidR="00BC21E3">
        <w:rPr>
          <w:i w:val="0"/>
        </w:rPr>
        <w:fldChar w:fldCharType="begin"/>
      </w:r>
      <w:r w:rsidR="00843984">
        <w:rPr>
          <w:i w:val="0"/>
        </w:rPr>
        <w:instrText xml:space="preserve"> ADDIN ZOTERO_ITEM CSL_CITATION {"citationID":"hF7EkQf8","properties":{"unsorted":false,"formattedCitation":"(6)","plainCitation":"(6)","noteIndex":0},"citationItems":[{"id":3012,"uris":["http://zotero.org/users/9434334/items/5AA7WBKN"],"itemData":{"id":3012,"type":"article-journal","abstract":"Objective.Time-difference electrical impedance tomography (EIT) is gaining widespread use for bedside lung monitoring in intensive care patients suffering from lung-related diseases. It involves collecting voltage measurements from electrodes placed on the patient's thorax, which are then used to reconstruct impedance images. This study investigates how incorporating anatomical information from CT data into the widely used Graz consensus reconstruction algorithm affects EIT (GREIT) images and improves their interpretability.Approach.Based on clinically motivated lung state scenarios, we simulated EIT measurements to assess how the GREIT parameters influence the result of EIT image reconstruction, particularly with respect to noise performance and image accuracy. We introduce quality measures that allow us to perform a quantitative assessment of reconstruction quality. We incorporate the anatomical features of a patient from CT data by customizing the background conductivity and the distribution of GREIT training targets.Main results.Our analysis confirmed that unphysiological background conductivity assumptions can lead to misleading EIT images, whereas physiological values, although more accurate, come with higher noise sensitivity. By increasing the number of GREIT training targets inside the lung and adapting the respective weighting radius, we significantly improved the anatomical accuracy of the EIT images. When applied to clinical EIT data from a representative acute respiratory distress syndrome patient, these adjustments in the reconstruction setup substantially enhanced the interpretability of the resulting EIT images.Significance.Incorporating CT-based anatomical data in the GREIT reconstruction significantly enhances the clinical applicability of EIT in lung monitoring. The improved interpretability of EIT images facilitates better-informed clinical decisions and the individualized adjustment of ventilation strategies for critically ill patients.","container-title":"Physiological Measurement","DOI":"10.1088/1361-6579/ae4289","ISSN":"1361-6579","issue":"2","journalAbbreviation":"Physiol Meas","language":"eng","PMID":"41643319","source":"PubMed","title":"Anatomically informed GREIT reconstruction: improving EIT imaging for lung monitoring","title-short":"Anatomically informed GREIT reconstruction","volume":"47","author":[{"family":"Ludwig","given":"Maximilian"},{"family":"Eichinger","given":"Carolin M."},{"family":"Sablewski","given":"Armin"},{"family":"Frerichs","given":"Inéz"},{"family":"Becher","given":"Tobias"},{"family":"Wall","given":"Wolfgang A."}],"issued":{"date-parts":[["2026",2,16]]}}}],"schema":"https://github.com/citation-style-language/schema/raw/master/csl-citation.json"} </w:instrText>
      </w:r>
      <w:r w:rsidR="00BC21E3">
        <w:rPr>
          <w:i w:val="0"/>
        </w:rPr>
        <w:fldChar w:fldCharType="separate"/>
      </w:r>
      <w:r w:rsidR="00843984">
        <w:rPr>
          <w:i w:val="0"/>
          <w:noProof/>
        </w:rPr>
        <w:t>(6)</w:t>
      </w:r>
      <w:r w:rsidR="00BC21E3">
        <w:rPr>
          <w:i w:val="0"/>
        </w:rPr>
        <w:fldChar w:fldCharType="end"/>
      </w:r>
    </w:p>
    <w:p w14:paraId="463426BC" w14:textId="77777777" w:rsidR="004D3A3E" w:rsidRDefault="004D3A3E" w:rsidP="004D3A3E">
      <w:pPr>
        <w:pStyle w:val="CaptionedFigure"/>
        <w:spacing w:line="360" w:lineRule="auto"/>
      </w:pPr>
      <w:r>
        <w:rPr>
          <w:noProof/>
        </w:rPr>
        <w:lastRenderedPageBreak/>
        <w:drawing>
          <wp:inline distT="0" distB="0" distL="0" distR="0" wp14:anchorId="38BD5748" wp14:editId="75FA9D97">
            <wp:extent cx="5972810" cy="5119551"/>
            <wp:effectExtent l="0" t="0" r="8890" b="5080"/>
            <wp:docPr id="71313236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32361" name="Grafik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72810" cy="5119551"/>
                    </a:xfrm>
                    <a:prstGeom prst="rect">
                      <a:avLst/>
                    </a:prstGeom>
                  </pic:spPr>
                </pic:pic>
              </a:graphicData>
            </a:graphic>
          </wp:inline>
        </w:drawing>
      </w:r>
    </w:p>
    <w:p w14:paraId="59BED57C" w14:textId="528B1F03" w:rsidR="004D3A3E" w:rsidRDefault="004D3A3E" w:rsidP="004D3A3E">
      <w:pPr>
        <w:pStyle w:val="CaptionedFigure"/>
        <w:spacing w:line="360" w:lineRule="auto"/>
      </w:pPr>
      <w:r w:rsidRPr="007A70CE">
        <w:rPr>
          <w:b/>
          <w:bCs/>
        </w:rPr>
        <w:t>Figure 1</w:t>
      </w:r>
      <w:r>
        <w:t xml:space="preserve"> Detailed view of the virtual EIT module introduced in Appendix 1.</w:t>
      </w:r>
      <w:r w:rsidDel="00393EF8">
        <w:t xml:space="preserve"> </w:t>
      </w:r>
    </w:p>
    <w:p w14:paraId="0910DFB3" w14:textId="32DB5AF3" w:rsidR="004D3A3E" w:rsidRDefault="004D3A3E" w:rsidP="004D3A3E">
      <w:pPr>
        <w:pStyle w:val="FirstParagraph"/>
        <w:spacing w:line="360" w:lineRule="auto"/>
      </w:pPr>
      <w:r w:rsidRPr="007B07B6">
        <w:t>The</w:t>
      </w:r>
      <w:r>
        <w:t>se</w:t>
      </w:r>
      <w:r w:rsidRPr="007B07B6">
        <w:t xml:space="preserve"> electrode voltages </w:t>
      </w:r>
      <w:r>
        <w:t xml:space="preserve"> from </w:t>
      </w:r>
      <w:r w:rsidRPr="007B07B6">
        <w:t>the virtual EIT forward model could directly be compared to the results of the clinical EIT measurements to assess the accuracy of the mechanical model predictions. However, as reconstructed EIT images are better to interpret than raw electrode voltages, we reconstructed the EIT images from both simulated and clinical EIT measurements using the reconstruction approach of Ludwig et al. that is based on the commonly used GREIT algorithm</w:t>
      </w:r>
      <w:r w:rsidR="000F79C0">
        <w:t xml:space="preserve"> </w:t>
      </w:r>
      <w:r w:rsidR="000F79C0">
        <w:fldChar w:fldCharType="begin"/>
      </w:r>
      <w:r w:rsidR="00843984">
        <w:instrText xml:space="preserve"> ADDIN ZOTERO_ITEM CSL_CITATION {"citationID":"tZOtw7Vj","properties":{"unsorted":false,"formattedCitation":"(3,6)","plainCitation":"(3,6)","noteIndex":0},"citationItems":[{"id":2814,"uris":["http://zotero.org/users/9434334/items/6VVQIRK4"],"itemData":{"id":2814,"type":"article-journal","abstract":"Electrical impedance tomography (EIT) is an attractive method for clinically monitoring patients during mechanical ventilation, because it can provide a non-invasive continuous image of pulmonary impedance which indicates the distribution of ventilation. However, most clinical and physiological research in lung EIT is done using older and proprietary algorithms; this is an obstacle to interpretation of EIT images because the reconstructed images are not well characterized. To address this issue, we develop a consensus linear reconstruction algorithm for lung EIT, called GREIT (Graz consensus Reconstruction algorithm for EIT). This paper describes the unified approach to linear image reconstruction developed for GREIT. The framework for the linear reconstruction algorithm consists of (1) detailed finite element models of a representative adult and neonatal thorax, (2) consensus on the performance figures of merit for EIT image reconstruction and (3) a systematic approach to optimize a linear reconstruction matrix to desired performance measures. Consensus figures of merit, in order of importance, are (a) uniform amplitude response, (b) small and uniform position error, (c) small ringing artefacts, (d) uniform resolution, (e) limited shape deformation and (f) high resolution. Such figures of merit must be attained while maintaining small noise amplification and small sensitivity to electrode and boundary movement. This approach represents the consensus of a large and representative group of experts in EIT algorithm design and clinical applications for pulmonary monitoring. All software and data to implement and test the algorithm have been made available under an open source license which allows free research and commercial use.","container-title":"Physiological Measurement","DOI":"10.1088/0967-3334/30/6/S03","ISSN":"0967-3334","issue":"6","journalAbbreviation":"Physiol. Meas.","language":"en","page":"S35","source":"Institute of Physics","title":"GREIT: a unified approach to 2D linear EIT reconstruction of lung images","title-short":"GREIT","volume":"30","author":[{"family":"Adler","given":"Andy"},{"family":"Arnold","given":"John H"},{"family":"Bayford","given":"Richard"},{"family":"Borsic","given":"Andrea"},{"family":"Brown","given":"Brian"},{"family":"Dixon","given":"Paul"},{"family":"Faes","given":"Theo J C"},{"family":"Frerichs","given":"Inéz"},{"family":"Gagnon","given":"Hervé"},{"family":"Gärber","given":"Yvo"},{"family":"Grychtol","given":"Bartłomiej"},{"family":"Hahn","given":"Günter"},{"family":"Lionheart","given":"William R B"},{"family":"Malik","given":"Anjum"},{"family":"Patterson","given":"Robert P"},{"family":"Stocks","given":"Janet"},{"family":"Tizzard","given":"Andrew"},{"family":"Weiler","given":"Norbert"},{"family":"Wolf","given":"Gerhard K"}],"issued":{"date-parts":[["2009",6]]}}},{"id":3012,"uris":["http://zotero.org/users/9434334/items/5AA7WBKN"],"itemData":{"id":3012,"type":"article-journal","abstract":"Objective.Time-difference electrical impedance tomography (EIT) is gaining widespread use for bedside lung monitoring in intensive care patients suffering from lung-related diseases. It involves collecting voltage measurements from electrodes placed on the patient's thorax, which are then used to reconstruct impedance images. This study investigates how incorporating anatomical information from CT data into the widely used Graz consensus reconstruction algorithm affects EIT (GREIT) images and improves their interpretability.Approach.Based on clinically motivated lung state scenarios, we simulated EIT measurements to assess how the GREIT parameters influence the result of EIT image reconstruction, particularly with respect to noise performance and image accuracy. We introduce quality measures that allow us to perform a quantitative assessment of reconstruction quality. We incorporate the anatomical features of a patient from CT data by customizing the background conductivity and the distribution of GREIT training targets.Main results.Our analysis confirmed that unphysiological background conductivity assumptions can lead to misleading EIT images, whereas physiological values, although more accurate, come with higher noise sensitivity. By increasing the number of GREIT training targets inside the lung and adapting the respective weighting radius, we significantly improved the anatomical accuracy of the EIT images. When applied to clinical EIT data from a representative acute respiratory distress syndrome patient, these adjustments in the reconstruction setup substantially enhanced the interpretability of the resulting EIT images.Significance.Incorporating CT-based anatomical data in the GREIT reconstruction significantly enhances the clinical applicability of EIT in lung monitoring. The improved interpretability of EIT images facilitates better-informed clinical decisions and the individualized adjustment of ventilation strategies for critically ill patients.","container-title":"Physiological Measurement","DOI":"10.1088/1361-6579/ae4289","ISSN":"1361-6579","issue":"2","journalAbbreviation":"Physiol Meas","language":"eng","PMID":"41643319","source":"PubMed","title":"Anatomically informed GREIT reconstruction: improving EIT imaging for lung monitoring","title-short":"Anatomically informed GREIT reconstruction","volume":"47","author":[{"family":"Ludwig","given":"Maximilian"},{"family":"Eichinger","given":"Carolin M."},{"family":"Sablewski","given":"Armin"},{"family":"Frerichs","given":"Inéz"},{"family":"Becher","given":"Tobias"},{"family":"Wall","given":"Wolfgang A."}],"issued":{"date-parts":[["2026",2,16]]}}}],"schema":"https://github.com/citation-style-language/schema/raw/master/csl-citation.json"} </w:instrText>
      </w:r>
      <w:r w:rsidR="000F79C0">
        <w:fldChar w:fldCharType="separate"/>
      </w:r>
      <w:r w:rsidR="00843984">
        <w:rPr>
          <w:noProof/>
        </w:rPr>
        <w:t>(3,6)</w:t>
      </w:r>
      <w:r w:rsidR="000F79C0">
        <w:fldChar w:fldCharType="end"/>
      </w:r>
      <w:r w:rsidRPr="007B07B6">
        <w:t xml:space="preserve">. </w:t>
      </w:r>
    </w:p>
    <w:p w14:paraId="69ADBD44" w14:textId="39286798" w:rsidR="007C30C0" w:rsidRDefault="004D3A3E" w:rsidP="007C30C0">
      <w:pPr>
        <w:pStyle w:val="FirstParagraph"/>
        <w:spacing w:line="360" w:lineRule="auto"/>
      </w:pPr>
      <w:r>
        <w:t xml:space="preserve">All necessary parameters for the virtual EIT module are summed up in Table 1. The nomenclature is consistent with the work of Ludwig et al. </w:t>
      </w:r>
      <w:r w:rsidR="000F79C0">
        <w:fldChar w:fldCharType="begin"/>
      </w:r>
      <w:r w:rsidR="00843984">
        <w:instrText xml:space="preserve"> ADDIN ZOTERO_ITEM CSL_CITATION {"citationID":"cdMNuyaA","properties":{"unsorted":false,"formattedCitation":"(6)","plainCitation":"(6)","noteIndex":0},"citationItems":[{"id":3012,"uris":["http://zotero.org/users/9434334/items/5AA7WBKN"],"itemData":{"id":3012,"type":"article-journal","abstract":"Objective.Time-difference electrical impedance tomography (EIT) is gaining widespread use for bedside lung monitoring in intensive care patients suffering from lung-related diseases. It involves collecting voltage measurements from electrodes placed on the patient's thorax, which are then used to reconstruct impedance images. This study investigates how incorporating anatomical information from CT data into the widely used Graz consensus reconstruction algorithm affects EIT (GREIT) images and improves their interpretability.Approach.Based on clinically motivated lung state scenarios, we simulated EIT measurements to assess how the GREIT parameters influence the result of EIT image reconstruction, particularly with respect to noise performance and image accuracy. We introduce quality measures that allow us to perform a quantitative assessment of reconstruction quality. We incorporate the anatomical features of a patient from CT data by customizing the background conductivity and the distribution of GREIT training targets.Main results.Our analysis confirmed that unphysiological background conductivity assumptions can lead to misleading EIT images, whereas physiological values, although more accurate, come with higher noise sensitivity. By increasing the number of GREIT training targets inside the lung and adapting the respective weighting radius, we significantly improved the anatomical accuracy of the EIT images. When applied to clinical EIT data from a representative acute respiratory distress syndrome patient, these adjustments in the reconstruction setup substantially enhanced the interpretability of the resulting EIT images.Significance.Incorporating CT-based anatomical data in the GREIT reconstruction significantly enhances the clinical applicability of EIT in lung monitoring. The improved interpretability of EIT images facilitates better-informed clinical decisions and the individualized adjustment of ventilation strategies for critically ill patients.","container-title":"Physiological Measurement","DOI":"10.1088/1361-6579/ae4289","ISSN":"1361-6579","issue":"2","journalAbbreviation":"Physiol Meas","language":"eng","PMID":"41643319","source":"PubMed","title":"Anatomically informed GREIT reconstruction: improving EIT imaging for lung monitoring","title-short":"Anatomically informed GREIT reconstruction","volume":"47","author":[{"family":"Ludwig","given":"Maximilian"},{"family":"Eichinger","given":"Carolin M."},{"family":"Sablewski","given":"Armin"},{"family":"Frerichs","given":"Inéz"},{"family":"Becher","given":"Tobias"},{"family":"Wall","given":"Wolfgang A."}],"issued":{"date-parts":[["2026",2,16]]}}}],"schema":"https://github.com/citation-style-language/schema/raw/master/csl-citation.json"} </w:instrText>
      </w:r>
      <w:r w:rsidR="000F79C0">
        <w:fldChar w:fldCharType="separate"/>
      </w:r>
      <w:r w:rsidR="00843984">
        <w:rPr>
          <w:noProof/>
        </w:rPr>
        <w:t>(6)</w:t>
      </w:r>
      <w:r w:rsidR="000F79C0">
        <w:fldChar w:fldCharType="end"/>
      </w:r>
      <w:r>
        <w:t>.</w:t>
      </w:r>
    </w:p>
    <w:p w14:paraId="244F8F39" w14:textId="7EF6491D" w:rsidR="007C30C0" w:rsidRPr="007C30C0" w:rsidRDefault="007C30C0" w:rsidP="007C30C0">
      <w:pPr>
        <w:pStyle w:val="berschrift2"/>
        <w:spacing w:line="360" w:lineRule="auto"/>
        <w:rPr>
          <w:kern w:val="0"/>
          <w:lang w:val="en-US"/>
          <w14:ligatures w14:val="none"/>
        </w:rPr>
      </w:pPr>
      <w:r w:rsidRPr="007C30C0">
        <w:rPr>
          <w:kern w:val="0"/>
          <w:lang w:val="en-US"/>
          <w14:ligatures w14:val="none"/>
        </w:rPr>
        <w:t>Reference</w:t>
      </w:r>
      <w:r>
        <w:rPr>
          <w:kern w:val="0"/>
          <w:lang w:val="en-US"/>
          <w14:ligatures w14:val="none"/>
        </w:rPr>
        <w:t>s</w:t>
      </w:r>
    </w:p>
    <w:p w14:paraId="17BD3E03" w14:textId="77777777" w:rsidR="00843984" w:rsidRPr="00BD5440" w:rsidRDefault="00466449" w:rsidP="00843984">
      <w:pPr>
        <w:pStyle w:val="Literaturverzeichnis"/>
        <w:rPr>
          <w:rFonts w:ascii="Aptos" w:eastAsiaTheme="minorHAnsi"/>
        </w:rPr>
      </w:pPr>
      <w:r>
        <w:fldChar w:fldCharType="begin"/>
      </w:r>
      <w:r>
        <w:instrText xml:space="preserve"> ADDIN ZOTERO_BIBL {"uncited":[],"omitted":[],"custom":[]} CSL_BIBLIOGRAPHY </w:instrText>
      </w:r>
      <w:r>
        <w:fldChar w:fldCharType="separate"/>
      </w:r>
      <w:r w:rsidR="00843984" w:rsidRPr="00BD5440">
        <w:rPr>
          <w:rFonts w:ascii="Aptos" w:eastAsiaTheme="minorHAnsi"/>
        </w:rPr>
        <w:t>1.</w:t>
      </w:r>
      <w:r w:rsidR="00843984" w:rsidRPr="00BD5440">
        <w:rPr>
          <w:rFonts w:ascii="Aptos" w:eastAsiaTheme="minorHAnsi"/>
        </w:rPr>
        <w:tab/>
        <w:t xml:space="preserve">Roth CJ, Becher T, Frerichs I, Weiler N, Wall WA. Coupling of EIT with computational lung modeling for predicting patient-specific ventilatory responses. J Appl Physiol </w:t>
      </w:r>
      <w:r w:rsidR="00843984" w:rsidRPr="00BD5440">
        <w:rPr>
          <w:rFonts w:ascii="Aptos" w:eastAsiaTheme="minorHAnsi"/>
        </w:rPr>
        <w:lastRenderedPageBreak/>
        <w:t>Bethesda Md 1985. 2017 Apr 1;122(4):855–67. doi:10.1152/japplphysiol.00236.2016 PubMed PMID: 27932671.</w:t>
      </w:r>
    </w:p>
    <w:p w14:paraId="5200C3A5" w14:textId="77777777" w:rsidR="00843984" w:rsidRPr="00BD5440" w:rsidRDefault="00843984" w:rsidP="00843984">
      <w:pPr>
        <w:pStyle w:val="Literaturverzeichnis"/>
        <w:rPr>
          <w:rFonts w:ascii="Aptos" w:eastAsiaTheme="minorHAnsi"/>
        </w:rPr>
      </w:pPr>
      <w:r w:rsidRPr="00BD5440">
        <w:rPr>
          <w:rFonts w:ascii="Aptos" w:eastAsiaTheme="minorHAnsi"/>
        </w:rPr>
        <w:t>2.</w:t>
      </w:r>
      <w:r w:rsidRPr="00BD5440">
        <w:rPr>
          <w:rFonts w:ascii="Aptos" w:eastAsiaTheme="minorHAnsi"/>
        </w:rPr>
        <w:tab/>
        <w:t>GitLab [Internet]. 2024 [cited 2025 Nov 14]. Xenotaph3 / Holo Shed · GitLab. Available from: https://gitlab.com/xenotaph3/holoshed</w:t>
      </w:r>
    </w:p>
    <w:p w14:paraId="025E6085" w14:textId="77777777" w:rsidR="00843984" w:rsidRPr="00BD5440" w:rsidRDefault="00843984" w:rsidP="00843984">
      <w:pPr>
        <w:pStyle w:val="Literaturverzeichnis"/>
        <w:rPr>
          <w:rFonts w:ascii="Aptos" w:eastAsiaTheme="minorHAnsi"/>
        </w:rPr>
      </w:pPr>
      <w:r w:rsidRPr="00BD5440">
        <w:rPr>
          <w:rFonts w:ascii="Aptos" w:eastAsiaTheme="minorHAnsi"/>
        </w:rPr>
        <w:t>3.</w:t>
      </w:r>
      <w:r w:rsidRPr="00BD5440">
        <w:rPr>
          <w:rFonts w:ascii="Aptos" w:eastAsiaTheme="minorHAnsi"/>
        </w:rPr>
        <w:tab/>
        <w:t>Adler A, Arnold JH, Bayford R, Borsic A, Brown B, Dixon P, et al. GREIT: a unified approach to 2D linear EIT reconstruction of lung images. Physiol Meas. 2009 Jun;30(6):S35. doi:10.1088/0967-3334/30/6/S03</w:t>
      </w:r>
    </w:p>
    <w:p w14:paraId="79A97E0B" w14:textId="77777777" w:rsidR="00843984" w:rsidRPr="00BD5440" w:rsidRDefault="00843984" w:rsidP="00843984">
      <w:pPr>
        <w:pStyle w:val="Literaturverzeichnis"/>
        <w:rPr>
          <w:rFonts w:ascii="Aptos" w:eastAsiaTheme="minorHAnsi"/>
        </w:rPr>
      </w:pPr>
      <w:r w:rsidRPr="00BD5440">
        <w:rPr>
          <w:rFonts w:ascii="Aptos" w:eastAsiaTheme="minorHAnsi"/>
        </w:rPr>
        <w:t>4.</w:t>
      </w:r>
      <w:r w:rsidRPr="00BD5440">
        <w:rPr>
          <w:rFonts w:ascii="Aptos" w:eastAsiaTheme="minorHAnsi"/>
        </w:rPr>
        <w:tab/>
        <w:t>Roth CJ, Ehrl A, Becher T, Frerichs I, Schittny JC, Weiler N, et al. Correlation between alveolar ventilation and electrical properties of lung parenchyma. Physiol Meas. 2015 Jun;36(6):1211–26. doi:10.1088/0967-3334/36/6/1211 PubMed PMID: 26008964.</w:t>
      </w:r>
    </w:p>
    <w:p w14:paraId="765560E2" w14:textId="77777777" w:rsidR="00843984" w:rsidRPr="00BD5440" w:rsidRDefault="00843984" w:rsidP="00843984">
      <w:pPr>
        <w:pStyle w:val="Literaturverzeichnis"/>
        <w:rPr>
          <w:rFonts w:ascii="Aptos" w:eastAsiaTheme="minorHAnsi"/>
        </w:rPr>
      </w:pPr>
      <w:r w:rsidRPr="00BD5440">
        <w:rPr>
          <w:rFonts w:ascii="Aptos" w:eastAsiaTheme="minorHAnsi"/>
        </w:rPr>
        <w:t>5.</w:t>
      </w:r>
      <w:r w:rsidRPr="00BD5440">
        <w:rPr>
          <w:rFonts w:ascii="Aptos" w:eastAsiaTheme="minorHAnsi"/>
        </w:rPr>
        <w:tab/>
        <w:t>Cheng KS, Isaacson D, Newell JC, Gisser DG. Electrode models for electric current computed tomography. IEEE Trans Biomed Eng. 1989 Sep;36(9):918–24. doi:10.1109/10.35300</w:t>
      </w:r>
    </w:p>
    <w:p w14:paraId="4472BCA8" w14:textId="77777777" w:rsidR="00843984" w:rsidRPr="00843984" w:rsidRDefault="00843984" w:rsidP="00843984">
      <w:pPr>
        <w:pStyle w:val="Literaturverzeichnis"/>
        <w:rPr>
          <w:rFonts w:ascii="Aptos" w:eastAsiaTheme="minorHAnsi"/>
          <w:lang w:val="de-DE"/>
        </w:rPr>
      </w:pPr>
      <w:r w:rsidRPr="00BD5440">
        <w:rPr>
          <w:rFonts w:ascii="Aptos" w:eastAsiaTheme="minorHAnsi"/>
        </w:rPr>
        <w:t>6.</w:t>
      </w:r>
      <w:r w:rsidRPr="00BD5440">
        <w:rPr>
          <w:rFonts w:ascii="Aptos" w:eastAsiaTheme="minorHAnsi"/>
        </w:rPr>
        <w:tab/>
        <w:t xml:space="preserve">Ludwig M, Eichinger CM, Sablewski A, Frerichs I, Becher T, Wall WA. Anatomically informed GREIT reconstruction: improving EIT imaging for lung monitoring. </w:t>
      </w:r>
      <w:r w:rsidRPr="00843984">
        <w:rPr>
          <w:rFonts w:ascii="Aptos" w:eastAsiaTheme="minorHAnsi"/>
          <w:lang w:val="de-DE"/>
        </w:rPr>
        <w:t>Physiol Meas. 2026 Feb 16;47(2). doi:10.1088/1361-6579/ae4289 PubMed PMID: 41643319.</w:t>
      </w:r>
    </w:p>
    <w:p w14:paraId="30104135" w14:textId="00BC4AEF" w:rsidR="00466449" w:rsidRDefault="00466449" w:rsidP="00843984">
      <w:pPr>
        <w:pStyle w:val="Literaturverzeichnis"/>
      </w:pPr>
      <w:r>
        <w:fldChar w:fldCharType="end"/>
      </w:r>
    </w:p>
    <w:sectPr w:rsidR="004664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3E"/>
    <w:rsid w:val="000A4D9A"/>
    <w:rsid w:val="000F79C0"/>
    <w:rsid w:val="001B6108"/>
    <w:rsid w:val="00401AA4"/>
    <w:rsid w:val="00461F8E"/>
    <w:rsid w:val="00466449"/>
    <w:rsid w:val="004B63F3"/>
    <w:rsid w:val="004D3A3E"/>
    <w:rsid w:val="00523487"/>
    <w:rsid w:val="005A47F2"/>
    <w:rsid w:val="005F25EA"/>
    <w:rsid w:val="00627749"/>
    <w:rsid w:val="00647AAF"/>
    <w:rsid w:val="006622FF"/>
    <w:rsid w:val="006A693F"/>
    <w:rsid w:val="006E776D"/>
    <w:rsid w:val="00730E15"/>
    <w:rsid w:val="007373C3"/>
    <w:rsid w:val="007A70CE"/>
    <w:rsid w:val="007C1985"/>
    <w:rsid w:val="007C30C0"/>
    <w:rsid w:val="00843984"/>
    <w:rsid w:val="00846A66"/>
    <w:rsid w:val="00870264"/>
    <w:rsid w:val="008960F0"/>
    <w:rsid w:val="00A736A5"/>
    <w:rsid w:val="00AA08AA"/>
    <w:rsid w:val="00AC14CB"/>
    <w:rsid w:val="00B70498"/>
    <w:rsid w:val="00B90416"/>
    <w:rsid w:val="00BC21E3"/>
    <w:rsid w:val="00BD5440"/>
    <w:rsid w:val="00CA589C"/>
    <w:rsid w:val="00CD00AB"/>
    <w:rsid w:val="00DA7FCD"/>
    <w:rsid w:val="00DC20E0"/>
    <w:rsid w:val="00E4581B"/>
    <w:rsid w:val="00E92D95"/>
    <w:rsid w:val="00EA5DC5"/>
    <w:rsid w:val="00EC136B"/>
    <w:rsid w:val="00ED11CE"/>
    <w:rsid w:val="00F37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A7C5"/>
  <w15:chartTrackingRefBased/>
  <w15:docId w15:val="{CD06C1A5-C258-DD48-A68D-D425F4E1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3A3E"/>
    <w:pPr>
      <w:spacing w:after="200"/>
    </w:pPr>
    <w:rPr>
      <w:rFonts w:eastAsiaTheme="minorEastAsia"/>
      <w:kern w:val="0"/>
      <w:lang w:val="en-US"/>
      <w14:ligatures w14:val="none"/>
    </w:rPr>
  </w:style>
  <w:style w:type="paragraph" w:styleId="berschrift1">
    <w:name w:val="heading 1"/>
    <w:basedOn w:val="Standard"/>
    <w:next w:val="Standard"/>
    <w:link w:val="berschrift1Zchn"/>
    <w:uiPriority w:val="9"/>
    <w:qFormat/>
    <w:rsid w:val="004D3A3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unhideWhenUsed/>
    <w:qFormat/>
    <w:rsid w:val="004D3A3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unhideWhenUsed/>
    <w:qFormat/>
    <w:rsid w:val="004D3A3E"/>
    <w:pPr>
      <w:keepNext/>
      <w:keepLines/>
      <w:spacing w:before="160" w:after="80"/>
      <w:outlineLvl w:val="2"/>
    </w:pPr>
    <w:rPr>
      <w:rFonts w:eastAsiaTheme="majorEastAsia"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4D3A3E"/>
    <w:pPr>
      <w:keepNext/>
      <w:keepLines/>
      <w:spacing w:before="80" w:after="40"/>
      <w:outlineLvl w:val="3"/>
    </w:pPr>
    <w:rPr>
      <w:rFonts w:eastAsiaTheme="majorEastAsia" w:cstheme="majorBidi"/>
      <w:i/>
      <w:iCs/>
      <w:color w:val="0F4761" w:themeColor="accent1" w:themeShade="BF"/>
      <w:kern w:val="2"/>
      <w:lang w:val="de-DE"/>
      <w14:ligatures w14:val="standardContextual"/>
    </w:rPr>
  </w:style>
  <w:style w:type="paragraph" w:styleId="berschrift5">
    <w:name w:val="heading 5"/>
    <w:basedOn w:val="Standard"/>
    <w:next w:val="Standard"/>
    <w:link w:val="berschrift5Zchn"/>
    <w:uiPriority w:val="9"/>
    <w:semiHidden/>
    <w:unhideWhenUsed/>
    <w:qFormat/>
    <w:rsid w:val="004D3A3E"/>
    <w:pPr>
      <w:keepNext/>
      <w:keepLines/>
      <w:spacing w:before="80" w:after="40"/>
      <w:outlineLvl w:val="4"/>
    </w:pPr>
    <w:rPr>
      <w:rFonts w:eastAsiaTheme="majorEastAsia" w:cstheme="majorBidi"/>
      <w:color w:val="0F4761" w:themeColor="accent1" w:themeShade="BF"/>
      <w:kern w:val="2"/>
      <w:lang w:val="de-DE"/>
      <w14:ligatures w14:val="standardContextual"/>
    </w:rPr>
  </w:style>
  <w:style w:type="paragraph" w:styleId="berschrift6">
    <w:name w:val="heading 6"/>
    <w:basedOn w:val="Standard"/>
    <w:next w:val="Standard"/>
    <w:link w:val="berschrift6Zchn"/>
    <w:uiPriority w:val="9"/>
    <w:semiHidden/>
    <w:unhideWhenUsed/>
    <w:qFormat/>
    <w:rsid w:val="004D3A3E"/>
    <w:pPr>
      <w:keepNext/>
      <w:keepLines/>
      <w:spacing w:before="40" w:after="0"/>
      <w:outlineLvl w:val="5"/>
    </w:pPr>
    <w:rPr>
      <w:rFonts w:eastAsiaTheme="majorEastAsia" w:cstheme="majorBidi"/>
      <w:i/>
      <w:iCs/>
      <w:color w:val="595959" w:themeColor="text1" w:themeTint="A6"/>
      <w:kern w:val="2"/>
      <w:lang w:val="de-DE"/>
      <w14:ligatures w14:val="standardContextual"/>
    </w:rPr>
  </w:style>
  <w:style w:type="paragraph" w:styleId="berschrift7">
    <w:name w:val="heading 7"/>
    <w:basedOn w:val="Standard"/>
    <w:next w:val="Standard"/>
    <w:link w:val="berschrift7Zchn"/>
    <w:uiPriority w:val="9"/>
    <w:semiHidden/>
    <w:unhideWhenUsed/>
    <w:qFormat/>
    <w:rsid w:val="004D3A3E"/>
    <w:pPr>
      <w:keepNext/>
      <w:keepLines/>
      <w:spacing w:before="40" w:after="0"/>
      <w:outlineLvl w:val="6"/>
    </w:pPr>
    <w:rPr>
      <w:rFonts w:eastAsiaTheme="majorEastAsia" w:cstheme="majorBidi"/>
      <w:color w:val="595959" w:themeColor="text1" w:themeTint="A6"/>
      <w:kern w:val="2"/>
      <w:lang w:val="de-DE"/>
      <w14:ligatures w14:val="standardContextual"/>
    </w:rPr>
  </w:style>
  <w:style w:type="paragraph" w:styleId="berschrift8">
    <w:name w:val="heading 8"/>
    <w:basedOn w:val="Standard"/>
    <w:next w:val="Standard"/>
    <w:link w:val="berschrift8Zchn"/>
    <w:uiPriority w:val="9"/>
    <w:semiHidden/>
    <w:unhideWhenUsed/>
    <w:qFormat/>
    <w:rsid w:val="004D3A3E"/>
    <w:pPr>
      <w:keepNext/>
      <w:keepLines/>
      <w:spacing w:after="0"/>
      <w:outlineLvl w:val="7"/>
    </w:pPr>
    <w:rPr>
      <w:rFonts w:eastAsiaTheme="majorEastAsia" w:cstheme="majorBidi"/>
      <w:i/>
      <w:iCs/>
      <w:color w:val="272727" w:themeColor="text1" w:themeTint="D8"/>
      <w:kern w:val="2"/>
      <w:lang w:val="de-DE"/>
      <w14:ligatures w14:val="standardContextual"/>
    </w:rPr>
  </w:style>
  <w:style w:type="paragraph" w:styleId="berschrift9">
    <w:name w:val="heading 9"/>
    <w:basedOn w:val="Standard"/>
    <w:next w:val="Standard"/>
    <w:link w:val="berschrift9Zchn"/>
    <w:uiPriority w:val="9"/>
    <w:semiHidden/>
    <w:unhideWhenUsed/>
    <w:qFormat/>
    <w:rsid w:val="004D3A3E"/>
    <w:pPr>
      <w:keepNext/>
      <w:keepLines/>
      <w:spacing w:after="0"/>
      <w:outlineLvl w:val="8"/>
    </w:pPr>
    <w:rPr>
      <w:rFonts w:eastAsiaTheme="majorEastAsia" w:cstheme="majorBidi"/>
      <w:color w:val="272727" w:themeColor="text1" w:themeTint="D8"/>
      <w:kern w:val="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A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D3A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D3A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3A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3A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3A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3A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3A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3A3E"/>
    <w:rPr>
      <w:rFonts w:eastAsiaTheme="majorEastAsia" w:cstheme="majorBidi"/>
      <w:color w:val="272727" w:themeColor="text1" w:themeTint="D8"/>
    </w:rPr>
  </w:style>
  <w:style w:type="paragraph" w:styleId="Titel">
    <w:name w:val="Title"/>
    <w:basedOn w:val="Standard"/>
    <w:next w:val="Standard"/>
    <w:link w:val="TitelZchn"/>
    <w:uiPriority w:val="10"/>
    <w:qFormat/>
    <w:rsid w:val="004D3A3E"/>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4D3A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3A3E"/>
    <w:pPr>
      <w:numPr>
        <w:ilvl w:val="1"/>
      </w:numPr>
      <w:spacing w:after="160"/>
    </w:pPr>
    <w:rPr>
      <w:rFonts w:eastAsiaTheme="majorEastAsia"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4D3A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3A3E"/>
    <w:pPr>
      <w:spacing w:before="160" w:after="160"/>
      <w:jc w:val="center"/>
    </w:pPr>
    <w:rPr>
      <w:rFonts w:eastAsiaTheme="minorHAnsi"/>
      <w:i/>
      <w:iCs/>
      <w:color w:val="404040" w:themeColor="text1" w:themeTint="BF"/>
      <w:kern w:val="2"/>
      <w:lang w:val="de-DE"/>
      <w14:ligatures w14:val="standardContextual"/>
    </w:rPr>
  </w:style>
  <w:style w:type="character" w:customStyle="1" w:styleId="ZitatZchn">
    <w:name w:val="Zitat Zchn"/>
    <w:basedOn w:val="Absatz-Standardschriftart"/>
    <w:link w:val="Zitat"/>
    <w:uiPriority w:val="29"/>
    <w:rsid w:val="004D3A3E"/>
    <w:rPr>
      <w:i/>
      <w:iCs/>
      <w:color w:val="404040" w:themeColor="text1" w:themeTint="BF"/>
    </w:rPr>
  </w:style>
  <w:style w:type="paragraph" w:styleId="Listenabsatz">
    <w:name w:val="List Paragraph"/>
    <w:basedOn w:val="Standard"/>
    <w:uiPriority w:val="34"/>
    <w:qFormat/>
    <w:rsid w:val="004D3A3E"/>
    <w:pPr>
      <w:spacing w:after="0"/>
      <w:ind w:left="720"/>
      <w:contextualSpacing/>
    </w:pPr>
    <w:rPr>
      <w:rFonts w:eastAsiaTheme="minorHAnsi"/>
      <w:kern w:val="2"/>
      <w:lang w:val="de-DE"/>
      <w14:ligatures w14:val="standardContextual"/>
    </w:rPr>
  </w:style>
  <w:style w:type="character" w:styleId="IntensiveHervorhebung">
    <w:name w:val="Intense Emphasis"/>
    <w:basedOn w:val="Absatz-Standardschriftart"/>
    <w:uiPriority w:val="21"/>
    <w:qFormat/>
    <w:rsid w:val="004D3A3E"/>
    <w:rPr>
      <w:i/>
      <w:iCs/>
      <w:color w:val="0F4761" w:themeColor="accent1" w:themeShade="BF"/>
    </w:rPr>
  </w:style>
  <w:style w:type="paragraph" w:styleId="IntensivesZitat">
    <w:name w:val="Intense Quote"/>
    <w:basedOn w:val="Standard"/>
    <w:next w:val="Standard"/>
    <w:link w:val="IntensivesZitatZchn"/>
    <w:uiPriority w:val="30"/>
    <w:qFormat/>
    <w:rsid w:val="004D3A3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de-DE"/>
      <w14:ligatures w14:val="standardContextual"/>
    </w:rPr>
  </w:style>
  <w:style w:type="character" w:customStyle="1" w:styleId="IntensivesZitatZchn">
    <w:name w:val="Intensives Zitat Zchn"/>
    <w:basedOn w:val="Absatz-Standardschriftart"/>
    <w:link w:val="IntensivesZitat"/>
    <w:uiPriority w:val="30"/>
    <w:rsid w:val="004D3A3E"/>
    <w:rPr>
      <w:i/>
      <w:iCs/>
      <w:color w:val="0F4761" w:themeColor="accent1" w:themeShade="BF"/>
    </w:rPr>
  </w:style>
  <w:style w:type="character" w:styleId="IntensiverVerweis">
    <w:name w:val="Intense Reference"/>
    <w:basedOn w:val="Absatz-Standardschriftart"/>
    <w:uiPriority w:val="32"/>
    <w:qFormat/>
    <w:rsid w:val="004D3A3E"/>
    <w:rPr>
      <w:b/>
      <w:bCs/>
      <w:smallCaps/>
      <w:color w:val="0F4761" w:themeColor="accent1" w:themeShade="BF"/>
      <w:spacing w:val="5"/>
    </w:rPr>
  </w:style>
  <w:style w:type="paragraph" w:styleId="Textkrper">
    <w:name w:val="Body Text"/>
    <w:basedOn w:val="Standard"/>
    <w:link w:val="TextkrperZchn"/>
    <w:qFormat/>
    <w:rsid w:val="004D3A3E"/>
    <w:pPr>
      <w:spacing w:before="180" w:after="180"/>
      <w:jc w:val="both"/>
    </w:pPr>
  </w:style>
  <w:style w:type="character" w:customStyle="1" w:styleId="TextkrperZchn">
    <w:name w:val="Textkörper Zchn"/>
    <w:basedOn w:val="Absatz-Standardschriftart"/>
    <w:link w:val="Textkrper"/>
    <w:rsid w:val="004D3A3E"/>
    <w:rPr>
      <w:rFonts w:eastAsiaTheme="minorEastAsia"/>
      <w:kern w:val="0"/>
      <w:lang w:val="en-US"/>
      <w14:ligatures w14:val="none"/>
    </w:rPr>
  </w:style>
  <w:style w:type="paragraph" w:customStyle="1" w:styleId="FirstParagraph">
    <w:name w:val="First Paragraph"/>
    <w:basedOn w:val="Textkrper"/>
    <w:next w:val="Textkrper"/>
    <w:qFormat/>
    <w:rsid w:val="004D3A3E"/>
  </w:style>
  <w:style w:type="paragraph" w:customStyle="1" w:styleId="Compact">
    <w:name w:val="Compact"/>
    <w:basedOn w:val="Textkrper"/>
    <w:qFormat/>
    <w:rsid w:val="004D3A3E"/>
    <w:pPr>
      <w:spacing w:before="36" w:after="36"/>
    </w:pPr>
  </w:style>
  <w:style w:type="paragraph" w:customStyle="1" w:styleId="CaptionedFigure">
    <w:name w:val="Captioned Figure"/>
    <w:basedOn w:val="Standard"/>
    <w:rsid w:val="004D3A3E"/>
    <w:pPr>
      <w:keepNext/>
    </w:pPr>
  </w:style>
  <w:style w:type="character" w:styleId="Hyperlink">
    <w:name w:val="Hyperlink"/>
    <w:basedOn w:val="Absatz-Standardschriftart"/>
    <w:rsid w:val="004D3A3E"/>
    <w:rPr>
      <w:color w:val="156082" w:themeColor="accent1"/>
    </w:rPr>
  </w:style>
  <w:style w:type="table" w:styleId="Tabellenraster">
    <w:name w:val="Table Grid"/>
    <w:basedOn w:val="NormaleTabelle"/>
    <w:rsid w:val="004D3A3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_Caption"/>
    <w:basedOn w:val="Beschriftung"/>
    <w:link w:val="Figure-TableCaptionChar"/>
    <w:qFormat/>
    <w:rsid w:val="004D3A3E"/>
    <w:pPr>
      <w:spacing w:after="120"/>
      <w:jc w:val="both"/>
    </w:pPr>
    <w:rPr>
      <w:iCs w:val="0"/>
      <w:color w:val="auto"/>
      <w:sz w:val="24"/>
      <w:szCs w:val="24"/>
    </w:rPr>
  </w:style>
  <w:style w:type="character" w:customStyle="1" w:styleId="Figure-TableCaptionChar">
    <w:name w:val="Figure-Table_Caption Char"/>
    <w:basedOn w:val="Absatz-Standardschriftart"/>
    <w:link w:val="Figure-TableCaption"/>
    <w:rsid w:val="004D3A3E"/>
    <w:rPr>
      <w:rFonts w:eastAsiaTheme="minorEastAsia"/>
      <w:i/>
      <w:kern w:val="0"/>
      <w:lang w:val="en-US"/>
      <w14:ligatures w14:val="none"/>
    </w:rPr>
  </w:style>
  <w:style w:type="character" w:styleId="Kommentarzeichen">
    <w:name w:val="annotation reference"/>
    <w:basedOn w:val="Absatz-Standardschriftart"/>
    <w:rsid w:val="004D3A3E"/>
    <w:rPr>
      <w:sz w:val="16"/>
      <w:szCs w:val="16"/>
    </w:rPr>
  </w:style>
  <w:style w:type="paragraph" w:styleId="Kommentartext">
    <w:name w:val="annotation text"/>
    <w:basedOn w:val="Standard"/>
    <w:link w:val="KommentartextZchn"/>
    <w:rsid w:val="004D3A3E"/>
    <w:rPr>
      <w:sz w:val="20"/>
      <w:szCs w:val="20"/>
    </w:rPr>
  </w:style>
  <w:style w:type="character" w:customStyle="1" w:styleId="KommentartextZchn">
    <w:name w:val="Kommentartext Zchn"/>
    <w:basedOn w:val="Absatz-Standardschriftart"/>
    <w:link w:val="Kommentartext"/>
    <w:rsid w:val="004D3A3E"/>
    <w:rPr>
      <w:rFonts w:eastAsiaTheme="minorEastAsia"/>
      <w:kern w:val="0"/>
      <w:sz w:val="20"/>
      <w:szCs w:val="20"/>
      <w:lang w:val="en-US"/>
      <w14:ligatures w14:val="none"/>
    </w:rPr>
  </w:style>
  <w:style w:type="paragraph" w:styleId="Beschriftung">
    <w:name w:val="caption"/>
    <w:basedOn w:val="Standard"/>
    <w:next w:val="Standard"/>
    <w:uiPriority w:val="35"/>
    <w:semiHidden/>
    <w:unhideWhenUsed/>
    <w:qFormat/>
    <w:rsid w:val="004D3A3E"/>
    <w:rPr>
      <w:i/>
      <w:iCs/>
      <w:color w:val="0E2841" w:themeColor="text2"/>
      <w:sz w:val="18"/>
      <w:szCs w:val="18"/>
    </w:rPr>
  </w:style>
  <w:style w:type="paragraph" w:styleId="berarbeitung">
    <w:name w:val="Revision"/>
    <w:hidden/>
    <w:uiPriority w:val="99"/>
    <w:semiHidden/>
    <w:rsid w:val="00AC14CB"/>
    <w:rPr>
      <w:rFonts w:eastAsiaTheme="minorEastAsia"/>
      <w:kern w:val="0"/>
      <w:lang w:val="en-US"/>
      <w14:ligatures w14:val="none"/>
    </w:rPr>
  </w:style>
  <w:style w:type="paragraph" w:styleId="Literaturverzeichnis">
    <w:name w:val="Bibliography"/>
    <w:basedOn w:val="Standard"/>
    <w:next w:val="Standard"/>
    <w:uiPriority w:val="37"/>
    <w:unhideWhenUsed/>
    <w:rsid w:val="00466449"/>
    <w:pPr>
      <w:tabs>
        <w:tab w:val="left" w:pos="260"/>
      </w:tabs>
      <w:spacing w:after="240"/>
      <w:ind w:left="264" w:hanging="264"/>
    </w:pPr>
  </w:style>
  <w:style w:type="paragraph" w:customStyle="1" w:styleId="p1">
    <w:name w:val="p1"/>
    <w:basedOn w:val="Standard"/>
    <w:rsid w:val="00BC21E3"/>
    <w:pPr>
      <w:spacing w:after="0"/>
    </w:pPr>
    <w:rPr>
      <w:rFonts w:ascii="Helvetica Neue" w:eastAsia="Times New Roman" w:hAnsi="Helvetica Neue" w:cs="Times New Roman"/>
      <w:color w:val="000000"/>
      <w:sz w:val="21"/>
      <w:szCs w:val="21"/>
      <w:lang w:val="de-DE" w:eastAsia="de-DE"/>
    </w:rPr>
  </w:style>
  <w:style w:type="character" w:customStyle="1" w:styleId="apple-converted-space">
    <w:name w:val="apple-converted-space"/>
    <w:basedOn w:val="Absatz-Standardschriftart"/>
    <w:rsid w:val="00BC21E3"/>
  </w:style>
  <w:style w:type="paragraph" w:styleId="Kommentarthema">
    <w:name w:val="annotation subject"/>
    <w:basedOn w:val="Kommentartext"/>
    <w:next w:val="Kommentartext"/>
    <w:link w:val="KommentarthemaZchn"/>
    <w:uiPriority w:val="99"/>
    <w:semiHidden/>
    <w:unhideWhenUsed/>
    <w:rsid w:val="00BC21E3"/>
    <w:rPr>
      <w:b/>
      <w:bCs/>
    </w:rPr>
  </w:style>
  <w:style w:type="character" w:customStyle="1" w:styleId="KommentarthemaZchn">
    <w:name w:val="Kommentarthema Zchn"/>
    <w:basedOn w:val="KommentartextZchn"/>
    <w:link w:val="Kommentarthema"/>
    <w:uiPriority w:val="99"/>
    <w:semiHidden/>
    <w:rsid w:val="00BC21E3"/>
    <w:rPr>
      <w:rFonts w:eastAsiaTheme="minorEastAsia"/>
      <w:b/>
      <w:bCs/>
      <w:kern w:val="0"/>
      <w:sz w:val="20"/>
      <w:szCs w:val="20"/>
      <w:lang w:val="en-US"/>
      <w14:ligatures w14:val="none"/>
    </w:rPr>
  </w:style>
  <w:style w:type="character" w:styleId="Platzhaltertext">
    <w:name w:val="Placeholder Text"/>
    <w:basedOn w:val="Absatz-Standardschriftart"/>
    <w:uiPriority w:val="99"/>
    <w:semiHidden/>
    <w:rsid w:val="00EA5D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5050</Words>
  <Characters>27575</Characters>
  <Application>Microsoft Office Word</Application>
  <DocSecurity>0</DocSecurity>
  <Lines>672</Lines>
  <Paragraphs>412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Sablewski</dc:creator>
  <cp:keywords/>
  <dc:description/>
  <cp:lastModifiedBy>Armin Sablewski</cp:lastModifiedBy>
  <cp:revision>5</cp:revision>
  <dcterms:created xsi:type="dcterms:W3CDTF">2026-06-07T20:14:00Z</dcterms:created>
  <dcterms:modified xsi:type="dcterms:W3CDTF">2026-06-11T14:03:00Z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id="31JpgZ2M"/&gt;&lt;style id="http://www.zotero.org/styles/vancouver" locale="en-US"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