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A1DA" w14:textId="2F71BAD7" w:rsidR="00EC136B" w:rsidRDefault="00EC136B" w:rsidP="007C30C0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 xml:space="preserve">SMART - Additional File </w:t>
      </w:r>
      <w:r w:rsidR="005550BF">
        <w:rPr>
          <w:kern w:val="0"/>
          <w:lang w:val="en-US"/>
          <w14:ligatures w14:val="none"/>
        </w:rPr>
        <w:t>4</w:t>
      </w:r>
    </w:p>
    <w:p w14:paraId="1F2EABF8" w14:textId="2B015CC4" w:rsidR="004D3A3E" w:rsidRDefault="00785FD1" w:rsidP="007C30C0">
      <w:pPr>
        <w:pStyle w:val="berschrift2"/>
        <w:spacing w:line="360" w:lineRule="auto"/>
        <w:rPr>
          <w:kern w:val="0"/>
          <w:lang w:val="en-US"/>
          <w14:ligatures w14:val="none"/>
        </w:rPr>
      </w:pPr>
      <w:r>
        <w:rPr>
          <w:kern w:val="0"/>
          <w:lang w:val="en-US"/>
          <w14:ligatures w14:val="none"/>
        </w:rPr>
        <w:t>Additional model insights</w:t>
      </w:r>
    </w:p>
    <w:p w14:paraId="1311082F" w14:textId="02F36E6E" w:rsidR="00B16FFF" w:rsidRDefault="00EE3661" w:rsidP="007A7EFB">
      <w:pPr>
        <w:pStyle w:val="berschrift2"/>
        <w:spacing w:line="480" w:lineRule="auto"/>
        <w:rPr>
          <w:rStyle w:val="TextkrperZchn"/>
          <w:rFonts w:asciiTheme="minorHAnsi" w:hAnsiTheme="minorHAnsi"/>
          <w:color w:val="auto"/>
          <w:sz w:val="24"/>
          <w:szCs w:val="24"/>
        </w:rPr>
      </w:pPr>
      <w:r w:rsidRPr="00EE3661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The physics-based modeling approach employed in this validation study has an important advantage over purely data-based approaches: internal model quantities are constrained by physical principles and can therefore be assigned a physical interpretation.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 Such quantities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may provide 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>useful clinical insight even if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independent validation is not possible because no bedside measurement technique is available to provide a clinical reference. 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In this supplement, we </w:t>
      </w:r>
      <w:r w:rsidR="00FC68A5">
        <w:rPr>
          <w:rStyle w:val="TextkrperZchn"/>
          <w:rFonts w:asciiTheme="minorHAnsi" w:hAnsiTheme="minorHAnsi"/>
          <w:color w:val="auto"/>
          <w:sz w:val="24"/>
          <w:szCs w:val="24"/>
        </w:rPr>
        <w:t>present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>selected model-derived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quantities</w:t>
      </w:r>
      <w:r w:rsidR="00B16FFF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that we expect to be of particular interest to the clinical community.</w:t>
      </w:r>
    </w:p>
    <w:p w14:paraId="635BDA4C" w14:textId="69B06617" w:rsidR="00B16FFF" w:rsidRDefault="00AC35AB" w:rsidP="007A7EFB">
      <w:pPr>
        <w:pStyle w:val="berschrift2"/>
        <w:spacing w:line="480" w:lineRule="auto"/>
        <w:rPr>
          <w:rStyle w:val="TextkrperZchn"/>
          <w:rFonts w:asciiTheme="minorHAnsi" w:hAnsiTheme="minorHAnsi"/>
          <w:color w:val="auto"/>
          <w:sz w:val="24"/>
          <w:szCs w:val="24"/>
        </w:rPr>
      </w:pPr>
      <w:r>
        <w:rPr>
          <w:rStyle w:val="TextkrperZchn"/>
          <w:rFonts w:asciiTheme="minorHAnsi" w:hAnsiTheme="minorHAnsi"/>
          <w:color w:val="auto"/>
          <w:sz w:val="24"/>
          <w:szCs w:val="24"/>
        </w:rPr>
        <w:lastRenderedPageBreak/>
        <w:t>A key</w:t>
      </w:r>
      <w:r w:rsidR="00B16FFF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parameter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>in</w:t>
      </w:r>
      <w:r w:rsidR="00B16FFF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the modeling approach of Geitner et al (</w:t>
      </w:r>
      <w:hyperlink r:id="rId4" w:history="1">
        <w:r w:rsidR="00B16FFF" w:rsidRPr="00B44AF6">
          <w:rPr>
            <w:rStyle w:val="Hyperlink"/>
            <w:rFonts w:asciiTheme="minorHAnsi" w:eastAsiaTheme="minorEastAsia" w:hAnsiTheme="minorHAnsi"/>
            <w:kern w:val="0"/>
            <w:sz w:val="24"/>
            <w:szCs w:val="24"/>
            <w:lang w:val="en-US"/>
            <w14:ligatures w14:val="none"/>
          </w:rPr>
          <w:t>https://doi.org/10.1002%2Fcnm.3787</w:t>
        </w:r>
      </w:hyperlink>
      <w:r w:rsidR="00B16FFF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) is the factor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>of</w:t>
      </w:r>
      <w:r w:rsidR="00B16FFF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edema volume</w:t>
      </w:r>
      <w:r w:rsidR="008A1D91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8A1D91">
        <w:rPr>
          <w:rStyle w:val="TextkrperZchn"/>
          <w:rFonts w:asciiTheme="minorHAnsi" w:hAnsiTheme="minorHAnsi"/>
          <w:color w:val="auto"/>
          <w:sz w:val="24"/>
          <w:szCs w:val="24"/>
        </w:rPr>
        <w:t>k</w:t>
      </w:r>
      <w:r w:rsidR="008A1D91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edema</w:t>
      </w:r>
      <w:proofErr w:type="spellEnd"/>
      <w:r w:rsidR="008A1D91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that defines the ratio of edema volume compared to</w:t>
      </w:r>
      <w:r w:rsidR="00F80CF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 w:rsidR="00843437">
        <w:rPr>
          <w:rStyle w:val="TextkrperZchn"/>
          <w:rFonts w:asciiTheme="minorHAnsi" w:hAnsiTheme="minorHAnsi"/>
          <w:color w:val="auto"/>
          <w:sz w:val="24"/>
          <w:szCs w:val="24"/>
        </w:rPr>
        <w:t>the tissue volume</w:t>
      </w:r>
      <w:r w:rsidR="00F80CF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. </w:t>
      </w:r>
      <w:r w:rsidR="00AA4871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This </w:t>
      </w:r>
      <w:r w:rsidR="00F80CFB">
        <w:rPr>
          <w:rStyle w:val="TextkrperZchn"/>
          <w:rFonts w:asciiTheme="minorHAnsi" w:hAnsiTheme="minorHAnsi"/>
          <w:color w:val="auto"/>
          <w:sz w:val="24"/>
          <w:szCs w:val="24"/>
        </w:rPr>
        <w:t>is an input to the model that quantifies how much tissue is available for straining</w:t>
      </w:r>
      <w:r w:rsidR="00817CE3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 w:rsidR="00817CE3" w:rsidRPr="00817CE3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by occupying a part of the tissue, as it may be the case in the real lung with alveolar edema, and thus influences the pressure-volume curve of the model</w:t>
      </w:r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. It strongly affects the pressure-volume relationship of the model and can therefore be uniquely identified during model calibration. </w:t>
      </w:r>
      <w:r w:rsidR="00A52B66">
        <w:rPr>
          <w:rStyle w:val="TextkrperZchn"/>
          <w:rFonts w:asciiTheme="minorHAnsi" w:hAnsiTheme="minorHAnsi"/>
          <w:color w:val="auto"/>
          <w:sz w:val="24"/>
          <w:szCs w:val="24"/>
        </w:rPr>
        <w:t>Based on</w:t>
      </w:r>
      <w:r w:rsidR="00AA4871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proofErr w:type="spellStart"/>
      <w:r w:rsidR="00AA4871">
        <w:rPr>
          <w:rStyle w:val="TextkrperZchn"/>
          <w:rFonts w:asciiTheme="minorHAnsi" w:hAnsiTheme="minorHAnsi"/>
          <w:color w:val="auto"/>
          <w:sz w:val="24"/>
          <w:szCs w:val="24"/>
        </w:rPr>
        <w:t>k</w:t>
      </w:r>
      <w:r w:rsidR="00AA4871" w:rsidRPr="00AA4871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edema</w:t>
      </w:r>
      <w:proofErr w:type="spellEnd"/>
      <w:r w:rsidR="00AA4871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, we derive </w:t>
      </w:r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the volume of edema </w:t>
      </w:r>
      <w:proofErr w:type="spellStart"/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>V</w:t>
      </w:r>
      <w:r w:rsidR="0030301E" w:rsidRPr="009D3DC3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edema</w:t>
      </w:r>
      <w:proofErr w:type="spellEnd"/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and the volume of tissue </w:t>
      </w:r>
      <w:proofErr w:type="spellStart"/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>V</w:t>
      </w:r>
      <w:r w:rsidR="0030301E" w:rsidRPr="009D3DC3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tissue</w:t>
      </w:r>
      <w:proofErr w:type="spellEnd"/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that are </w:t>
      </w:r>
      <w:r w:rsidR="00AA4871">
        <w:rPr>
          <w:rStyle w:val="TextkrperZchn"/>
          <w:rFonts w:asciiTheme="minorHAnsi" w:hAnsiTheme="minorHAnsi"/>
          <w:color w:val="auto"/>
          <w:sz w:val="24"/>
          <w:szCs w:val="24"/>
        </w:rPr>
        <w:t>reported</w:t>
      </w:r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in Table </w:t>
      </w:r>
      <w:r w:rsidR="009D3DC3">
        <w:rPr>
          <w:rStyle w:val="TextkrperZchn"/>
          <w:rFonts w:asciiTheme="minorHAnsi" w:hAnsiTheme="minorHAnsi"/>
          <w:color w:val="auto"/>
          <w:sz w:val="24"/>
          <w:szCs w:val="24"/>
        </w:rPr>
        <w:t>1</w:t>
      </w:r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for the individual patients. These volumes </w:t>
      </w:r>
      <w:r w:rsidR="0070412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remain </w:t>
      </w:r>
      <w:r w:rsidR="0030301E">
        <w:rPr>
          <w:rStyle w:val="TextkrperZchn"/>
          <w:rFonts w:asciiTheme="minorHAnsi" w:hAnsiTheme="minorHAnsi"/>
          <w:color w:val="auto"/>
          <w:sz w:val="24"/>
          <w:szCs w:val="24"/>
        </w:rPr>
        <w:t>constant throughout the simulation.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From a clinical perspective, these </w:t>
      </w:r>
      <w:proofErr w:type="spellStart"/>
      <w:r w:rsidR="001376BB">
        <w:rPr>
          <w:rStyle w:val="TextkrperZchn"/>
          <w:rFonts w:asciiTheme="minorHAnsi" w:hAnsiTheme="minorHAnsi"/>
          <w:color w:val="auto"/>
          <w:sz w:val="24"/>
          <w:szCs w:val="24"/>
        </w:rPr>
        <w:t>V</w:t>
      </w:r>
      <w:r w:rsidR="001376BB" w:rsidRPr="001376BB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edema</w:t>
      </w:r>
      <w:proofErr w:type="spellEnd"/>
      <w:r w:rsidR="001376B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and </w:t>
      </w:r>
      <w:proofErr w:type="spellStart"/>
      <w:r w:rsidR="001376BB">
        <w:rPr>
          <w:rStyle w:val="TextkrperZchn"/>
          <w:rFonts w:asciiTheme="minorHAnsi" w:hAnsiTheme="minorHAnsi"/>
          <w:color w:val="auto"/>
          <w:sz w:val="24"/>
          <w:szCs w:val="24"/>
        </w:rPr>
        <w:t>V</w:t>
      </w:r>
      <w:r w:rsidR="001376BB" w:rsidRPr="001376BB">
        <w:rPr>
          <w:rStyle w:val="TextkrperZchn"/>
          <w:rFonts w:asciiTheme="minorHAnsi" w:hAnsiTheme="minorHAnsi"/>
          <w:color w:val="auto"/>
          <w:sz w:val="24"/>
          <w:szCs w:val="24"/>
          <w:vertAlign w:val="subscript"/>
        </w:rPr>
        <w:t>tissue</w:t>
      </w:r>
      <w:proofErr w:type="spellEnd"/>
      <w:r w:rsidR="001376B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 w:rsidR="002C2179">
        <w:rPr>
          <w:rStyle w:val="TextkrperZchn"/>
          <w:rFonts w:asciiTheme="minorHAnsi" w:hAnsiTheme="minorHAnsi"/>
          <w:color w:val="auto"/>
          <w:sz w:val="24"/>
          <w:szCs w:val="24"/>
        </w:rPr>
        <w:t>might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 w:rsidR="00B60B6E">
        <w:rPr>
          <w:rStyle w:val="TextkrperZchn"/>
          <w:rFonts w:asciiTheme="minorHAnsi" w:hAnsiTheme="minorHAnsi"/>
          <w:color w:val="auto"/>
          <w:sz w:val="24"/>
          <w:szCs w:val="24"/>
        </w:rPr>
        <w:t>estimat</w:t>
      </w:r>
      <w:r w:rsidR="002C2179">
        <w:rPr>
          <w:rStyle w:val="TextkrperZchn"/>
          <w:rFonts w:asciiTheme="minorHAnsi" w:hAnsiTheme="minorHAnsi"/>
          <w:color w:val="auto"/>
          <w:sz w:val="24"/>
          <w:szCs w:val="24"/>
        </w:rPr>
        <w:t>e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ARDS severity </w:t>
      </w:r>
      <w:r w:rsidR="00B60B6E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because of its correlation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with 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fractions of edema. </w:t>
      </w:r>
      <w:r w:rsidR="00817CE3" w:rsidRPr="00817CE3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 xml:space="preserve">Importantly, the model does not distinguish between alveolar and interstitial edema; </w:t>
      </w:r>
      <w:proofErr w:type="spellStart"/>
      <w:r w:rsidR="00817CE3" w:rsidRPr="00817CE3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V</w:t>
      </w:r>
      <w:r w:rsidR="00817CE3" w:rsidRPr="00BA7BD3">
        <w:rPr>
          <w:rFonts w:asciiTheme="minorHAnsi" w:eastAsiaTheme="minorEastAsia" w:hAnsiTheme="minorHAnsi"/>
          <w:color w:val="auto"/>
          <w:kern w:val="0"/>
          <w:sz w:val="24"/>
          <w:szCs w:val="24"/>
          <w:vertAlign w:val="subscript"/>
          <w:lang w:val="en-US"/>
          <w14:ligatures w14:val="none"/>
        </w:rPr>
        <w:t>edema</w:t>
      </w:r>
      <w:proofErr w:type="spellEnd"/>
      <w:r w:rsidR="00817CE3" w:rsidRPr="00817CE3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 xml:space="preserve"> should therefore be interpreted as an effective mechanical representation of edema-related fluid accumulation, assuming alveolar edema as a first approximation.</w:t>
      </w:r>
    </w:p>
    <w:p w14:paraId="449DC148" w14:textId="77777777" w:rsidR="00EE3661" w:rsidRPr="00EE3661" w:rsidRDefault="00EE3661" w:rsidP="00EE3661"/>
    <w:p w14:paraId="46ADB9A6" w14:textId="5D5F568A" w:rsidR="009D3DC3" w:rsidRDefault="009D3DC3" w:rsidP="009D3DC3">
      <w:pPr>
        <w:pStyle w:val="Beschriftung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Model calibrated lung tissue and edema volume</w:t>
      </w:r>
    </w:p>
    <w:tbl>
      <w:tblPr>
        <w:tblStyle w:val="Table"/>
        <w:tblpPr w:leftFromText="180" w:rightFromText="180" w:vertAnchor="text" w:horzAnchor="margin" w:tblpY="414"/>
        <w:tblW w:w="5000" w:type="pct"/>
        <w:tblLook w:val="0020" w:firstRow="1" w:lastRow="0" w:firstColumn="0" w:lastColumn="0" w:noHBand="0" w:noVBand="0"/>
      </w:tblPr>
      <w:tblGrid>
        <w:gridCol w:w="1304"/>
        <w:gridCol w:w="776"/>
        <w:gridCol w:w="776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9D3DC3" w:rsidRPr="007B07B6" w14:paraId="2DC23387" w14:textId="77777777" w:rsidTr="009D3D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19" w:type="pct"/>
          </w:tcPr>
          <w:p w14:paraId="2AEAB09B" w14:textId="77777777" w:rsidR="009D3DC3" w:rsidRPr="007B07B6" w:rsidRDefault="009D3DC3" w:rsidP="009D3DC3">
            <w:pPr>
              <w:pStyle w:val="Compact"/>
              <w:spacing w:line="480" w:lineRule="auto"/>
            </w:pPr>
            <w:r w:rsidRPr="007B07B6">
              <w:rPr>
                <w:b/>
                <w:bCs/>
              </w:rPr>
              <w:t>Patients</w:t>
            </w:r>
          </w:p>
        </w:tc>
        <w:tc>
          <w:tcPr>
            <w:tcW w:w="428" w:type="pct"/>
          </w:tcPr>
          <w:p w14:paraId="0885EA00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1</w:t>
            </w:r>
          </w:p>
        </w:tc>
        <w:tc>
          <w:tcPr>
            <w:tcW w:w="428" w:type="pct"/>
          </w:tcPr>
          <w:p w14:paraId="146EC49D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2</w:t>
            </w:r>
          </w:p>
        </w:tc>
        <w:tc>
          <w:tcPr>
            <w:tcW w:w="428" w:type="pct"/>
          </w:tcPr>
          <w:p w14:paraId="787980DD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3</w:t>
            </w:r>
          </w:p>
        </w:tc>
        <w:tc>
          <w:tcPr>
            <w:tcW w:w="428" w:type="pct"/>
          </w:tcPr>
          <w:p w14:paraId="6851A993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4</w:t>
            </w:r>
          </w:p>
        </w:tc>
        <w:tc>
          <w:tcPr>
            <w:tcW w:w="428" w:type="pct"/>
          </w:tcPr>
          <w:p w14:paraId="1FE36005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5</w:t>
            </w:r>
          </w:p>
        </w:tc>
        <w:tc>
          <w:tcPr>
            <w:tcW w:w="428" w:type="pct"/>
          </w:tcPr>
          <w:p w14:paraId="70E75DB4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6</w:t>
            </w:r>
          </w:p>
        </w:tc>
        <w:tc>
          <w:tcPr>
            <w:tcW w:w="428" w:type="pct"/>
          </w:tcPr>
          <w:p w14:paraId="7702C3F0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7</w:t>
            </w:r>
          </w:p>
        </w:tc>
        <w:tc>
          <w:tcPr>
            <w:tcW w:w="428" w:type="pct"/>
          </w:tcPr>
          <w:p w14:paraId="4023D0A3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8</w:t>
            </w:r>
          </w:p>
        </w:tc>
        <w:tc>
          <w:tcPr>
            <w:tcW w:w="428" w:type="pct"/>
          </w:tcPr>
          <w:p w14:paraId="3907E032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9</w:t>
            </w:r>
          </w:p>
        </w:tc>
        <w:tc>
          <w:tcPr>
            <w:tcW w:w="428" w:type="pct"/>
          </w:tcPr>
          <w:p w14:paraId="7E30B5FA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rPr>
                <w:b/>
                <w:bCs/>
              </w:rPr>
              <w:t>10</w:t>
            </w:r>
          </w:p>
        </w:tc>
      </w:tr>
      <w:tr w:rsidR="009D3DC3" w:rsidRPr="007B07B6" w14:paraId="6C2C3752" w14:textId="77777777" w:rsidTr="009D3DC3">
        <w:tc>
          <w:tcPr>
            <w:tcW w:w="719" w:type="pct"/>
          </w:tcPr>
          <w:p w14:paraId="0E3F97B0" w14:textId="77777777" w:rsidR="009D3DC3" w:rsidRPr="007B07B6" w:rsidRDefault="009D3DC3" w:rsidP="009D3DC3">
            <w:pPr>
              <w:pStyle w:val="Compact"/>
              <w:spacing w:line="480" w:lineRule="auto"/>
            </w:pPr>
            <w:proofErr w:type="spellStart"/>
            <w:r>
              <w:t>V</w:t>
            </w:r>
            <w:r>
              <w:rPr>
                <w:vertAlign w:val="subscript"/>
              </w:rPr>
              <w:t>tissue</w:t>
            </w:r>
            <w:proofErr w:type="spellEnd"/>
            <w:r w:rsidRPr="00D51B5F">
              <w:t xml:space="preserve"> (l)</w:t>
            </w:r>
          </w:p>
        </w:tc>
        <w:tc>
          <w:tcPr>
            <w:tcW w:w="428" w:type="pct"/>
          </w:tcPr>
          <w:p w14:paraId="38AB0604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0.81</w:t>
            </w:r>
          </w:p>
        </w:tc>
        <w:tc>
          <w:tcPr>
            <w:tcW w:w="428" w:type="pct"/>
          </w:tcPr>
          <w:p w14:paraId="1412A172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1.16</w:t>
            </w:r>
          </w:p>
        </w:tc>
        <w:tc>
          <w:tcPr>
            <w:tcW w:w="428" w:type="pct"/>
          </w:tcPr>
          <w:p w14:paraId="29C84BA9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1.77</w:t>
            </w:r>
          </w:p>
        </w:tc>
        <w:tc>
          <w:tcPr>
            <w:tcW w:w="428" w:type="pct"/>
          </w:tcPr>
          <w:p w14:paraId="040B638C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1.06</w:t>
            </w:r>
          </w:p>
        </w:tc>
        <w:tc>
          <w:tcPr>
            <w:tcW w:w="428" w:type="pct"/>
          </w:tcPr>
          <w:p w14:paraId="43F69A78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1.32</w:t>
            </w:r>
          </w:p>
        </w:tc>
        <w:tc>
          <w:tcPr>
            <w:tcW w:w="428" w:type="pct"/>
          </w:tcPr>
          <w:p w14:paraId="6690D8AA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1.69</w:t>
            </w:r>
          </w:p>
        </w:tc>
        <w:tc>
          <w:tcPr>
            <w:tcW w:w="428" w:type="pct"/>
          </w:tcPr>
          <w:p w14:paraId="5DD4E140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1.07</w:t>
            </w:r>
          </w:p>
        </w:tc>
        <w:tc>
          <w:tcPr>
            <w:tcW w:w="428" w:type="pct"/>
          </w:tcPr>
          <w:p w14:paraId="4AD238E1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1.26</w:t>
            </w:r>
          </w:p>
        </w:tc>
        <w:tc>
          <w:tcPr>
            <w:tcW w:w="428" w:type="pct"/>
          </w:tcPr>
          <w:p w14:paraId="7DDCE767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1.23</w:t>
            </w:r>
          </w:p>
        </w:tc>
        <w:tc>
          <w:tcPr>
            <w:tcW w:w="428" w:type="pct"/>
          </w:tcPr>
          <w:p w14:paraId="1EA64831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1.47</w:t>
            </w:r>
          </w:p>
        </w:tc>
      </w:tr>
      <w:tr w:rsidR="009D3DC3" w:rsidRPr="007B07B6" w14:paraId="71A211EF" w14:textId="77777777" w:rsidTr="009D3DC3">
        <w:tc>
          <w:tcPr>
            <w:tcW w:w="719" w:type="pct"/>
          </w:tcPr>
          <w:p w14:paraId="7753357A" w14:textId="77777777" w:rsidR="009D3DC3" w:rsidRPr="007B07B6" w:rsidRDefault="009D3DC3" w:rsidP="009D3DC3">
            <w:pPr>
              <w:pStyle w:val="Compact"/>
              <w:spacing w:line="480" w:lineRule="auto"/>
            </w:pPr>
            <w:proofErr w:type="spellStart"/>
            <w:r>
              <w:t>V</w:t>
            </w:r>
            <w:r>
              <w:rPr>
                <w:vertAlign w:val="subscript"/>
              </w:rPr>
              <w:t>edema</w:t>
            </w:r>
            <w:proofErr w:type="spellEnd"/>
            <w:r w:rsidRPr="00D51B5F">
              <w:t xml:space="preserve"> (l)</w:t>
            </w:r>
          </w:p>
        </w:tc>
        <w:tc>
          <w:tcPr>
            <w:tcW w:w="428" w:type="pct"/>
          </w:tcPr>
          <w:p w14:paraId="4E3790B7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0.10</w:t>
            </w:r>
          </w:p>
        </w:tc>
        <w:tc>
          <w:tcPr>
            <w:tcW w:w="428" w:type="pct"/>
          </w:tcPr>
          <w:p w14:paraId="44B79F03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0.45</w:t>
            </w:r>
          </w:p>
        </w:tc>
        <w:tc>
          <w:tcPr>
            <w:tcW w:w="428" w:type="pct"/>
          </w:tcPr>
          <w:p w14:paraId="535C0A75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0.19</w:t>
            </w:r>
          </w:p>
        </w:tc>
        <w:tc>
          <w:tcPr>
            <w:tcW w:w="428" w:type="pct"/>
          </w:tcPr>
          <w:p w14:paraId="0D0A1894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0.19</w:t>
            </w:r>
          </w:p>
        </w:tc>
        <w:tc>
          <w:tcPr>
            <w:tcW w:w="428" w:type="pct"/>
          </w:tcPr>
          <w:p w14:paraId="575D92B9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0.13</w:t>
            </w:r>
          </w:p>
        </w:tc>
        <w:tc>
          <w:tcPr>
            <w:tcW w:w="428" w:type="pct"/>
          </w:tcPr>
          <w:p w14:paraId="3BD29C72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0.78</w:t>
            </w:r>
          </w:p>
        </w:tc>
        <w:tc>
          <w:tcPr>
            <w:tcW w:w="428" w:type="pct"/>
          </w:tcPr>
          <w:p w14:paraId="19C8A812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0.26</w:t>
            </w:r>
          </w:p>
        </w:tc>
        <w:tc>
          <w:tcPr>
            <w:tcW w:w="428" w:type="pct"/>
          </w:tcPr>
          <w:p w14:paraId="41E4682C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0.13</w:t>
            </w:r>
          </w:p>
        </w:tc>
        <w:tc>
          <w:tcPr>
            <w:tcW w:w="428" w:type="pct"/>
          </w:tcPr>
          <w:p w14:paraId="727D2B36" w14:textId="77777777" w:rsidR="009D3DC3" w:rsidRPr="007B07B6" w:rsidRDefault="009D3DC3" w:rsidP="009D3DC3">
            <w:pPr>
              <w:pStyle w:val="Compact"/>
              <w:spacing w:line="480" w:lineRule="auto"/>
              <w:jc w:val="center"/>
            </w:pPr>
            <w:r w:rsidRPr="007B07B6">
              <w:t>0.34</w:t>
            </w:r>
          </w:p>
        </w:tc>
        <w:tc>
          <w:tcPr>
            <w:tcW w:w="428" w:type="pct"/>
          </w:tcPr>
          <w:p w14:paraId="46EF9E8B" w14:textId="77777777" w:rsidR="009D3DC3" w:rsidRPr="007B07B6" w:rsidRDefault="009D3DC3" w:rsidP="009D3DC3">
            <w:pPr>
              <w:pStyle w:val="Compact"/>
              <w:keepNext/>
              <w:spacing w:line="480" w:lineRule="auto"/>
              <w:jc w:val="center"/>
            </w:pPr>
            <w:r w:rsidRPr="007B07B6">
              <w:t>0.53</w:t>
            </w:r>
          </w:p>
        </w:tc>
      </w:tr>
    </w:tbl>
    <w:p w14:paraId="01DD0EC3" w14:textId="31518592" w:rsidR="00033D1E" w:rsidRDefault="00033D1E" w:rsidP="007A7EFB">
      <w:pPr>
        <w:pStyle w:val="berschrift2"/>
        <w:spacing w:line="480" w:lineRule="auto"/>
        <w:rPr>
          <w:rStyle w:val="TextkrperZchn"/>
          <w:rFonts w:asciiTheme="minorHAnsi" w:hAnsiTheme="minorHAnsi"/>
          <w:color w:val="auto"/>
          <w:sz w:val="24"/>
          <w:szCs w:val="24"/>
        </w:rPr>
      </w:pPr>
      <w:r>
        <w:rPr>
          <w:rStyle w:val="TextkrperZchn"/>
          <w:rFonts w:asciiTheme="minorHAnsi" w:hAnsiTheme="minorHAnsi"/>
          <w:color w:val="auto"/>
          <w:sz w:val="24"/>
          <w:szCs w:val="24"/>
        </w:rPr>
        <w:lastRenderedPageBreak/>
        <w:t xml:space="preserve">Another insight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>derived from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our computational model is the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>percentage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of open lung volume. </w:t>
      </w:r>
      <w:r w:rsidR="00BF1690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</w:t>
      </w:r>
      <w:r w:rsidR="001D556B" w:rsidRPr="001D556B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This quantity is obtained from the alveolar recruitment–</w:t>
      </w:r>
      <w:proofErr w:type="spellStart"/>
      <w:r w:rsidR="001D556B" w:rsidRPr="001D556B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derecruitment</w:t>
      </w:r>
      <w:proofErr w:type="spellEnd"/>
      <w:r w:rsidR="001D556B" w:rsidRPr="001D556B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 xml:space="preserve"> model 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developed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>by</w:t>
      </w:r>
      <w:r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Geitner et al (</w:t>
      </w:r>
      <w:hyperlink r:id="rId5" w:history="1">
        <w:r w:rsidRPr="00B44AF6">
          <w:rPr>
            <w:rStyle w:val="Hyperlink"/>
            <w:rFonts w:asciiTheme="minorHAnsi" w:eastAsiaTheme="minorEastAsia" w:hAnsiTheme="minorHAnsi"/>
            <w:kern w:val="0"/>
            <w:sz w:val="24"/>
            <w:szCs w:val="24"/>
            <w:lang w:val="en-US"/>
            <w14:ligatures w14:val="none"/>
          </w:rPr>
          <w:t>https://doi.org/10.1002%2Fcnm.3787</w:t>
        </w:r>
      </w:hyperlink>
      <w:r>
        <w:rPr>
          <w:rStyle w:val="TextkrperZchn"/>
          <w:rFonts w:asciiTheme="minorHAnsi" w:hAnsiTheme="minorHAnsi"/>
          <w:color w:val="auto"/>
          <w:sz w:val="24"/>
          <w:szCs w:val="24"/>
        </w:rPr>
        <w:t>)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. Figure 1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>presents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the open lung volume for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each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patient case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across</w:t>
      </w:r>
      <w:r w:rsidR="00443E7C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all evaluated PEEP levels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. This analysis </w:t>
      </w:r>
      <w:r w:rsidR="004E642E">
        <w:rPr>
          <w:rStyle w:val="TextkrperZchn"/>
          <w:rFonts w:asciiTheme="minorHAnsi" w:hAnsiTheme="minorHAnsi"/>
          <w:color w:val="auto"/>
          <w:sz w:val="24"/>
          <w:szCs w:val="24"/>
        </w:rPr>
        <w:t>allows us</w:t>
      </w:r>
      <w:r w:rsidR="00FF372A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to assess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the </w:t>
      </w:r>
      <w:r w:rsidR="00C823E2">
        <w:rPr>
          <w:rStyle w:val="TextkrperZchn"/>
          <w:rFonts w:asciiTheme="minorHAnsi" w:hAnsiTheme="minorHAnsi"/>
          <w:color w:val="auto"/>
          <w:sz w:val="24"/>
          <w:szCs w:val="24"/>
        </w:rPr>
        <w:t>extent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of</w:t>
      </w:r>
      <w:r w:rsidR="00FF372A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recruitment </w:t>
      </w:r>
      <w:r w:rsidR="001D556B">
        <w:rPr>
          <w:rStyle w:val="TextkrperZchn"/>
          <w:rFonts w:asciiTheme="minorHAnsi" w:hAnsiTheme="minorHAnsi"/>
          <w:color w:val="auto"/>
          <w:sz w:val="24"/>
          <w:szCs w:val="24"/>
        </w:rPr>
        <w:t>associated with changes in</w:t>
      </w:r>
      <w:r w:rsidR="00FF372A">
        <w:rPr>
          <w:rStyle w:val="TextkrperZchn"/>
          <w:rFonts w:asciiTheme="minorHAnsi" w:hAnsiTheme="minorHAnsi"/>
          <w:color w:val="auto"/>
          <w:sz w:val="24"/>
          <w:szCs w:val="24"/>
        </w:rPr>
        <w:t xml:space="preserve"> PEEP.</w:t>
      </w:r>
      <w:r w:rsidR="00C823E2" w:rsidRPr="00C823E2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 xml:space="preserve"> </w:t>
      </w:r>
      <w:r w:rsidR="009B545E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 xml:space="preserve">It is a clear extension to the capabilities of EIT as our model also </w:t>
      </w:r>
      <w:r w:rsidR="00DD7196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>allows us</w:t>
      </w:r>
      <w:r w:rsidR="009B545E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 xml:space="preserve"> to quantify the absolute amount of non-aerated lung volume in contrast to the tidal information </w:t>
      </w:r>
      <w:r w:rsidR="00DD7196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>provided by</w:t>
      </w:r>
      <w:r w:rsidR="009B545E">
        <w:rPr>
          <w:rFonts w:asciiTheme="minorHAnsi" w:eastAsiaTheme="minorEastAsia" w:hAnsiTheme="minorHAnsi" w:cstheme="minorBidi"/>
          <w:color w:val="auto"/>
          <w:kern w:val="0"/>
          <w:sz w:val="24"/>
          <w:szCs w:val="24"/>
          <w:lang w:val="en-US"/>
          <w14:ligatures w14:val="none"/>
        </w:rPr>
        <w:t xml:space="preserve"> EIT (Reviewer 1, #4). </w:t>
      </w:r>
      <w:r w:rsidR="00C823E2" w:rsidRPr="00C823E2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 xml:space="preserve">A more detailed analysis could further characterize </w:t>
      </w:r>
      <w:r w:rsidR="009B545E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the effects of recruitment</w:t>
      </w:r>
      <w:r w:rsidR="00755829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 xml:space="preserve"> during </w:t>
      </w:r>
      <w:r w:rsidR="00C823E2" w:rsidRPr="00C823E2">
        <w:rPr>
          <w:rFonts w:asciiTheme="minorHAnsi" w:eastAsiaTheme="minorEastAsia" w:hAnsiTheme="minorHAnsi"/>
          <w:color w:val="auto"/>
          <w:kern w:val="0"/>
          <w:sz w:val="24"/>
          <w:szCs w:val="24"/>
          <w:lang w:val="en-US"/>
          <w14:ligatures w14:val="none"/>
        </w:rPr>
        <w:t>individual ventilation maneuvers.</w:t>
      </w:r>
    </w:p>
    <w:p w14:paraId="4F5E424C" w14:textId="77777777" w:rsidR="00033D1E" w:rsidRDefault="00033D1E" w:rsidP="007A7EFB">
      <w:pPr>
        <w:pStyle w:val="berschrift2"/>
        <w:spacing w:line="480" w:lineRule="auto"/>
        <w:rPr>
          <w:rStyle w:val="TextkrperZchn"/>
          <w:rFonts w:asciiTheme="minorHAnsi" w:hAnsiTheme="minorHAnsi"/>
          <w:color w:val="auto"/>
          <w:sz w:val="24"/>
          <w:szCs w:val="24"/>
        </w:rPr>
      </w:pPr>
    </w:p>
    <w:p w14:paraId="65C54FE9" w14:textId="77777777" w:rsidR="00EE3661" w:rsidRDefault="007A7EFB" w:rsidP="00EE3661">
      <w:pPr>
        <w:pStyle w:val="Figure-TableCaption"/>
        <w:keepNext/>
        <w:spacing w:line="480" w:lineRule="auto"/>
      </w:pPr>
      <w:bookmarkStart w:id="0" w:name="fig:open_volume"/>
      <w:r>
        <w:rPr>
          <w:i w:val="0"/>
          <w:noProof/>
        </w:rPr>
        <w:drawing>
          <wp:inline distT="0" distB="0" distL="0" distR="0" wp14:anchorId="5207602A" wp14:editId="0000FB36">
            <wp:extent cx="5972810" cy="3359785"/>
            <wp:effectExtent l="0" t="0" r="0" b="5715"/>
            <wp:docPr id="1328830278" name="Grafik 6" descr="Ein Bild, das Text, Reihe, Diagramm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830278" name="Grafik 6" descr="Ein Bild, das Text, Reihe, Diagramm, Zahl enthält.&#10;&#10;KI-generierte Inhalte können fehlerhaft sei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4B8D6" w14:textId="79D674CE" w:rsidR="007A7EFB" w:rsidRPr="007B07B6" w:rsidRDefault="00EE3661" w:rsidP="00EE3661">
      <w:pPr>
        <w:pStyle w:val="Beschriftung"/>
        <w:jc w:val="both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: </w:t>
      </w:r>
      <w:r w:rsidRPr="00505AB8">
        <w:t>Mean end-expiratory open lung volume during PCV at different PEEP levels</w:t>
      </w:r>
    </w:p>
    <w:bookmarkEnd w:id="0"/>
    <w:p w14:paraId="3B43CB99" w14:textId="315C2E93" w:rsidR="007A7EFB" w:rsidRPr="003509DF" w:rsidRDefault="007A7EFB" w:rsidP="007A7EFB">
      <w:pPr>
        <w:spacing w:line="480" w:lineRule="auto"/>
        <w:jc w:val="both"/>
      </w:pPr>
    </w:p>
    <w:sectPr w:rsidR="007A7EFB" w:rsidRPr="003509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3E"/>
    <w:rsid w:val="00033D1E"/>
    <w:rsid w:val="000A4C42"/>
    <w:rsid w:val="000A4D9A"/>
    <w:rsid w:val="000F79C0"/>
    <w:rsid w:val="001376BB"/>
    <w:rsid w:val="00197D87"/>
    <w:rsid w:val="001D556B"/>
    <w:rsid w:val="001E0E3B"/>
    <w:rsid w:val="00241838"/>
    <w:rsid w:val="002C2179"/>
    <w:rsid w:val="0030301E"/>
    <w:rsid w:val="00390F8A"/>
    <w:rsid w:val="00401AA4"/>
    <w:rsid w:val="00417AEB"/>
    <w:rsid w:val="00437B83"/>
    <w:rsid w:val="00443E7C"/>
    <w:rsid w:val="00461F8E"/>
    <w:rsid w:val="00466449"/>
    <w:rsid w:val="004B63F3"/>
    <w:rsid w:val="004D3A3E"/>
    <w:rsid w:val="004E642E"/>
    <w:rsid w:val="004F21E9"/>
    <w:rsid w:val="00523487"/>
    <w:rsid w:val="005550BF"/>
    <w:rsid w:val="00586307"/>
    <w:rsid w:val="005A47F2"/>
    <w:rsid w:val="005D6FC7"/>
    <w:rsid w:val="00627749"/>
    <w:rsid w:val="00647AAF"/>
    <w:rsid w:val="006622FF"/>
    <w:rsid w:val="006A693F"/>
    <w:rsid w:val="006B2158"/>
    <w:rsid w:val="006E776D"/>
    <w:rsid w:val="006F480A"/>
    <w:rsid w:val="0070412B"/>
    <w:rsid w:val="00730E15"/>
    <w:rsid w:val="00755829"/>
    <w:rsid w:val="00785FD1"/>
    <w:rsid w:val="007A70CE"/>
    <w:rsid w:val="007A7EFB"/>
    <w:rsid w:val="007C1985"/>
    <w:rsid w:val="007C30C0"/>
    <w:rsid w:val="00817CE3"/>
    <w:rsid w:val="00843437"/>
    <w:rsid w:val="00846A66"/>
    <w:rsid w:val="008619DF"/>
    <w:rsid w:val="00870264"/>
    <w:rsid w:val="008960F0"/>
    <w:rsid w:val="008974B3"/>
    <w:rsid w:val="008A1D91"/>
    <w:rsid w:val="008D711C"/>
    <w:rsid w:val="009A4146"/>
    <w:rsid w:val="009B545E"/>
    <w:rsid w:val="009D3DC3"/>
    <w:rsid w:val="00A52B66"/>
    <w:rsid w:val="00AA08AA"/>
    <w:rsid w:val="00AA4871"/>
    <w:rsid w:val="00AC14CB"/>
    <w:rsid w:val="00AC35AB"/>
    <w:rsid w:val="00B16FFF"/>
    <w:rsid w:val="00B60B6E"/>
    <w:rsid w:val="00B70498"/>
    <w:rsid w:val="00B90416"/>
    <w:rsid w:val="00BA7BD3"/>
    <w:rsid w:val="00BC21E3"/>
    <w:rsid w:val="00BF1690"/>
    <w:rsid w:val="00C823E2"/>
    <w:rsid w:val="00CA589C"/>
    <w:rsid w:val="00CD00AB"/>
    <w:rsid w:val="00DA7FCD"/>
    <w:rsid w:val="00DB556D"/>
    <w:rsid w:val="00DD7196"/>
    <w:rsid w:val="00E4581B"/>
    <w:rsid w:val="00E92D95"/>
    <w:rsid w:val="00EA5DC5"/>
    <w:rsid w:val="00EC136B"/>
    <w:rsid w:val="00ED11CE"/>
    <w:rsid w:val="00EE3661"/>
    <w:rsid w:val="00F370FD"/>
    <w:rsid w:val="00F75475"/>
    <w:rsid w:val="00F80CFB"/>
    <w:rsid w:val="00FC68A5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A7C5"/>
  <w15:chartTrackingRefBased/>
  <w15:docId w15:val="{CD06C1A5-C258-DD48-A68D-D425F4E1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3A3E"/>
    <w:pPr>
      <w:spacing w:after="200"/>
    </w:pPr>
    <w:rPr>
      <w:rFonts w:eastAsiaTheme="minorEastAsia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3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3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D3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D3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3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3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3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3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3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3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3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D3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D3A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D3A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D3A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D3A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D3A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D3A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D3A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D3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D3A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D3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D3A3E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D3A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D3A3E"/>
    <w:pPr>
      <w:spacing w:after="0"/>
      <w:ind w:left="720"/>
      <w:contextualSpacing/>
    </w:pPr>
    <w:rPr>
      <w:rFonts w:eastAsiaTheme="minorHAnsi"/>
      <w:kern w:val="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D3A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D3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D3A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D3A3E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qFormat/>
    <w:rsid w:val="004D3A3E"/>
    <w:pPr>
      <w:spacing w:before="180" w:after="180"/>
      <w:jc w:val="both"/>
    </w:pPr>
  </w:style>
  <w:style w:type="character" w:customStyle="1" w:styleId="TextkrperZchn">
    <w:name w:val="Textkörper Zchn"/>
    <w:basedOn w:val="Absatz-Standardschriftart"/>
    <w:link w:val="Textkrper"/>
    <w:rsid w:val="004D3A3E"/>
    <w:rPr>
      <w:rFonts w:eastAsiaTheme="minorEastAsia"/>
      <w:kern w:val="0"/>
      <w:lang w:val="en-US"/>
      <w14:ligatures w14:val="none"/>
    </w:rPr>
  </w:style>
  <w:style w:type="paragraph" w:customStyle="1" w:styleId="FirstParagraph">
    <w:name w:val="First Paragraph"/>
    <w:basedOn w:val="Textkrper"/>
    <w:next w:val="Textkrper"/>
    <w:qFormat/>
    <w:rsid w:val="004D3A3E"/>
  </w:style>
  <w:style w:type="paragraph" w:customStyle="1" w:styleId="Compact">
    <w:name w:val="Compact"/>
    <w:basedOn w:val="Textkrper"/>
    <w:qFormat/>
    <w:rsid w:val="004D3A3E"/>
    <w:pPr>
      <w:spacing w:before="36" w:after="36"/>
    </w:pPr>
  </w:style>
  <w:style w:type="paragraph" w:customStyle="1" w:styleId="CaptionedFigure">
    <w:name w:val="Captioned Figure"/>
    <w:basedOn w:val="Standard"/>
    <w:rsid w:val="004D3A3E"/>
    <w:pPr>
      <w:keepNext/>
    </w:pPr>
  </w:style>
  <w:style w:type="character" w:styleId="Hyperlink">
    <w:name w:val="Hyperlink"/>
    <w:basedOn w:val="Absatz-Standardschriftart"/>
    <w:rsid w:val="004D3A3E"/>
    <w:rPr>
      <w:color w:val="156082" w:themeColor="accent1"/>
    </w:rPr>
  </w:style>
  <w:style w:type="table" w:styleId="Tabellenraster">
    <w:name w:val="Table Grid"/>
    <w:basedOn w:val="NormaleTabelle"/>
    <w:rsid w:val="004D3A3E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-TableCaption">
    <w:name w:val="Figure-Table_Caption"/>
    <w:basedOn w:val="Beschriftung"/>
    <w:link w:val="Figure-TableCaptionChar"/>
    <w:qFormat/>
    <w:rsid w:val="004D3A3E"/>
    <w:pPr>
      <w:spacing w:after="120"/>
      <w:jc w:val="both"/>
    </w:pPr>
    <w:rPr>
      <w:iCs w:val="0"/>
      <w:color w:val="auto"/>
      <w:sz w:val="24"/>
      <w:szCs w:val="24"/>
    </w:rPr>
  </w:style>
  <w:style w:type="character" w:customStyle="1" w:styleId="Figure-TableCaptionChar">
    <w:name w:val="Figure-Table_Caption Char"/>
    <w:basedOn w:val="Absatz-Standardschriftart"/>
    <w:link w:val="Figure-TableCaption"/>
    <w:rsid w:val="004D3A3E"/>
    <w:rPr>
      <w:rFonts w:eastAsiaTheme="minorEastAsia"/>
      <w:i/>
      <w:kern w:val="0"/>
      <w:lang w:val="en-US"/>
      <w14:ligatures w14:val="none"/>
    </w:rPr>
  </w:style>
  <w:style w:type="character" w:styleId="Kommentarzeichen">
    <w:name w:val="annotation reference"/>
    <w:basedOn w:val="Absatz-Standardschriftart"/>
    <w:rsid w:val="004D3A3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D3A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D3A3E"/>
    <w:rPr>
      <w:rFonts w:eastAsiaTheme="minorEastAsia"/>
      <w:kern w:val="0"/>
      <w:sz w:val="20"/>
      <w:szCs w:val="20"/>
      <w:lang w:val="en-US"/>
      <w14:ligatures w14:val="none"/>
    </w:rPr>
  </w:style>
  <w:style w:type="paragraph" w:styleId="Beschriftung">
    <w:name w:val="caption"/>
    <w:basedOn w:val="Standard"/>
    <w:next w:val="Standard"/>
    <w:uiPriority w:val="35"/>
    <w:unhideWhenUsed/>
    <w:qFormat/>
    <w:rsid w:val="004D3A3E"/>
    <w:rPr>
      <w:i/>
      <w:iCs/>
      <w:color w:val="0E2841" w:themeColor="text2"/>
      <w:sz w:val="18"/>
      <w:szCs w:val="18"/>
    </w:rPr>
  </w:style>
  <w:style w:type="paragraph" w:styleId="berarbeitung">
    <w:name w:val="Revision"/>
    <w:hidden/>
    <w:uiPriority w:val="99"/>
    <w:semiHidden/>
    <w:rsid w:val="00AC14CB"/>
    <w:rPr>
      <w:rFonts w:eastAsiaTheme="minorEastAsia"/>
      <w:kern w:val="0"/>
      <w:lang w:val="en-US"/>
      <w14:ligatures w14:val="none"/>
    </w:rPr>
  </w:style>
  <w:style w:type="paragraph" w:styleId="Literaturverzeichnis">
    <w:name w:val="Bibliography"/>
    <w:basedOn w:val="Standard"/>
    <w:next w:val="Standard"/>
    <w:uiPriority w:val="37"/>
    <w:unhideWhenUsed/>
    <w:rsid w:val="00466449"/>
    <w:pPr>
      <w:tabs>
        <w:tab w:val="left" w:pos="260"/>
      </w:tabs>
      <w:spacing w:after="240"/>
      <w:ind w:left="264" w:hanging="264"/>
    </w:pPr>
  </w:style>
  <w:style w:type="paragraph" w:customStyle="1" w:styleId="p1">
    <w:name w:val="p1"/>
    <w:basedOn w:val="Standard"/>
    <w:rsid w:val="00BC21E3"/>
    <w:pPr>
      <w:spacing w:after="0"/>
    </w:pPr>
    <w:rPr>
      <w:rFonts w:ascii="Helvetica Neue" w:eastAsia="Times New Roman" w:hAnsi="Helvetica Neue" w:cs="Times New Roman"/>
      <w:color w:val="000000"/>
      <w:sz w:val="21"/>
      <w:szCs w:val="21"/>
      <w:lang w:val="de-DE" w:eastAsia="de-DE"/>
    </w:rPr>
  </w:style>
  <w:style w:type="character" w:customStyle="1" w:styleId="apple-converted-space">
    <w:name w:val="apple-converted-space"/>
    <w:basedOn w:val="Absatz-Standardschriftart"/>
    <w:rsid w:val="00BC21E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21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21E3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A5DC5"/>
    <w:rPr>
      <w:color w:val="666666"/>
    </w:rPr>
  </w:style>
  <w:style w:type="table" w:customStyle="1" w:styleId="Table">
    <w:name w:val="Table"/>
    <w:semiHidden/>
    <w:unhideWhenUsed/>
    <w:qFormat/>
    <w:rsid w:val="007A7EFB"/>
    <w:pPr>
      <w:spacing w:after="200"/>
    </w:pPr>
    <w:rPr>
      <w:kern w:val="0"/>
      <w:sz w:val="20"/>
      <w:szCs w:val="20"/>
      <w:lang w:val="en-US" w:eastAsia="de-D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B16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oi.org/10.1002%2Fcnm.3787" TargetMode="External"/><Relationship Id="rId4" Type="http://schemas.openxmlformats.org/officeDocument/2006/relationships/hyperlink" Target="https://doi.org/10.1002%2Fcnm.378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460</Words>
  <Characters>2537</Characters>
  <Application>Microsoft Office Word</Application>
  <DocSecurity>0</DocSecurity>
  <Lines>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Sablewski</dc:creator>
  <cp:keywords/>
  <dc:description/>
  <cp:lastModifiedBy>Armin Sablewski</cp:lastModifiedBy>
  <cp:revision>10</cp:revision>
  <cp:lastPrinted>2026-05-29T18:22:00Z</cp:lastPrinted>
  <dcterms:created xsi:type="dcterms:W3CDTF">2026-06-07T20:32:00Z</dcterms:created>
  <dcterms:modified xsi:type="dcterms:W3CDTF">2026-06-11T14:02:00Z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zotero-version="7.0.30"&gt;&lt;session id="sAiMvUcU"/&gt;&lt;style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