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071CF" w14:textId="77777777" w:rsidR="0037559F" w:rsidRDefault="00000000">
      <w:pPr>
        <w:pStyle w:val="isselectedend"/>
        <w:jc w:val="center"/>
        <w:rPr>
          <w:rFonts w:eastAsiaTheme="minorEastAsia"/>
          <w:b/>
          <w:bCs/>
        </w:rPr>
      </w:pPr>
      <w:r>
        <w:rPr>
          <w:b/>
          <w:bCs/>
        </w:rPr>
        <w:t xml:space="preserve">Metabolic </w:t>
      </w:r>
      <w:r>
        <w:rPr>
          <w:rFonts w:eastAsiaTheme="minorEastAsia"/>
          <w:b/>
          <w:bCs/>
        </w:rPr>
        <w:t>M</w:t>
      </w:r>
      <w:r>
        <w:rPr>
          <w:b/>
          <w:bCs/>
        </w:rPr>
        <w:t xml:space="preserve">odelling </w:t>
      </w:r>
      <w:r>
        <w:rPr>
          <w:rFonts w:eastAsiaTheme="minorEastAsia" w:hint="eastAsia"/>
          <w:b/>
          <w:bCs/>
        </w:rPr>
        <w:t>R</w:t>
      </w:r>
      <w:r>
        <w:rPr>
          <w:b/>
          <w:bCs/>
        </w:rPr>
        <w:t>eveals Coral-</w:t>
      </w:r>
      <w:r>
        <w:rPr>
          <w:rFonts w:eastAsiaTheme="minorEastAsia" w:hint="eastAsia"/>
          <w:b/>
          <w:bCs/>
        </w:rPr>
        <w:t>D</w:t>
      </w:r>
      <w:r>
        <w:rPr>
          <w:b/>
          <w:bCs/>
        </w:rPr>
        <w:t xml:space="preserve">erived </w:t>
      </w:r>
      <w:r>
        <w:rPr>
          <w:rFonts w:eastAsiaTheme="minorEastAsia" w:hint="eastAsia"/>
          <w:b/>
          <w:bCs/>
        </w:rPr>
        <w:t>B</w:t>
      </w:r>
      <w:r>
        <w:rPr>
          <w:b/>
          <w:bCs/>
        </w:rPr>
        <w:t xml:space="preserve">etaine </w:t>
      </w:r>
      <w:r>
        <w:rPr>
          <w:rFonts w:eastAsia="宋体" w:hint="eastAsia"/>
          <w:b/>
          <w:bCs/>
        </w:rPr>
        <w:t>Drive</w:t>
      </w:r>
      <w:r>
        <w:rPr>
          <w:rFonts w:eastAsiaTheme="minorEastAsia" w:hint="eastAsia"/>
          <w:b/>
          <w:bCs/>
        </w:rPr>
        <w:t>s</w:t>
      </w:r>
      <w:r>
        <w:rPr>
          <w:b/>
          <w:bCs/>
        </w:rPr>
        <w:t xml:space="preserve"> </w:t>
      </w:r>
      <w:r>
        <w:rPr>
          <w:rFonts w:eastAsiaTheme="minorEastAsia" w:hint="eastAsia"/>
          <w:b/>
          <w:bCs/>
        </w:rPr>
        <w:t>S</w:t>
      </w:r>
      <w:r>
        <w:rPr>
          <w:b/>
          <w:bCs/>
        </w:rPr>
        <w:t>tress-</w:t>
      </w:r>
      <w:r>
        <w:rPr>
          <w:rFonts w:eastAsiaTheme="minorEastAsia" w:hint="eastAsia"/>
          <w:b/>
          <w:bCs/>
        </w:rPr>
        <w:t>A</w:t>
      </w:r>
      <w:r>
        <w:rPr>
          <w:b/>
          <w:bCs/>
        </w:rPr>
        <w:t xml:space="preserve">ssociated </w:t>
      </w:r>
      <w:r>
        <w:rPr>
          <w:rFonts w:eastAsiaTheme="minorEastAsia" w:hint="eastAsia"/>
          <w:b/>
          <w:bCs/>
        </w:rPr>
        <w:t>M</w:t>
      </w:r>
      <w:r>
        <w:rPr>
          <w:b/>
          <w:bCs/>
        </w:rPr>
        <w:t xml:space="preserve">icrobiome </w:t>
      </w:r>
      <w:r>
        <w:rPr>
          <w:rFonts w:eastAsiaTheme="minorEastAsia" w:hint="eastAsia"/>
          <w:b/>
          <w:bCs/>
        </w:rPr>
        <w:t>R</w:t>
      </w:r>
      <w:r>
        <w:rPr>
          <w:b/>
          <w:bCs/>
        </w:rPr>
        <w:t>estructuring</w:t>
      </w:r>
    </w:p>
    <w:p w14:paraId="71AB0570" w14:textId="77777777" w:rsidR="0037559F" w:rsidRDefault="00000000">
      <w:pPr>
        <w:spacing w:line="360" w:lineRule="auto"/>
        <w:rPr>
          <w:rFonts w:ascii="Times New Roman" w:hAnsi="Times New Roman" w:cs="Times New Roman"/>
          <w:sz w:val="24"/>
        </w:rPr>
      </w:pPr>
      <w:r>
        <w:rPr>
          <w:rFonts w:ascii="Times New Roman" w:hAnsi="Times New Roman" w:cs="Times New Roman"/>
          <w:sz w:val="24"/>
        </w:rPr>
        <w:t>Supplementary method:</w:t>
      </w:r>
    </w:p>
    <w:p w14:paraId="48FC8177" w14:textId="77777777" w:rsidR="0037559F" w:rsidRDefault="00000000">
      <w:pPr>
        <w:spacing w:line="360" w:lineRule="auto"/>
        <w:jc w:val="both"/>
        <w:rPr>
          <w:rFonts w:ascii="Times New Roman" w:hAnsi="Times New Roman" w:cs="Times New Roman"/>
          <w:sz w:val="24"/>
        </w:rPr>
      </w:pPr>
      <w:r>
        <w:rPr>
          <w:rFonts w:ascii="Times New Roman" w:hAnsi="Times New Roman" w:cs="Times New Roman" w:hint="eastAsia"/>
          <w:sz w:val="24"/>
        </w:rPr>
        <w:t>Inferring interaction networks from model-derived growth patterns remains challenging</w:t>
      </w: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{"citationID":"QrhuSKV3","properties":{"unsorted":false,"formattedCitation":"\\super 1,2\\nosupersub{}","plainCitation":"1,2","noteIndex":0},"citationItems":[{"id":119,"uris":["http://zotero.org/groups/6440679/items/LH86SL97"],"itemData":{"id":119,"type":"article-journal","abstract":"Microbes are essential part of all ecosystems, influencing material flow and shaping their surroundings. Metabolic modeling has been a useful tool and provided tremendous insights into microbial community metabolism. However, current methods based on flux balance analysis (FBA) usually fail to predict metabolic and regulatory strategies that lead to long-term survival and stability especially in heterogenous communities.Here, we introduce a novel reinforcement learning algorithm, Self-Playing Microbes in Dynamic FBA, which treats microbial metabolism as a decision-making process, allowing individual microbial agents to evolve by learning and adapting metabolic strategies for enhanced long-term fitness. This algorithm predicts what microbial flux regulation policies will stabilize in the dynamic ecosystem of interest in the presence of other microbes with minimal reliance on predefined strategies. Throughout this article, we present several scenarios wherein our algorithm outperforms existing methods in reproducing outcomes, and we explore the biological significance of these predictions.The source code for this article is available at: https://github.com/chan-csu/SPAM-DFBA.","container-title":"Bioinformatics","DOI":"10.1093/bioinformatics/btae003","ISSN":"1367-4811","issue":"1","journalAbbreviation":"Bioinformatics","page":"btae003","source":"Silverchair","title":"Microbial interactions from a new perspective: reinforcement learning reveals new insights into microbiome evolution","title-short":"Microbial interactions from a new perspective","volume":"40","author":[{"family":"Ghadermazi","given":"Parsa"},{"family":"Chan","given":"Siu Hung Joshua"}],"issued":{"date-parts":[["2024",1,1]]}}},{"id":117,"uris":["http://zotero.org/groups/6440679/items/9687JH98"],"itemData":{"id":117,"type":"article-journal","abstract":"Microbial interactions function as a fundamental unit in complex ecosystems. By characterizing the type of interaction (positive, negative, neutral) occurring in these dynamic systems, one can begin to unravel the role played by the microbial species. Towards this, various methods have been developed to decipher the function of the microbial communities. The current review focuses on the various qualitative and quantitative methods that currently exist to study microbial interactions. Qualitative methods such as co-culturing experiments are visualized using microscopy-based techniques and are combined with data obtained from multi-omics technologies (metagenomics, metabolomics, metatranscriptomics). Quantitative methods include the construction of networks and network inference, computational models, and development of synthetic microbial consortia. These methods provide a valuable clue on various roles played by interacting partners, as well as possible solutions to overcome pathogenic microbes that can cause life-threatening infections in susceptible hosts. Studying the microbial interactions will further our understanding of complex less-studied ecosystems and enable design of effective frameworks for treatment of infectious diseases.","container-title":"Microbial Ecology","DOI":"10.1007/s00248-024-02370-7","ISSN":"1432-184X","issue":"1","journalAbbreviation":"Microb Ecol","language":"en","page":"56","source":"Springer Link","title":"Modeling Microbial Community Networks: Methods and Tools for Studying Microbial Interactions","title-short":"Modeling Microbial Community Networks","volume":"87","author":[{"family":"Srinivasan","given":"Shanchana"},{"family":"Jnana","given":"Apoorva"},{"family":"Murali","given":"Thokur Sreepathy"}],"issued":{"date-parts":[["2024",4,8]]}}}],"schema":"https://github.com/citation-style-language/schema/raw/master/csl-citation.json"} </w:instrText>
      </w:r>
      <w:r>
        <w:rPr>
          <w:rFonts w:ascii="Times New Roman" w:hAnsi="Times New Roman" w:cs="Times New Roman"/>
          <w:sz w:val="24"/>
        </w:rPr>
        <w:fldChar w:fldCharType="separate"/>
      </w:r>
      <w:r>
        <w:rPr>
          <w:rFonts w:ascii="Times New Roman" w:hAnsi="Times New Roman" w:cs="Times New Roman"/>
          <w:kern w:val="0"/>
          <w:sz w:val="24"/>
          <w:vertAlign w:val="superscript"/>
        </w:rPr>
        <w:t>1,2</w:t>
      </w:r>
      <w:r>
        <w:rPr>
          <w:rFonts w:ascii="Times New Roman" w:hAnsi="Times New Roman" w:cs="Times New Roman"/>
          <w:sz w:val="24"/>
        </w:rPr>
        <w:fldChar w:fldCharType="end"/>
      </w:r>
      <w:r>
        <w:rPr>
          <w:rFonts w:ascii="Times New Roman" w:hAnsi="Times New Roman" w:cs="Times New Roman" w:hint="eastAsia"/>
          <w:sz w:val="24"/>
        </w:rPr>
        <w:t>. Building on prior ecological frameworks and integrating the ENBI approach</w:t>
      </w: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{"citationID":"yro9kFQa","properties":{"unsorted":false,"formattedCitation":"\\super 3,4\\nosupersub{}","plainCitation":"3,4","noteIndex":0},"citationItems":[{"id":79,"uris":["http://zotero.org/groups/6440679/items/LRZZ9L5U"],"itemData":{"id":79,"type":"article-journal","abstract":"Imbalances in the human gut microbiome, or dysbioses, are associated with multiple diseases but remain poorly understood. Existing biomarkers of dysbiosis fail to capture the ecological mechanisms that differentiate healthy from diseased microbiomes. We have developed a metric, the ecological network balance index (ENBI), that quantifies the balance between positive and negative microbial interactions. This metric was inspired by the phenomenology observed in a model for gut microbiome dynamics that we introduce in this work, which revealed alternative stable states with distinct emergent microbial communities: a healthy state dominated by negative interactions and a dysbiotic state dominated by positive interactions. The ENBI robustly differentiates these states in both simulated and empirical datasets spanning multiple diseases and correlates with disease progression in conditions such as colorectal cancer, which underscores its potential as a diagnostic tool.","container-title":"Science","DOI":"10.1126/science.ady1729","issue":"6788","page":"890-895","publisher":"American Association for the Advancement of Science","source":"science.org (Atypon)","title":"Imbalance in gut microbial interactions as a marker of health and disease","volume":"391","author":[{"family":"Corral López","given":"Roberto"},{"family":"Bonachela","given":"Juan A."},{"family":"Dominguez-Bello","given":"Maria Gloria"},{"family":"Manhart","given":"Michael"},{"family":"Levin","given":"Simon A."},{"family":"Blaser","given":"Martin J."},{"family":"Muñoz","given":"Miguel A."}],"issued":{"date-parts":[["2026",2,26]]}}},{"id":122,"uris":["http://zotero.org/groups/6440679/items/7PELADGV"],"itemData":{"id":122,"type":"article-journal","abstract":"Facilitation occurs when one species positively impacts the fitness of another, and has predominantly been studied in free-living species like plants. Facilitation can also occur among symbiont (mutualistic or parasitic) species or strains, but equivalent studies are scarce. To advance an integrated view of the effect of facilitation on symbiont ecology and evolution, we review empirical evidence and their underlying mechanisms, explore the factors favouring its emergence, and discuss its consequences for virulence and transmission. We argue that the facilitation concept can improve understanding of the evolutionary forces shaping symbiont communities and their effects on hosts.","container-title":"Nature Communications","DOI":"10.1038/s41467-018-06779-w","ISSN":"2041-1723","issue":"1","journalAbbreviation":"Nat Commun","language":"en","license":"2018 The Author(s)","page":"4869","publisher":"Nature Publishing Group","source":"www.nature.com","title":"Ecology and evolution of facilitation among symbionts","volume":"9","author":[{"family":"Zélé","given":"Flore"},{"family":"Magalhães","given":"Sara"},{"family":"Kéfi","given":"Sonia"},{"family":"Duncan","given":"Alison B."}],"issued":{"date-parts":[["2018",11,19]]}}}],"schema":"https://github.com/citation-style-language/schema/raw/master/csl-citation.json"} </w:instrText>
      </w:r>
      <w:r>
        <w:rPr>
          <w:rFonts w:ascii="Times New Roman" w:hAnsi="Times New Roman" w:cs="Times New Roman"/>
          <w:sz w:val="24"/>
        </w:rPr>
        <w:fldChar w:fldCharType="separate"/>
      </w:r>
      <w:r>
        <w:rPr>
          <w:rFonts w:ascii="Times New Roman" w:hAnsi="Times New Roman" w:cs="Times New Roman"/>
          <w:kern w:val="0"/>
          <w:sz w:val="24"/>
          <w:vertAlign w:val="superscript"/>
        </w:rPr>
        <w:t>3,4</w:t>
      </w:r>
      <w:r>
        <w:rPr>
          <w:rFonts w:ascii="Times New Roman" w:hAnsi="Times New Roman" w:cs="Times New Roman"/>
          <w:sz w:val="24"/>
        </w:rPr>
        <w:fldChar w:fldCharType="end"/>
      </w:r>
      <w:r>
        <w:rPr>
          <w:rFonts w:ascii="Times New Roman" w:hAnsi="Times New Roman" w:cs="Times New Roman" w:hint="eastAsia"/>
          <w:sz w:val="24"/>
        </w:rPr>
        <w:t xml:space="preserve">, we characterized community-level interaction networks by grouping six ecological relationship types into three categories: positive, negative, and neutral. The types of positive and negative interactions were included in the subsequent analysis, in accordance with ENBI method. Positive interactions included commensalism and cooperation, whereas negative interactions comprised competition and </w:t>
      </w:r>
      <w:proofErr w:type="spellStart"/>
      <w:r>
        <w:rPr>
          <w:rFonts w:ascii="Times New Roman" w:hAnsi="Times New Roman" w:cs="Times New Roman" w:hint="eastAsia"/>
          <w:sz w:val="24"/>
        </w:rPr>
        <w:t>amensalism</w:t>
      </w:r>
      <w:proofErr w:type="spellEnd"/>
      <w:r>
        <w:rPr>
          <w:rFonts w:ascii="Times New Roman" w:hAnsi="Times New Roman" w:cs="Times New Roman" w:hint="eastAsia"/>
          <w:sz w:val="24"/>
        </w:rPr>
        <w:t>. Interaction types were determined based on pairwise growth responses of the models, and their relative contributions were quantified using ENBI metrics.</w:t>
      </w:r>
    </w:p>
    <w:p w14:paraId="19FF7BBD" w14:textId="77777777" w:rsidR="0037559F" w:rsidRDefault="00000000">
      <w:pPr>
        <w:spacing w:line="360" w:lineRule="auto"/>
        <w:rPr>
          <w:rFonts w:ascii="Times New Roman" w:hAnsi="Times New Roman" w:cs="Times New Roman"/>
          <w:sz w:val="24"/>
        </w:rPr>
      </w:pPr>
      <w:r>
        <w:rPr>
          <w:rFonts w:ascii="Times New Roman" w:hAnsi="Times New Roman" w:cs="Times New Roman"/>
          <w:sz w:val="24"/>
        </w:rPr>
        <w:t xml:space="preserve">Unweighted-inferred net interaction: </w:t>
      </w:r>
    </w:p>
    <w:p w14:paraId="793ABC67" w14:textId="77777777" w:rsidR="0037559F" w:rsidRDefault="00000000">
      <w:pPr>
        <w:spacing w:line="360" w:lineRule="auto"/>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ρ</m:t>
              </m:r>
            </m:e>
            <m:sub>
              <m:r>
                <m:rPr>
                  <m:sty m:val="p"/>
                </m:rPr>
                <w:rPr>
                  <w:rFonts w:ascii="Cambria Math" w:hAnsi="Cambria Math" w:cs="Times New Roman"/>
                  <w:sz w:val="24"/>
                </w:rPr>
                <m:t>unweighted</m:t>
              </m:r>
            </m:sub>
          </m:sSub>
          <m:r>
            <w:rPr>
              <w:rFonts w:ascii="Cambria Math" w:hAnsi="Cambria Math" w:cs="Times New Roman"/>
              <w:sz w:val="24"/>
            </w:rPr>
            <m:t>=</m:t>
          </m:r>
          <m:f>
            <m:fPr>
              <m:ctrlPr>
                <w:rPr>
                  <w:rFonts w:ascii="Cambria Math" w:hAnsi="Cambria Math" w:cs="Times New Roman"/>
                  <w:i/>
                  <w:sz w:val="24"/>
                </w:rPr>
              </m:ctrlPr>
            </m:fPr>
            <m:num>
              <m:nary>
                <m:naryPr>
                  <m:chr m:val="∑"/>
                  <m:limLoc m:val="subSup"/>
                  <m:supHide m:val="1"/>
                  <m:ctrlPr>
                    <w:rPr>
                      <w:rFonts w:ascii="Cambria Math" w:hAnsi="Cambria Math" w:cs="Times New Roman"/>
                      <w:i/>
                      <w:sz w:val="24"/>
                    </w:rPr>
                  </m:ctrlPr>
                </m:naryPr>
                <m:sub>
                  <m:r>
                    <w:rPr>
                      <w:rFonts w:ascii="Cambria Math" w:hAnsi="Cambria Math" w:cs="Times New Roman"/>
                      <w:sz w:val="24"/>
                    </w:rPr>
                    <m:t>i≠j</m:t>
                  </m:r>
                </m:sub>
                <m:sup/>
                <m:e>
                  <m:d>
                    <m:dPr>
                      <m:ctrlPr>
                        <w:rPr>
                          <w:rFonts w:ascii="Cambria Math" w:hAnsi="Cambria Math" w:cs="Times New Roman"/>
                          <w:i/>
                          <w:sz w:val="24"/>
                        </w:rPr>
                      </m:ctrlPr>
                    </m:dPr>
                    <m:e>
                      <m:sSubSup>
                        <m:sSubSupPr>
                          <m:ctrlPr>
                            <w:rPr>
                              <w:rFonts w:ascii="Cambria Math" w:hAnsi="Cambria Math" w:cs="Times New Roman"/>
                              <w:i/>
                              <w:sz w:val="24"/>
                            </w:rPr>
                          </m:ctrlPr>
                        </m:sSubSupPr>
                        <m:e>
                          <m:r>
                            <w:rPr>
                              <w:rFonts w:ascii="Cambria Math" w:hAnsi="Cambria Math" w:cs="Times New Roman"/>
                              <w:sz w:val="24"/>
                            </w:rPr>
                            <m:t>ω</m:t>
                          </m:r>
                        </m:e>
                        <m:sub>
                          <m:r>
                            <w:rPr>
                              <w:rFonts w:ascii="Cambria Math" w:hAnsi="Cambria Math" w:cs="Times New Roman"/>
                              <w:sz w:val="24"/>
                            </w:rPr>
                            <m:t>ij</m:t>
                          </m:r>
                        </m:sub>
                        <m:sup>
                          <m:r>
                            <w:rPr>
                              <w:rFonts w:ascii="Cambria Math" w:hAnsi="Cambria Math" w:cs="Times New Roman"/>
                              <w:sz w:val="24"/>
                            </w:rPr>
                            <m:t>+</m:t>
                          </m:r>
                        </m:sup>
                      </m:sSubSup>
                      <m:r>
                        <w:rPr>
                          <w:rFonts w:ascii="Cambria Math" w:hAnsi="Cambria Math" w:cs="Times New Roman"/>
                          <w:sz w:val="24"/>
                        </w:rPr>
                        <m:t>-</m:t>
                      </m:r>
                      <m:sSubSup>
                        <m:sSubSupPr>
                          <m:ctrlPr>
                            <w:rPr>
                              <w:rFonts w:ascii="Cambria Math" w:hAnsi="Cambria Math" w:cs="Times New Roman"/>
                              <w:i/>
                              <w:sz w:val="24"/>
                            </w:rPr>
                          </m:ctrlPr>
                        </m:sSubSupPr>
                        <m:e>
                          <m:r>
                            <w:rPr>
                              <w:rFonts w:ascii="Cambria Math" w:hAnsi="Cambria Math" w:cs="Times New Roman"/>
                              <w:sz w:val="24"/>
                            </w:rPr>
                            <m:t>ω</m:t>
                          </m:r>
                        </m:e>
                        <m:sub>
                          <m:r>
                            <w:rPr>
                              <w:rFonts w:ascii="Cambria Math" w:hAnsi="Cambria Math" w:cs="Times New Roman"/>
                              <w:sz w:val="24"/>
                            </w:rPr>
                            <m:t>ij</m:t>
                          </m:r>
                        </m:sub>
                        <m:sup>
                          <m:r>
                            <w:rPr>
                              <w:rFonts w:ascii="Cambria Math" w:hAnsi="Cambria Math" w:cs="Times New Roman"/>
                              <w:sz w:val="24"/>
                            </w:rPr>
                            <m:t>-</m:t>
                          </m:r>
                        </m:sup>
                      </m:sSubSup>
                    </m:e>
                  </m:d>
                </m:e>
              </m:nary>
            </m:num>
            <m:den>
              <m:nary>
                <m:naryPr>
                  <m:chr m:val="∑"/>
                  <m:limLoc m:val="subSup"/>
                  <m:supHide m:val="1"/>
                  <m:ctrlPr>
                    <w:rPr>
                      <w:rFonts w:ascii="Cambria Math" w:hAnsi="Cambria Math" w:cs="Times New Roman"/>
                      <w:i/>
                      <w:sz w:val="24"/>
                    </w:rPr>
                  </m:ctrlPr>
                </m:naryPr>
                <m:sub>
                  <m:r>
                    <w:rPr>
                      <w:rFonts w:ascii="Cambria Math" w:hAnsi="Cambria Math" w:cs="Times New Roman"/>
                      <w:sz w:val="24"/>
                    </w:rPr>
                    <m:t>i≠j</m:t>
                  </m:r>
                </m:sub>
                <m:sup/>
                <m:e>
                  <m:d>
                    <m:dPr>
                      <m:ctrlPr>
                        <w:rPr>
                          <w:rFonts w:ascii="Cambria Math" w:hAnsi="Cambria Math" w:cs="Times New Roman"/>
                          <w:i/>
                          <w:sz w:val="24"/>
                        </w:rPr>
                      </m:ctrlPr>
                    </m:dPr>
                    <m:e>
                      <m:sSubSup>
                        <m:sSubSupPr>
                          <m:ctrlPr>
                            <w:rPr>
                              <w:rFonts w:ascii="Cambria Math" w:hAnsi="Cambria Math" w:cs="Times New Roman"/>
                              <w:i/>
                              <w:sz w:val="24"/>
                            </w:rPr>
                          </m:ctrlPr>
                        </m:sSubSupPr>
                        <m:e>
                          <m:r>
                            <w:rPr>
                              <w:rFonts w:ascii="Cambria Math" w:hAnsi="Cambria Math" w:cs="Times New Roman"/>
                              <w:sz w:val="24"/>
                            </w:rPr>
                            <m:t>ω</m:t>
                          </m:r>
                        </m:e>
                        <m:sub>
                          <m:r>
                            <w:rPr>
                              <w:rFonts w:ascii="Cambria Math" w:hAnsi="Cambria Math" w:cs="Times New Roman"/>
                              <w:sz w:val="24"/>
                            </w:rPr>
                            <m:t>ij</m:t>
                          </m:r>
                        </m:sub>
                        <m:sup>
                          <m:r>
                            <w:rPr>
                              <w:rFonts w:ascii="Cambria Math" w:hAnsi="Cambria Math" w:cs="Times New Roman"/>
                              <w:sz w:val="24"/>
                            </w:rPr>
                            <m:t>+</m:t>
                          </m:r>
                        </m:sup>
                      </m:sSubSup>
                      <m:r>
                        <w:rPr>
                          <w:rFonts w:ascii="Cambria Math" w:hAnsi="Cambria Math" w:cs="Times New Roman"/>
                          <w:sz w:val="24"/>
                        </w:rPr>
                        <m:t>+</m:t>
                      </m:r>
                      <m:sSubSup>
                        <m:sSubSupPr>
                          <m:ctrlPr>
                            <w:rPr>
                              <w:rFonts w:ascii="Cambria Math" w:hAnsi="Cambria Math" w:cs="Times New Roman"/>
                              <w:i/>
                              <w:sz w:val="24"/>
                            </w:rPr>
                          </m:ctrlPr>
                        </m:sSubSupPr>
                        <m:e>
                          <m:r>
                            <w:rPr>
                              <w:rFonts w:ascii="Cambria Math" w:hAnsi="Cambria Math" w:cs="Times New Roman"/>
                              <w:sz w:val="24"/>
                            </w:rPr>
                            <m:t>ω</m:t>
                          </m:r>
                        </m:e>
                        <m:sub>
                          <m:r>
                            <w:rPr>
                              <w:rFonts w:ascii="Cambria Math" w:hAnsi="Cambria Math" w:cs="Times New Roman"/>
                              <w:sz w:val="24"/>
                            </w:rPr>
                            <m:t>ij</m:t>
                          </m:r>
                        </m:sub>
                        <m:sup>
                          <m:r>
                            <w:rPr>
                              <w:rFonts w:ascii="Cambria Math" w:hAnsi="Cambria Math" w:cs="Times New Roman"/>
                              <w:sz w:val="24"/>
                            </w:rPr>
                            <m:t>-</m:t>
                          </m:r>
                        </m:sup>
                      </m:sSubSup>
                    </m:e>
                  </m:d>
                </m:e>
              </m:nary>
            </m:den>
          </m:f>
        </m:oMath>
      </m:oMathPara>
    </w:p>
    <w:p w14:paraId="5D5AA4D7" w14:textId="77777777" w:rsidR="0037559F" w:rsidRDefault="00000000">
      <w:pPr>
        <w:spacing w:line="360" w:lineRule="auto"/>
        <w:jc w:val="both"/>
        <w:rPr>
          <w:rFonts w:ascii="Times New Roman" w:hAnsi="Times New Roman" w:cs="Times New Roman"/>
          <w:iCs/>
          <w:sz w:val="24"/>
        </w:rPr>
      </w:pPr>
      <w:r>
        <w:rPr>
          <w:rFonts w:ascii="Times New Roman" w:hAnsi="Times New Roman" w:cs="Times New Roman"/>
          <w:sz w:val="24"/>
        </w:rPr>
        <w:t xml:space="preserve">The </w:t>
      </w:r>
      <m:oMath>
        <m:sSubSup>
          <m:sSubSupPr>
            <m:ctrlPr>
              <w:rPr>
                <w:rFonts w:ascii="Cambria Math" w:hAnsi="Cambria Math" w:cs="Times New Roman"/>
                <w:i/>
                <w:sz w:val="24"/>
              </w:rPr>
            </m:ctrlPr>
          </m:sSubSupPr>
          <m:e>
            <m:r>
              <w:rPr>
                <w:rFonts w:ascii="Cambria Math" w:hAnsi="Cambria Math" w:cs="Times New Roman"/>
                <w:sz w:val="24"/>
              </w:rPr>
              <m:t>ω</m:t>
            </m:r>
          </m:e>
          <m:sub>
            <m:r>
              <w:rPr>
                <w:rFonts w:ascii="Cambria Math" w:hAnsi="Cambria Math" w:cs="Times New Roman"/>
                <w:sz w:val="24"/>
              </w:rPr>
              <m:t>ij</m:t>
            </m:r>
          </m:sub>
          <m:sup>
            <m:r>
              <w:rPr>
                <w:rFonts w:ascii="Cambria Math" w:hAnsi="Cambria Math" w:cs="Times New Roman"/>
                <w:sz w:val="24"/>
              </w:rPr>
              <m:t xml:space="preserve"> </m:t>
            </m:r>
          </m:sup>
        </m:sSubSup>
      </m:oMath>
      <w:r>
        <w:rPr>
          <w:rFonts w:ascii="Times New Roman" w:hAnsi="Times New Roman" w:cs="Times New Roman"/>
          <w:sz w:val="24"/>
        </w:rPr>
        <w:t xml:space="preserve"> represent the changes in growth numbers for each metabolic model in paired simulations compared to independent growth. The </w:t>
      </w:r>
      <w:r>
        <w:rPr>
          <w:rFonts w:ascii="Cambria Math" w:hAnsi="Cambria Math" w:cs="Cambria Math"/>
          <w:sz w:val="24"/>
        </w:rPr>
        <w:t>𝑖</w:t>
      </w:r>
      <w:r>
        <w:rPr>
          <w:rFonts w:ascii="Times New Roman" w:hAnsi="Times New Roman" w:cs="Times New Roman"/>
          <w:sz w:val="24"/>
        </w:rPr>
        <w:t xml:space="preserve"> and </w:t>
      </w:r>
      <w:r>
        <w:rPr>
          <w:rFonts w:ascii="Cambria Math" w:hAnsi="Cambria Math" w:cs="Cambria Math"/>
          <w:sz w:val="24"/>
        </w:rPr>
        <w:t>𝑗</w:t>
      </w:r>
      <w:r>
        <w:rPr>
          <w:rFonts w:ascii="Times New Roman" w:hAnsi="Times New Roman" w:cs="Times New Roman"/>
          <w:sz w:val="24"/>
        </w:rPr>
        <w:t xml:space="preserve"> in the inferred interaction network. The</w:t>
      </w:r>
      <w:r>
        <w:rPr>
          <w:rFonts w:ascii="Times New Roman" w:hAnsi="Times New Roman" w:cs="Times New Roman"/>
          <w:i/>
          <w:sz w:val="24"/>
        </w:rPr>
        <w:t xml:space="preserve"> </w:t>
      </w:r>
      <m:oMath>
        <m:sSubSup>
          <m:sSubSupPr>
            <m:ctrlPr>
              <w:rPr>
                <w:rFonts w:ascii="Cambria Math" w:hAnsi="Cambria Math" w:cs="Times New Roman"/>
                <w:i/>
                <w:sz w:val="24"/>
              </w:rPr>
            </m:ctrlPr>
          </m:sSubSupPr>
          <m:e>
            <m:r>
              <w:rPr>
                <w:rFonts w:ascii="Cambria Math" w:hAnsi="Cambria Math" w:cs="Times New Roman"/>
                <w:sz w:val="24"/>
              </w:rPr>
              <m:t>ω</m:t>
            </m:r>
          </m:e>
          <m:sub>
            <m:r>
              <w:rPr>
                <w:rFonts w:ascii="Cambria Math" w:hAnsi="Cambria Math" w:cs="Times New Roman"/>
                <w:sz w:val="24"/>
              </w:rPr>
              <m:t>ij</m:t>
            </m:r>
          </m:sub>
          <m:sup>
            <m:r>
              <w:rPr>
                <w:rFonts w:ascii="Cambria Math" w:hAnsi="Cambria Math" w:cs="Times New Roman"/>
                <w:sz w:val="24"/>
              </w:rPr>
              <m:t>+</m:t>
            </m:r>
          </m:sup>
        </m:sSubSup>
      </m:oMath>
      <w:r>
        <w:rPr>
          <w:rFonts w:ascii="Times New Roman" w:hAnsi="Times New Roman" w:cs="Times New Roman"/>
          <w:iCs/>
          <w:sz w:val="24"/>
        </w:rPr>
        <w:t xml:space="preserve"> represent the </w:t>
      </w:r>
      <w:r>
        <w:rPr>
          <w:rFonts w:ascii="Times New Roman" w:hAnsi="Times New Roman" w:cs="Times New Roman" w:hint="eastAsia"/>
          <w:iCs/>
          <w:sz w:val="24"/>
        </w:rPr>
        <w:t>positive</w:t>
      </w:r>
      <w:r>
        <w:rPr>
          <w:rFonts w:ascii="Times New Roman" w:hAnsi="Times New Roman" w:cs="Times New Roman"/>
          <w:iCs/>
          <w:sz w:val="24"/>
        </w:rPr>
        <w:t xml:space="preserve"> relationships for model growth. </w:t>
      </w:r>
      <w:r>
        <w:rPr>
          <w:rFonts w:ascii="Times New Roman" w:hAnsi="Times New Roman" w:cs="Times New Roman"/>
          <w:sz w:val="24"/>
        </w:rPr>
        <w:t>The</w:t>
      </w:r>
      <w:r>
        <w:rPr>
          <w:rFonts w:ascii="Times New Roman" w:hAnsi="Times New Roman" w:cs="Times New Roman"/>
          <w:i/>
          <w:sz w:val="24"/>
        </w:rPr>
        <w:t xml:space="preserve"> </w:t>
      </w:r>
      <m:oMath>
        <m:sSubSup>
          <m:sSubSupPr>
            <m:ctrlPr>
              <w:rPr>
                <w:rFonts w:ascii="Cambria Math" w:hAnsi="Cambria Math" w:cs="Times New Roman"/>
                <w:i/>
                <w:sz w:val="24"/>
              </w:rPr>
            </m:ctrlPr>
          </m:sSubSupPr>
          <m:e>
            <m:r>
              <w:rPr>
                <w:rFonts w:ascii="Cambria Math" w:hAnsi="Cambria Math" w:cs="Times New Roman"/>
                <w:sz w:val="24"/>
              </w:rPr>
              <m:t>ω</m:t>
            </m:r>
          </m:e>
          <m:sub>
            <m:r>
              <w:rPr>
                <w:rFonts w:ascii="Cambria Math" w:hAnsi="Cambria Math" w:cs="Times New Roman"/>
                <w:sz w:val="24"/>
              </w:rPr>
              <m:t>ij</m:t>
            </m:r>
          </m:sub>
          <m:sup>
            <m:r>
              <w:rPr>
                <w:rFonts w:ascii="Cambria Math" w:hAnsi="Cambria Math" w:cs="Times New Roman"/>
                <w:sz w:val="24"/>
              </w:rPr>
              <m:t>-</m:t>
            </m:r>
          </m:sup>
        </m:sSubSup>
      </m:oMath>
      <w:r>
        <w:rPr>
          <w:rFonts w:ascii="Times New Roman" w:hAnsi="Times New Roman" w:cs="Times New Roman"/>
          <w:iCs/>
          <w:sz w:val="24"/>
        </w:rPr>
        <w:t xml:space="preserve"> represent </w:t>
      </w:r>
      <w:r>
        <w:rPr>
          <w:rFonts w:ascii="Times New Roman" w:hAnsi="Times New Roman" w:cs="Times New Roman" w:hint="eastAsia"/>
          <w:iCs/>
          <w:sz w:val="24"/>
        </w:rPr>
        <w:t>negative</w:t>
      </w:r>
      <w:r>
        <w:rPr>
          <w:rFonts w:ascii="Times New Roman" w:hAnsi="Times New Roman" w:cs="Times New Roman"/>
          <w:iCs/>
          <w:sz w:val="24"/>
        </w:rPr>
        <w:t xml:space="preserve"> relationships for model growth. </w:t>
      </w:r>
      <w:r>
        <w:rPr>
          <w:rFonts w:ascii="Times New Roman" w:hAnsi="Times New Roman" w:cs="Times New Roman"/>
          <w:sz w:val="24"/>
        </w:rPr>
        <w:t xml:space="preserve">All model simulations were performed using the </w:t>
      </w:r>
      <w:proofErr w:type="spellStart"/>
      <w:r>
        <w:rPr>
          <w:rFonts w:ascii="Times New Roman" w:hAnsi="Times New Roman" w:cs="Times New Roman"/>
          <w:sz w:val="24"/>
        </w:rPr>
        <w:t>BacArena</w:t>
      </w:r>
      <w:proofErr w:type="spellEnd"/>
      <w:r>
        <w:rPr>
          <w:rFonts w:ascii="Times New Roman" w:hAnsi="Times New Roman" w:cs="Times New Roman"/>
          <w:sz w:val="24"/>
        </w:rPr>
        <w:t xml:space="preserve"> package in R.</w:t>
      </w:r>
    </w:p>
    <w:p w14:paraId="7972BBD2" w14:textId="77777777" w:rsidR="0037559F" w:rsidRDefault="00000000">
      <w:pPr>
        <w:spacing w:line="360" w:lineRule="auto"/>
        <w:jc w:val="both"/>
        <w:rPr>
          <w:rFonts w:ascii="Times New Roman" w:hAnsi="Times New Roman" w:cs="Times New Roman"/>
          <w:sz w:val="24"/>
        </w:rPr>
      </w:pPr>
      <w:r>
        <w:rPr>
          <w:rFonts w:ascii="Times New Roman" w:hAnsi="Times New Roman" w:cs="Times New Roman"/>
          <w:sz w:val="24"/>
        </w:rPr>
        <w:t>Weighted-inferred net interaction:</w:t>
      </w:r>
    </w:p>
    <w:p w14:paraId="419C60D3" w14:textId="77777777" w:rsidR="0037559F" w:rsidRDefault="00000000">
      <w:pPr>
        <w:spacing w:line="360" w:lineRule="auto"/>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ρ</m:t>
              </m:r>
            </m:e>
            <m:sub>
              <m:r>
                <m:rPr>
                  <m:sty m:val="p"/>
                </m:rPr>
                <w:rPr>
                  <w:rFonts w:ascii="Cambria Math" w:hAnsi="Cambria Math" w:cs="Times New Roman"/>
                  <w:sz w:val="24"/>
                </w:rPr>
                <m:t>weighted</m:t>
              </m:r>
            </m:sub>
          </m:sSub>
          <m:r>
            <w:rPr>
              <w:rFonts w:ascii="Cambria Math" w:hAnsi="Cambria Math" w:cs="Times New Roman"/>
              <w:sz w:val="24"/>
            </w:rPr>
            <m:t>=</m:t>
          </m:r>
          <m:f>
            <m:fPr>
              <m:ctrlPr>
                <w:rPr>
                  <w:rFonts w:ascii="Cambria Math" w:hAnsi="Cambria Math" w:cs="Times New Roman"/>
                  <w:i/>
                  <w:sz w:val="24"/>
                </w:rPr>
              </m:ctrlPr>
            </m:fPr>
            <m:num>
              <m:nary>
                <m:naryPr>
                  <m:chr m:val="∑"/>
                  <m:limLoc m:val="subSup"/>
                  <m:supHide m:val="1"/>
                  <m:ctrlPr>
                    <w:rPr>
                      <w:rFonts w:ascii="Cambria Math" w:hAnsi="Cambria Math" w:cs="Times New Roman"/>
                      <w:i/>
                      <w:sz w:val="24"/>
                    </w:rPr>
                  </m:ctrlPr>
                </m:naryPr>
                <m:sub>
                  <m:r>
                    <w:rPr>
                      <w:rFonts w:ascii="Cambria Math" w:hAnsi="Cambria Math" w:cs="Times New Roman"/>
                      <w:sz w:val="24"/>
                    </w:rPr>
                    <m:t>i≠j</m:t>
                  </m:r>
                </m:sub>
                <m:sup/>
                <m:e>
                  <m:d>
                    <m:dPr>
                      <m:ctrlPr>
                        <w:rPr>
                          <w:rFonts w:ascii="Cambria Math" w:hAnsi="Cambria Math" w:cs="Times New Roman"/>
                          <w:i/>
                          <w:sz w:val="24"/>
                        </w:rPr>
                      </m:ctrlPr>
                    </m:dPr>
                    <m:e>
                      <m:sSubSup>
                        <m:sSubSupPr>
                          <m:ctrlPr>
                            <w:rPr>
                              <w:rFonts w:ascii="Cambria Math" w:hAnsi="Cambria Math" w:cs="Times New Roman"/>
                              <w:i/>
                              <w:sz w:val="24"/>
                            </w:rPr>
                          </m:ctrlPr>
                        </m:sSubSupPr>
                        <m:e>
                          <m:r>
                            <w:rPr>
                              <w:rFonts w:ascii="Cambria Math" w:hAnsi="Cambria Math" w:cs="Times New Roman"/>
                              <w:sz w:val="24"/>
                            </w:rPr>
                            <m:t>ω</m:t>
                          </m:r>
                        </m:e>
                        <m:sub>
                          <m:r>
                            <w:rPr>
                              <w:rFonts w:ascii="Cambria Math" w:hAnsi="Cambria Math" w:cs="Times New Roman"/>
                              <w:sz w:val="24"/>
                            </w:rPr>
                            <m:t>ij</m:t>
                          </m:r>
                        </m:sub>
                        <m:sup>
                          <m:r>
                            <w:rPr>
                              <w:rFonts w:ascii="Cambria Math" w:hAnsi="Cambria Math" w:cs="Times New Roman"/>
                              <w:sz w:val="24"/>
                            </w:rPr>
                            <m:t>+</m:t>
                          </m:r>
                        </m:sup>
                      </m:sSubSup>
                      <m:r>
                        <w:rPr>
                          <w:rFonts w:ascii="Cambria Math" w:hAnsi="Cambria Math" w:cs="Times New Roman"/>
                          <w:sz w:val="24"/>
                        </w:rPr>
                        <m:t>-</m:t>
                      </m:r>
                      <m:sSubSup>
                        <m:sSubSupPr>
                          <m:ctrlPr>
                            <w:rPr>
                              <w:rFonts w:ascii="Cambria Math" w:hAnsi="Cambria Math" w:cs="Times New Roman"/>
                              <w:i/>
                              <w:sz w:val="24"/>
                            </w:rPr>
                          </m:ctrlPr>
                        </m:sSubSupPr>
                        <m:e>
                          <m:r>
                            <w:rPr>
                              <w:rFonts w:ascii="Cambria Math" w:hAnsi="Cambria Math" w:cs="Times New Roman"/>
                              <w:sz w:val="24"/>
                            </w:rPr>
                            <m:t>ω</m:t>
                          </m:r>
                        </m:e>
                        <m:sub>
                          <m:r>
                            <w:rPr>
                              <w:rFonts w:ascii="Cambria Math" w:hAnsi="Cambria Math" w:cs="Times New Roman"/>
                              <w:sz w:val="24"/>
                            </w:rPr>
                            <m:t>ij</m:t>
                          </m:r>
                        </m:sub>
                        <m:sup>
                          <m:r>
                            <w:rPr>
                              <w:rFonts w:ascii="Cambria Math" w:hAnsi="Cambria Math" w:cs="Times New Roman"/>
                              <w:sz w:val="24"/>
                            </w:rPr>
                            <m:t>-</m:t>
                          </m:r>
                        </m:sup>
                      </m:sSubSup>
                    </m:e>
                  </m:d>
                </m:e>
              </m:nary>
            </m:num>
            <m:den>
              <m:nary>
                <m:naryPr>
                  <m:chr m:val="∑"/>
                  <m:limLoc m:val="subSup"/>
                  <m:supHide m:val="1"/>
                  <m:ctrlPr>
                    <w:rPr>
                      <w:rFonts w:ascii="Cambria Math" w:hAnsi="Cambria Math" w:cs="Times New Roman"/>
                      <w:i/>
                      <w:sz w:val="24"/>
                    </w:rPr>
                  </m:ctrlPr>
                </m:naryPr>
                <m:sub>
                  <m:r>
                    <w:rPr>
                      <w:rFonts w:ascii="Cambria Math" w:hAnsi="Cambria Math" w:cs="Times New Roman"/>
                      <w:sz w:val="24"/>
                    </w:rPr>
                    <m:t>i≠j</m:t>
                  </m:r>
                </m:sub>
                <m:sup/>
                <m:e>
                  <m:d>
                    <m:dPr>
                      <m:ctrlPr>
                        <w:rPr>
                          <w:rFonts w:ascii="Cambria Math" w:hAnsi="Cambria Math" w:cs="Times New Roman"/>
                          <w:i/>
                          <w:sz w:val="24"/>
                        </w:rPr>
                      </m:ctrlPr>
                    </m:dPr>
                    <m:e>
                      <m:sSubSup>
                        <m:sSubSupPr>
                          <m:ctrlPr>
                            <w:rPr>
                              <w:rFonts w:ascii="Cambria Math" w:hAnsi="Cambria Math" w:cs="Times New Roman"/>
                              <w:i/>
                              <w:sz w:val="24"/>
                            </w:rPr>
                          </m:ctrlPr>
                        </m:sSubSupPr>
                        <m:e>
                          <m:r>
                            <w:rPr>
                              <w:rFonts w:ascii="Cambria Math" w:hAnsi="Cambria Math" w:cs="Times New Roman"/>
                              <w:sz w:val="24"/>
                            </w:rPr>
                            <m:t>ω</m:t>
                          </m:r>
                        </m:e>
                        <m:sub>
                          <m:r>
                            <w:rPr>
                              <w:rFonts w:ascii="Cambria Math" w:hAnsi="Cambria Math" w:cs="Times New Roman"/>
                              <w:sz w:val="24"/>
                            </w:rPr>
                            <m:t>ij</m:t>
                          </m:r>
                        </m:sub>
                        <m:sup>
                          <m:r>
                            <w:rPr>
                              <w:rFonts w:ascii="Cambria Math" w:hAnsi="Cambria Math" w:cs="Times New Roman"/>
                              <w:sz w:val="24"/>
                            </w:rPr>
                            <m:t>+</m:t>
                          </m:r>
                        </m:sup>
                      </m:sSubSup>
                      <m:r>
                        <w:rPr>
                          <w:rFonts w:ascii="Cambria Math" w:hAnsi="Cambria Math" w:cs="Times New Roman"/>
                          <w:sz w:val="24"/>
                        </w:rPr>
                        <m:t>+</m:t>
                      </m:r>
                      <m:sSubSup>
                        <m:sSubSupPr>
                          <m:ctrlPr>
                            <w:rPr>
                              <w:rFonts w:ascii="Cambria Math" w:hAnsi="Cambria Math" w:cs="Times New Roman"/>
                              <w:i/>
                              <w:sz w:val="24"/>
                            </w:rPr>
                          </m:ctrlPr>
                        </m:sSubSupPr>
                        <m:e>
                          <m:r>
                            <w:rPr>
                              <w:rFonts w:ascii="Cambria Math" w:hAnsi="Cambria Math" w:cs="Times New Roman"/>
                              <w:sz w:val="24"/>
                            </w:rPr>
                            <m:t>ω</m:t>
                          </m:r>
                        </m:e>
                        <m:sub>
                          <m:r>
                            <w:rPr>
                              <w:rFonts w:ascii="Cambria Math" w:hAnsi="Cambria Math" w:cs="Times New Roman"/>
                              <w:sz w:val="24"/>
                            </w:rPr>
                            <m:t>ij</m:t>
                          </m:r>
                        </m:sub>
                        <m:sup>
                          <m:r>
                            <w:rPr>
                              <w:rFonts w:ascii="Cambria Math" w:hAnsi="Cambria Math" w:cs="Times New Roman"/>
                              <w:sz w:val="24"/>
                            </w:rPr>
                            <m:t>-</m:t>
                          </m:r>
                        </m:sup>
                      </m:sSubSup>
                    </m:e>
                  </m:d>
                </m:e>
              </m:nary>
            </m:den>
          </m:f>
        </m:oMath>
      </m:oMathPara>
    </w:p>
    <w:p w14:paraId="273B4A1B" w14:textId="77777777" w:rsidR="0037559F" w:rsidRDefault="00000000">
      <w:pPr>
        <w:spacing w:line="360" w:lineRule="auto"/>
        <w:jc w:val="both"/>
        <w:rPr>
          <w:rFonts w:ascii="Times New Roman" w:hAnsi="Times New Roman" w:cs="Times New Roman"/>
          <w:sz w:val="24"/>
        </w:rPr>
      </w:pPr>
      <w:r>
        <w:rPr>
          <w:rFonts w:ascii="Times New Roman" w:hAnsi="Times New Roman" w:cs="Times New Roman"/>
          <w:sz w:val="24"/>
        </w:rPr>
        <w:t xml:space="preserve">The </w:t>
      </w:r>
      <m:oMath>
        <m:sSubSup>
          <m:sSubSupPr>
            <m:ctrlPr>
              <w:rPr>
                <w:rFonts w:ascii="Cambria Math" w:hAnsi="Cambria Math" w:cs="Times New Roman"/>
                <w:i/>
                <w:sz w:val="24"/>
              </w:rPr>
            </m:ctrlPr>
          </m:sSubSupPr>
          <m:e>
            <m:r>
              <w:rPr>
                <w:rFonts w:ascii="Cambria Math" w:hAnsi="Cambria Math" w:cs="Times New Roman"/>
                <w:sz w:val="24"/>
              </w:rPr>
              <m:t>ω</m:t>
            </m:r>
          </m:e>
          <m:sub>
            <m:r>
              <w:rPr>
                <w:rFonts w:ascii="Cambria Math" w:hAnsi="Cambria Math" w:cs="Times New Roman"/>
                <w:sz w:val="24"/>
              </w:rPr>
              <m:t>ij</m:t>
            </m:r>
          </m:sub>
          <m:sup>
            <m:r>
              <w:rPr>
                <w:rFonts w:ascii="Cambria Math" w:hAnsi="Cambria Math" w:cs="Times New Roman"/>
                <w:sz w:val="24"/>
              </w:rPr>
              <m:t xml:space="preserve"> </m:t>
            </m:r>
          </m:sup>
        </m:sSubSup>
      </m:oMath>
      <w:r>
        <w:rPr>
          <w:rFonts w:ascii="Times New Roman" w:hAnsi="Times New Roman" w:cs="Times New Roman"/>
          <w:sz w:val="24"/>
        </w:rPr>
        <w:t xml:space="preserve"> represent represents the change in the log2 growth rate of each metabolic model relative to independent growth in the paired simulation. The </w:t>
      </w:r>
      <w:r>
        <w:rPr>
          <w:rFonts w:ascii="Cambria Math" w:hAnsi="Cambria Math" w:cs="Cambria Math"/>
          <w:sz w:val="24"/>
        </w:rPr>
        <w:t>𝑖</w:t>
      </w:r>
      <w:r>
        <w:rPr>
          <w:rFonts w:ascii="Times New Roman" w:hAnsi="Times New Roman" w:cs="Times New Roman"/>
          <w:sz w:val="24"/>
        </w:rPr>
        <w:t xml:space="preserve"> and </w:t>
      </w:r>
      <w:r>
        <w:rPr>
          <w:rFonts w:ascii="Cambria Math" w:hAnsi="Cambria Math" w:cs="Cambria Math"/>
          <w:sz w:val="24"/>
        </w:rPr>
        <w:t>𝑗</w:t>
      </w:r>
      <w:r>
        <w:rPr>
          <w:rFonts w:ascii="Times New Roman" w:hAnsi="Times New Roman" w:cs="Times New Roman"/>
          <w:sz w:val="24"/>
        </w:rPr>
        <w:t xml:space="preserve"> in the inferred interaction network.</w:t>
      </w:r>
    </w:p>
    <w:p w14:paraId="2896C447" w14:textId="77777777" w:rsidR="0037559F" w:rsidRDefault="00000000">
      <w:pPr>
        <w:spacing w:line="360" w:lineRule="auto"/>
        <w:jc w:val="both"/>
        <w:rPr>
          <w:rFonts w:ascii="Times New Roman" w:hAnsi="Times New Roman" w:cs="Times New Roman"/>
          <w:sz w:val="24"/>
        </w:rPr>
      </w:pPr>
      <w:r>
        <w:rPr>
          <w:rFonts w:ascii="Times New Roman" w:hAnsi="Times New Roman" w:cs="Times New Roman"/>
          <w:sz w:val="24"/>
        </w:rPr>
        <w:lastRenderedPageBreak/>
        <w:t>Ecological Network Balance Index (ENBI):</w:t>
      </w:r>
    </w:p>
    <w:p w14:paraId="3AF4A2CC" w14:textId="77777777" w:rsidR="0037559F" w:rsidRDefault="00000000">
      <w:pPr>
        <w:spacing w:line="360" w:lineRule="auto"/>
        <w:jc w:val="center"/>
        <w:rPr>
          <w:rFonts w:ascii="Times New Roman" w:hAnsi="Times New Roman" w:cs="Times New Roman"/>
          <w:sz w:val="24"/>
          <w:shd w:val="clear" w:color="auto" w:fill="FFFFFF"/>
        </w:rPr>
      </w:pPr>
      <w:r>
        <w:rPr>
          <w:rFonts w:ascii="Times New Roman" w:hAnsi="Times New Roman" w:cs="Times New Roman"/>
          <w:sz w:val="24"/>
          <w:shd w:val="clear" w:color="auto" w:fill="FFFFFF"/>
        </w:rPr>
        <w:t xml:space="preserve">ENBI = </w:t>
      </w:r>
      <m:oMath>
        <m:sSup>
          <m:sSupPr>
            <m:ctrlPr>
              <w:rPr>
                <w:rFonts w:ascii="Cambria Math" w:hAnsi="Cambria Math" w:cs="Times New Roman"/>
                <w:iCs/>
                <w:sz w:val="24"/>
                <w:shd w:val="clear" w:color="auto" w:fill="FFFFFF"/>
              </w:rPr>
            </m:ctrlPr>
          </m:sSupPr>
          <m:e>
            <m:r>
              <w:rPr>
                <w:rFonts w:ascii="Cambria Math" w:hAnsi="Cambria Math" w:cs="Times New Roman"/>
                <w:sz w:val="24"/>
                <w:shd w:val="clear" w:color="auto" w:fill="FFFFFF"/>
              </w:rPr>
              <m:t>ρ</m:t>
            </m:r>
          </m:e>
          <m:sup>
            <m:r>
              <m:rPr>
                <m:sty m:val="p"/>
              </m:rPr>
              <w:rPr>
                <w:rFonts w:ascii="Cambria Math" w:hAnsi="Cambria Math" w:cs="Times New Roman"/>
                <w:sz w:val="24"/>
                <w:shd w:val="clear" w:color="auto" w:fill="FFFFFF"/>
              </w:rPr>
              <m:t>D</m:t>
            </m:r>
          </m:sup>
        </m:sSup>
        <m:r>
          <w:rPr>
            <w:rFonts w:ascii="Cambria Math" w:hAnsi="Cambria Math" w:cs="Times New Roman"/>
            <w:sz w:val="24"/>
            <w:shd w:val="clear" w:color="auto" w:fill="FFFFFF"/>
          </w:rPr>
          <m:t>-</m:t>
        </m:r>
        <m:r>
          <m:rPr>
            <m:sty m:val="p"/>
          </m:rPr>
          <w:rPr>
            <w:rFonts w:ascii="Cambria Math" w:hAnsi="Cambria Math" w:cs="Times New Roman"/>
            <w:sz w:val="24"/>
            <w:shd w:val="clear" w:color="auto" w:fill="FFFFFF"/>
          </w:rPr>
          <m:t>Median</m:t>
        </m:r>
        <m:r>
          <w:rPr>
            <w:rFonts w:ascii="Cambria Math" w:hAnsi="Cambria Math" w:cs="Times New Roman"/>
            <w:sz w:val="24"/>
            <w:shd w:val="clear" w:color="auto" w:fill="FFFFFF"/>
          </w:rPr>
          <m:t>(</m:t>
        </m:r>
        <m:sSup>
          <m:sSupPr>
            <m:ctrlPr>
              <w:rPr>
                <w:rFonts w:ascii="Cambria Math" w:hAnsi="Cambria Math" w:cs="Times New Roman"/>
                <w:i/>
                <w:sz w:val="24"/>
                <w:shd w:val="clear" w:color="auto" w:fill="FFFFFF"/>
              </w:rPr>
            </m:ctrlPr>
          </m:sSupPr>
          <m:e>
            <m:r>
              <w:rPr>
                <w:rFonts w:ascii="Cambria Math" w:hAnsi="Cambria Math" w:cs="Times New Roman"/>
                <w:sz w:val="24"/>
                <w:shd w:val="clear" w:color="auto" w:fill="FFFFFF"/>
              </w:rPr>
              <m:t>ρ</m:t>
            </m:r>
          </m:e>
          <m:sup>
            <m:r>
              <m:rPr>
                <m:sty m:val="p"/>
              </m:rPr>
              <w:rPr>
                <w:rFonts w:ascii="Cambria Math" w:hAnsi="Cambria Math" w:cs="Times New Roman"/>
                <w:sz w:val="24"/>
                <w:shd w:val="clear" w:color="auto" w:fill="FFFFFF"/>
              </w:rPr>
              <m:t>H</m:t>
            </m:r>
          </m:sup>
        </m:sSup>
        <m:r>
          <w:rPr>
            <w:rFonts w:ascii="Cambria Math" w:hAnsi="Cambria Math" w:cs="Times New Roman"/>
            <w:sz w:val="24"/>
            <w:shd w:val="clear" w:color="auto" w:fill="FFFFFF"/>
          </w:rPr>
          <m:t>)</m:t>
        </m:r>
      </m:oMath>
    </w:p>
    <w:p w14:paraId="56163F21" w14:textId="77777777" w:rsidR="0037559F" w:rsidRDefault="00000000">
      <w:pPr>
        <w:spacing w:line="360" w:lineRule="auto"/>
        <w:rPr>
          <w:rFonts w:ascii="Times New Roman" w:hAnsi="Times New Roman" w:cs="Times New Roman"/>
          <w:sz w:val="24"/>
        </w:rPr>
      </w:pPr>
      <w:r>
        <w:rPr>
          <w:rFonts w:ascii="Times New Roman" w:hAnsi="Times New Roman" w:cs="Times New Roman"/>
          <w:sz w:val="24"/>
        </w:rPr>
        <w:t xml:space="preserve">Where unweighted or weighted </w:t>
      </w:r>
      <m:oMath>
        <m:sSup>
          <m:sSupPr>
            <m:ctrlPr>
              <w:rPr>
                <w:rFonts w:ascii="Cambria Math" w:hAnsi="Cambria Math" w:cs="Times New Roman"/>
                <w:iCs/>
                <w:sz w:val="24"/>
                <w:shd w:val="clear" w:color="auto" w:fill="FFFFFF"/>
              </w:rPr>
            </m:ctrlPr>
          </m:sSupPr>
          <m:e>
            <m:r>
              <w:rPr>
                <w:rFonts w:ascii="Cambria Math" w:hAnsi="Cambria Math" w:cs="Times New Roman"/>
                <w:sz w:val="24"/>
                <w:shd w:val="clear" w:color="auto" w:fill="FFFFFF"/>
              </w:rPr>
              <m:t>ρ</m:t>
            </m:r>
          </m:e>
          <m:sup>
            <m:r>
              <w:rPr>
                <w:rFonts w:ascii="Cambria Math" w:hAnsi="Cambria Math" w:cs="Times New Roman"/>
                <w:sz w:val="24"/>
                <w:shd w:val="clear" w:color="auto" w:fill="FFFFFF"/>
              </w:rPr>
              <m:t xml:space="preserve"> </m:t>
            </m:r>
          </m:sup>
        </m:sSup>
      </m:oMath>
      <w:r>
        <w:rPr>
          <w:rFonts w:ascii="Times New Roman" w:hAnsi="Times New Roman" w:cs="Times New Roman"/>
          <w:sz w:val="24"/>
        </w:rPr>
        <w:t xml:space="preserve">are unhealthy (dysbiotic, </w:t>
      </w:r>
      <m:oMath>
        <m:sSup>
          <m:sSupPr>
            <m:ctrlPr>
              <w:rPr>
                <w:rFonts w:ascii="Cambria Math" w:hAnsi="Cambria Math" w:cs="Times New Roman"/>
                <w:iCs/>
                <w:sz w:val="24"/>
                <w:shd w:val="clear" w:color="auto" w:fill="FFFFFF"/>
              </w:rPr>
            </m:ctrlPr>
          </m:sSupPr>
          <m:e>
            <m:r>
              <w:rPr>
                <w:rFonts w:ascii="Cambria Math" w:hAnsi="Cambria Math" w:cs="Times New Roman"/>
                <w:sz w:val="24"/>
                <w:shd w:val="clear" w:color="auto" w:fill="FFFFFF"/>
              </w:rPr>
              <m:t>ρ</m:t>
            </m:r>
          </m:e>
          <m:sup>
            <m:r>
              <m:rPr>
                <m:sty m:val="p"/>
              </m:rPr>
              <w:rPr>
                <w:rFonts w:ascii="Cambria Math" w:hAnsi="Cambria Math" w:cs="Times New Roman"/>
                <w:sz w:val="24"/>
                <w:shd w:val="clear" w:color="auto" w:fill="FFFFFF"/>
              </w:rPr>
              <m:t>D</m:t>
            </m:r>
          </m:sup>
        </m:sSup>
      </m:oMath>
      <w:r>
        <w:rPr>
          <w:rFonts w:ascii="Times New Roman" w:hAnsi="Times New Roman" w:cs="Times New Roman"/>
          <w:sz w:val="24"/>
        </w:rPr>
        <w:t xml:space="preserve">) and healthy (healthy, </w:t>
      </w:r>
      <m:oMath>
        <m:sSup>
          <m:sSupPr>
            <m:ctrlPr>
              <w:rPr>
                <w:rFonts w:ascii="Cambria Math" w:hAnsi="Cambria Math" w:cs="Times New Roman"/>
                <w:i/>
                <w:sz w:val="24"/>
                <w:shd w:val="clear" w:color="auto" w:fill="FFFFFF"/>
              </w:rPr>
            </m:ctrlPr>
          </m:sSupPr>
          <m:e>
            <m:r>
              <w:rPr>
                <w:rFonts w:ascii="Cambria Math" w:hAnsi="Cambria Math" w:cs="Times New Roman"/>
                <w:sz w:val="24"/>
                <w:shd w:val="clear" w:color="auto" w:fill="FFFFFF"/>
              </w:rPr>
              <m:t>ρ</m:t>
            </m:r>
          </m:e>
          <m:sup>
            <m:r>
              <m:rPr>
                <m:sty m:val="p"/>
              </m:rPr>
              <w:rPr>
                <w:rFonts w:ascii="Cambria Math" w:hAnsi="Cambria Math" w:cs="Times New Roman"/>
                <w:sz w:val="24"/>
                <w:shd w:val="clear" w:color="auto" w:fill="FFFFFF"/>
              </w:rPr>
              <m:t>H</m:t>
            </m:r>
          </m:sup>
        </m:sSup>
      </m:oMath>
      <w:r>
        <w:rPr>
          <w:rFonts w:ascii="Times New Roman" w:hAnsi="Times New Roman" w:cs="Times New Roman"/>
          <w:sz w:val="24"/>
        </w:rPr>
        <w:t>).</w:t>
      </w:r>
      <w:r>
        <w:rPr>
          <w:rFonts w:ascii="Times New Roman" w:hAnsi="Times New Roman" w:cs="Times New Roman" w:hint="eastAsia"/>
          <w:sz w:val="24"/>
        </w:rPr>
        <w:t xml:space="preserve"> </w:t>
      </w:r>
    </w:p>
    <w:p w14:paraId="2E80B8B8" w14:textId="77777777" w:rsidR="0037559F" w:rsidRDefault="00000000">
      <w:pPr>
        <w:pStyle w:val="13"/>
        <w:rPr>
          <w:rFonts w:ascii="Times New Roman" w:hAnsi="Times New Roman" w:cs="Times New Roman"/>
          <w:b/>
          <w:bCs/>
          <w:sz w:val="24"/>
        </w:rPr>
      </w:pPr>
      <w:r>
        <w:rPr>
          <w:rFonts w:ascii="Times New Roman" w:hAnsi="Times New Roman" w:cs="Times New Roman"/>
          <w:b/>
          <w:bCs/>
          <w:sz w:val="24"/>
        </w:rPr>
        <w:t>Reference</w:t>
      </w:r>
      <w:r>
        <w:rPr>
          <w:rFonts w:ascii="Times New Roman" w:hAnsi="Times New Roman" w:cs="Times New Roman" w:hint="eastAsia"/>
          <w:b/>
          <w:bCs/>
          <w:sz w:val="24"/>
        </w:rPr>
        <w:t>s</w:t>
      </w:r>
    </w:p>
    <w:p w14:paraId="1B3B3B9E" w14:textId="77777777" w:rsidR="0037559F" w:rsidRDefault="00000000">
      <w:pPr>
        <w:pStyle w:val="13"/>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ZOTERO_BIBL {"uncited":[],"omitted":[],"custom":[]} CSL_BIBLIOGRAPHY </w:instrText>
      </w:r>
      <w:r>
        <w:rPr>
          <w:rFonts w:ascii="Times New Roman" w:hAnsi="Times New Roman" w:cs="Times New Roman"/>
          <w:sz w:val="24"/>
        </w:rPr>
        <w:fldChar w:fldCharType="separate"/>
      </w:r>
      <w:r>
        <w:rPr>
          <w:rFonts w:ascii="Times New Roman" w:hAnsi="Times New Roman" w:cs="Times New Roman"/>
          <w:sz w:val="24"/>
        </w:rPr>
        <w:t>1.</w:t>
      </w:r>
      <w:r>
        <w:rPr>
          <w:rFonts w:ascii="Times New Roman" w:hAnsi="Times New Roman" w:cs="Times New Roman"/>
          <w:sz w:val="24"/>
        </w:rPr>
        <w:tab/>
        <w:t xml:space="preserve">Ghadermazi, P. &amp; Chan, S. H. J. Microbial interactions from a new perspective: reinforcement learning reveals new insights into microbiome evolution. </w:t>
      </w:r>
      <w:r>
        <w:rPr>
          <w:rFonts w:ascii="Times New Roman" w:hAnsi="Times New Roman" w:cs="Times New Roman"/>
          <w:i/>
          <w:iCs/>
          <w:sz w:val="24"/>
        </w:rPr>
        <w:t>Bioinformatics</w:t>
      </w:r>
      <w:r>
        <w:rPr>
          <w:rFonts w:ascii="Times New Roman" w:hAnsi="Times New Roman" w:cs="Times New Roman"/>
          <w:sz w:val="24"/>
        </w:rPr>
        <w:t xml:space="preserve"> </w:t>
      </w:r>
      <w:r>
        <w:rPr>
          <w:rFonts w:ascii="Times New Roman" w:hAnsi="Times New Roman" w:cs="Times New Roman"/>
          <w:b/>
          <w:bCs/>
          <w:sz w:val="24"/>
        </w:rPr>
        <w:t>40</w:t>
      </w:r>
      <w:r>
        <w:rPr>
          <w:rFonts w:ascii="Times New Roman" w:hAnsi="Times New Roman" w:cs="Times New Roman"/>
          <w:sz w:val="24"/>
        </w:rPr>
        <w:t>, btae003 (2024).</w:t>
      </w:r>
    </w:p>
    <w:p w14:paraId="4A6AEEE5" w14:textId="77777777" w:rsidR="0037559F" w:rsidRDefault="00000000">
      <w:pPr>
        <w:pStyle w:val="13"/>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t xml:space="preserve">Srinivasan, S., Jnana, A. &amp; Murali, T. S. Modeling Microbial Community Networks: Methods and Tools for Studying Microbial Interactions. </w:t>
      </w:r>
      <w:r>
        <w:rPr>
          <w:rFonts w:ascii="Times New Roman" w:hAnsi="Times New Roman" w:cs="Times New Roman"/>
          <w:i/>
          <w:iCs/>
          <w:sz w:val="24"/>
        </w:rPr>
        <w:t>Microb Ecol</w:t>
      </w:r>
      <w:r>
        <w:rPr>
          <w:rFonts w:ascii="Times New Roman" w:hAnsi="Times New Roman" w:cs="Times New Roman"/>
          <w:sz w:val="24"/>
        </w:rPr>
        <w:t xml:space="preserve"> </w:t>
      </w:r>
      <w:r>
        <w:rPr>
          <w:rFonts w:ascii="Times New Roman" w:hAnsi="Times New Roman" w:cs="Times New Roman"/>
          <w:b/>
          <w:bCs/>
          <w:sz w:val="24"/>
        </w:rPr>
        <w:t>87</w:t>
      </w:r>
      <w:r>
        <w:rPr>
          <w:rFonts w:ascii="Times New Roman" w:hAnsi="Times New Roman" w:cs="Times New Roman"/>
          <w:sz w:val="24"/>
        </w:rPr>
        <w:t>, 56 (2024).</w:t>
      </w:r>
    </w:p>
    <w:p w14:paraId="035BA083" w14:textId="77777777" w:rsidR="0037559F" w:rsidRDefault="00000000">
      <w:pPr>
        <w:pStyle w:val="13"/>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t xml:space="preserve">Corral López, R. </w:t>
      </w:r>
      <w:r>
        <w:rPr>
          <w:rFonts w:ascii="Times New Roman" w:hAnsi="Times New Roman" w:cs="Times New Roman"/>
          <w:i/>
          <w:iCs/>
          <w:sz w:val="24"/>
        </w:rPr>
        <w:t>et al.</w:t>
      </w:r>
      <w:r>
        <w:rPr>
          <w:rFonts w:ascii="Times New Roman" w:hAnsi="Times New Roman" w:cs="Times New Roman"/>
          <w:sz w:val="24"/>
        </w:rPr>
        <w:t xml:space="preserve"> Imbalance in gut microbial interactions as a marker of health and disease. </w:t>
      </w:r>
      <w:r>
        <w:rPr>
          <w:rFonts w:ascii="Times New Roman" w:hAnsi="Times New Roman" w:cs="Times New Roman"/>
          <w:i/>
          <w:iCs/>
          <w:sz w:val="24"/>
        </w:rPr>
        <w:t>Science</w:t>
      </w:r>
      <w:r>
        <w:rPr>
          <w:rFonts w:ascii="Times New Roman" w:hAnsi="Times New Roman" w:cs="Times New Roman"/>
          <w:sz w:val="24"/>
        </w:rPr>
        <w:t xml:space="preserve"> </w:t>
      </w:r>
      <w:r>
        <w:rPr>
          <w:rFonts w:ascii="Times New Roman" w:hAnsi="Times New Roman" w:cs="Times New Roman"/>
          <w:b/>
          <w:bCs/>
          <w:sz w:val="24"/>
        </w:rPr>
        <w:t>391</w:t>
      </w:r>
      <w:r>
        <w:rPr>
          <w:rFonts w:ascii="Times New Roman" w:hAnsi="Times New Roman" w:cs="Times New Roman"/>
          <w:sz w:val="24"/>
        </w:rPr>
        <w:t>, 890–895 (2026).</w:t>
      </w:r>
    </w:p>
    <w:p w14:paraId="6D29627B" w14:textId="77777777" w:rsidR="0037559F" w:rsidRDefault="00000000">
      <w:pPr>
        <w:pStyle w:val="13"/>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ab/>
        <w:t xml:space="preserve">Zélé, F., Magalhães, S., Kéfi, S. &amp; Duncan, A. B. Ecology and evolution of facilitation among symbionts. </w:t>
      </w:r>
      <w:r>
        <w:rPr>
          <w:rFonts w:ascii="Times New Roman" w:hAnsi="Times New Roman" w:cs="Times New Roman"/>
          <w:i/>
          <w:iCs/>
          <w:sz w:val="24"/>
        </w:rPr>
        <w:t>Nat Commun</w:t>
      </w:r>
      <w:r>
        <w:rPr>
          <w:rFonts w:ascii="Times New Roman" w:hAnsi="Times New Roman" w:cs="Times New Roman"/>
          <w:sz w:val="24"/>
        </w:rPr>
        <w:t xml:space="preserve"> </w:t>
      </w:r>
      <w:r>
        <w:rPr>
          <w:rFonts w:ascii="Times New Roman" w:hAnsi="Times New Roman" w:cs="Times New Roman"/>
          <w:b/>
          <w:bCs/>
          <w:sz w:val="24"/>
        </w:rPr>
        <w:t>9</w:t>
      </w:r>
      <w:r>
        <w:rPr>
          <w:rFonts w:ascii="Times New Roman" w:hAnsi="Times New Roman" w:cs="Times New Roman"/>
          <w:sz w:val="24"/>
        </w:rPr>
        <w:t>, 4869 (2018).</w:t>
      </w:r>
    </w:p>
    <w:p w14:paraId="67B3FEEB" w14:textId="37C545A5" w:rsidR="0037559F" w:rsidRDefault="00000000">
      <w:pPr>
        <w:spacing w:line="360" w:lineRule="auto"/>
        <w:rPr>
          <w:rFonts w:ascii="Times New Roman" w:hAnsi="Times New Roman" w:cs="Times New Roman"/>
          <w:sz w:val="24"/>
        </w:rPr>
      </w:pPr>
      <w:r>
        <w:rPr>
          <w:rFonts w:ascii="Times New Roman" w:hAnsi="Times New Roman" w:cs="Times New Roman"/>
          <w:sz w:val="24"/>
        </w:rPr>
        <w:fldChar w:fldCharType="end"/>
      </w:r>
    </w:p>
    <w:sectPr w:rsidR="0037559F" w:rsidSect="00F011B6">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352CA" w14:textId="77777777" w:rsidR="005C190A" w:rsidRDefault="005C190A">
      <w:pPr>
        <w:spacing w:line="240" w:lineRule="auto"/>
        <w:rPr>
          <w:rFonts w:hint="eastAsia"/>
        </w:rPr>
      </w:pPr>
      <w:r>
        <w:separator/>
      </w:r>
    </w:p>
  </w:endnote>
  <w:endnote w:type="continuationSeparator" w:id="0">
    <w:p w14:paraId="5B145FFF" w14:textId="77777777" w:rsidR="005C190A" w:rsidRDefault="005C190A">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707EA" w14:textId="77777777" w:rsidR="005C190A" w:rsidRDefault="005C190A">
      <w:pPr>
        <w:spacing w:after="0"/>
        <w:rPr>
          <w:rFonts w:hint="eastAsia"/>
        </w:rPr>
      </w:pPr>
      <w:r>
        <w:separator/>
      </w:r>
    </w:p>
  </w:footnote>
  <w:footnote w:type="continuationSeparator" w:id="0">
    <w:p w14:paraId="2ED6D790" w14:textId="77777777" w:rsidR="005C190A" w:rsidRDefault="005C190A">
      <w:pPr>
        <w:spacing w:after="0"/>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10"/>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C6B"/>
    <w:rsid w:val="00041897"/>
    <w:rsid w:val="000620A9"/>
    <w:rsid w:val="000F36D2"/>
    <w:rsid w:val="001F1C43"/>
    <w:rsid w:val="00293B22"/>
    <w:rsid w:val="00365F48"/>
    <w:rsid w:val="0037559F"/>
    <w:rsid w:val="003C1B89"/>
    <w:rsid w:val="00447759"/>
    <w:rsid w:val="004808CE"/>
    <w:rsid w:val="00496C6B"/>
    <w:rsid w:val="004F7B5A"/>
    <w:rsid w:val="005C190A"/>
    <w:rsid w:val="006A55E5"/>
    <w:rsid w:val="00972DE1"/>
    <w:rsid w:val="009D08FC"/>
    <w:rsid w:val="00C14192"/>
    <w:rsid w:val="00C34F71"/>
    <w:rsid w:val="00E632F4"/>
    <w:rsid w:val="00E94E21"/>
    <w:rsid w:val="00F011B6"/>
    <w:rsid w:val="072A5F85"/>
    <w:rsid w:val="172960BB"/>
    <w:rsid w:val="339C3413"/>
    <w:rsid w:val="46073FB5"/>
    <w:rsid w:val="4E921A3E"/>
    <w:rsid w:val="55D91F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C79B3"/>
  <w15:docId w15:val="{8CFFF759-FD23-41E1-8629-D7FFB41A1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rFonts w:asciiTheme="minorHAnsi" w:eastAsiaTheme="minorEastAsia" w:hAnsiTheme="minorHAnsi" w:cstheme="minorBidi"/>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5">
    <w:name w:val="Title"/>
    <w:basedOn w:val="a"/>
    <w:next w:val="a"/>
    <w:link w:val="a6"/>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6">
    <w:name w:val="标题 字符"/>
    <w:basedOn w:val="a0"/>
    <w:link w:val="a5"/>
    <w:uiPriority w:val="10"/>
    <w:qFormat/>
    <w:rPr>
      <w:rFonts w:asciiTheme="majorHAnsi" w:eastAsiaTheme="majorEastAsia" w:hAnsiTheme="majorHAnsi" w:cstheme="majorBidi"/>
      <w:spacing w:val="-10"/>
      <w:kern w:val="28"/>
      <w:sz w:val="56"/>
      <w:szCs w:val="56"/>
    </w:rPr>
  </w:style>
  <w:style w:type="character" w:customStyle="1" w:styleId="a4">
    <w:name w:val="副标题 字符"/>
    <w:basedOn w:val="a0"/>
    <w:link w:val="a3"/>
    <w:uiPriority w:val="11"/>
    <w:qFormat/>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pPr>
      <w:spacing w:before="160"/>
      <w:jc w:val="center"/>
    </w:pPr>
    <w:rPr>
      <w:i/>
      <w:iCs/>
      <w:color w:val="404040" w:themeColor="text1" w:themeTint="BF"/>
    </w:rPr>
  </w:style>
  <w:style w:type="character" w:customStyle="1" w:styleId="a8">
    <w:name w:val="引用 字符"/>
    <w:basedOn w:val="a0"/>
    <w:link w:val="a7"/>
    <w:uiPriority w:val="29"/>
    <w:qFormat/>
    <w:rPr>
      <w:i/>
      <w:iCs/>
      <w:color w:val="404040" w:themeColor="text1" w:themeTint="BF"/>
    </w:rPr>
  </w:style>
  <w:style w:type="paragraph" w:styleId="a9">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a">
    <w:name w:val="Intense Quote"/>
    <w:basedOn w:val="a"/>
    <w:next w:val="a"/>
    <w:link w:val="ab"/>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明显引用 字符"/>
    <w:basedOn w:val="a0"/>
    <w:link w:val="aa"/>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styleId="ac">
    <w:name w:val="Placeholder Text"/>
    <w:basedOn w:val="a0"/>
    <w:uiPriority w:val="99"/>
    <w:semiHidden/>
    <w:qFormat/>
    <w:rPr>
      <w:color w:val="666666"/>
    </w:rPr>
  </w:style>
  <w:style w:type="paragraph" w:customStyle="1" w:styleId="13">
    <w:name w:val="书目1"/>
    <w:basedOn w:val="a"/>
    <w:next w:val="a"/>
    <w:uiPriority w:val="37"/>
    <w:unhideWhenUsed/>
    <w:qFormat/>
    <w:pPr>
      <w:tabs>
        <w:tab w:val="left" w:pos="264"/>
      </w:tabs>
      <w:spacing w:after="0" w:line="480" w:lineRule="auto"/>
      <w:ind w:left="264" w:hanging="264"/>
    </w:pPr>
  </w:style>
  <w:style w:type="paragraph" w:customStyle="1" w:styleId="isselectedend">
    <w:name w:val="isselectedend"/>
    <w:basedOn w:val="a"/>
    <w:qFormat/>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d">
    <w:name w:val="line number"/>
    <w:basedOn w:val="a0"/>
    <w:uiPriority w:val="99"/>
    <w:semiHidden/>
    <w:unhideWhenUsed/>
    <w:rsid w:val="00F011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65F56-9A26-43CC-8D97-8D3232333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1495</Words>
  <Characters>8525</Characters>
  <Application>Microsoft Office Word</Application>
  <DocSecurity>0</DocSecurity>
  <Lines>71</Lines>
  <Paragraphs>19</Paragraphs>
  <ScaleCrop>false</ScaleCrop>
  <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Author</cp:lastModifiedBy>
  <cp:revision>5</cp:revision>
  <dcterms:created xsi:type="dcterms:W3CDTF">2026-04-16T07:57:00Z</dcterms:created>
  <dcterms:modified xsi:type="dcterms:W3CDTF">2026-07-14T06:45:00Z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eyJoZGlkIjoiYjU3ZTg3ZmNjYzIyNmZiM2YwMTE0MTg2YzRiZTVmYjUiLCJ1c2VySWQiOiIyODc4MzE0MDMifQ==</vt:lpwstr>
  </property>
  <property fmtid="{D5CDD505-2E9C-101B-9397-08002B2CF9AE}" pid="3" name="KSOProductBuildVer">
    <vt:lpwstr>2052-12.1.0.26895</vt:lpwstr>
  </property>
  <property fmtid="{D5CDD505-2E9C-101B-9397-08002B2CF9AE}" pid="4" name="ICV">
    <vt:lpwstr>E6FEBA45776841B3820DA45BDCF3813D_12</vt:lpwstr>
  </property>
  <property fmtid="{D5CDD505-2E9C-101B-9397-08002B2CF9AE}" pid="5" name="ZOTERO_PREF_1">
    <vt:lpwstr>&lt;data data-version="3" zotero-version="9.0.5"&gt;&lt;session id="znES7Bdc"/&gt;&lt;style id="http://www.zotero.org/styles/nature-communications" hasBibliography="1" bibliographyStyleHasBeenSet="1"/&gt;&lt;prefs&gt;&lt;pref name="fieldType" value="Field"/&gt;&lt;/prefs&gt;&lt;/data&gt;</vt:lpwstr>
  </property>
</Properties>
</file>