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Supplementary Information</w:t>
      </w:r>
    </w:p>
    <w:p>
      <w:pPr>
        <w:jc w:val="center"/>
      </w:pPr>
      <w:r>
        <w:rPr>
          <w:b/>
          <w:color w:val="2F75B5"/>
        </w:rPr>
        <w:t>Cross-edition stability and distribution of country-level differences in GLOBOCAN gallbladder cancer estimates</w:t>
      </w:r>
    </w:p>
    <w:p>
      <w:pPr>
        <w:jc w:val="center"/>
      </w:pPr>
      <w:r>
        <w:t>Yan Xu</w:t>
      </w:r>
      <w:r>
        <w:rPr>
          <w:vertAlign w:val="superscript"/>
        </w:rPr>
        <w:t>1*</w:t>
      </w:r>
      <w:r>
        <w:t xml:space="preserve">, </w:t>
      </w:r>
      <w:r>
        <w:t>Siming Xie</w:t>
      </w:r>
      <w:r>
        <w:rPr>
          <w:vertAlign w:val="superscript"/>
        </w:rPr>
        <w:t>1*</w:t>
      </w:r>
      <w:r>
        <w:t xml:space="preserve">, </w:t>
      </w:r>
      <w:r>
        <w:t>Wei Chen</w:t>
      </w:r>
      <w:r>
        <w:rPr>
          <w:vertAlign w:val="superscript"/>
        </w:rPr>
        <w:t>1</w:t>
      </w:r>
      <w:r>
        <w:t xml:space="preserve">, </w:t>
      </w:r>
      <w:r>
        <w:t>Chao Yin</w:t>
      </w:r>
      <w:r>
        <w:rPr>
          <w:vertAlign w:val="superscript"/>
        </w:rPr>
        <w:t>1</w:t>
      </w:r>
      <w:r>
        <w:t xml:space="preserve">, </w:t>
      </w:r>
      <w:r>
        <w:t>Xiaodong Lei</w:t>
      </w:r>
      <w:r>
        <w:rPr>
          <w:vertAlign w:val="superscript"/>
        </w:rPr>
        <w:t>1</w:t>
      </w:r>
      <w:r>
        <w:t xml:space="preserve">, </w:t>
      </w:r>
      <w:r>
        <w:t>Yiliang Liu</w:t>
      </w:r>
      <w:r>
        <w:rPr>
          <w:vertAlign w:val="superscript"/>
        </w:rPr>
        <w:t>2</w:t>
      </w:r>
      <w:r>
        <w:t xml:space="preserve">, </w:t>
      </w:r>
      <w:r>
        <w:t>Gang Mai</w:t>
      </w:r>
      <w:r>
        <w:rPr>
          <w:vertAlign w:val="superscript"/>
        </w:rPr>
        <w:t>1†</w:t>
      </w:r>
      <w:r>
        <w:t xml:space="preserve">, </w:t>
      </w:r>
      <w:r>
        <w:t>Hang Liu</w:t>
      </w:r>
      <w:r>
        <w:rPr>
          <w:vertAlign w:val="superscript"/>
        </w:rPr>
        <w:t>1†</w:t>
      </w:r>
    </w:p>
    <w:p>
      <w:pPr>
        <w:jc w:val="center"/>
      </w:pPr>
      <w:r>
        <w:rPr>
          <w:vertAlign w:val="superscript"/>
        </w:rPr>
        <w:t xml:space="preserve">1 </w:t>
      </w:r>
      <w:r>
        <w:t>People's Hospital of Deyang City, Deyang, China</w:t>
      </w:r>
    </w:p>
    <w:p>
      <w:pPr>
        <w:jc w:val="center"/>
      </w:pPr>
      <w:r>
        <w:rPr>
          <w:vertAlign w:val="superscript"/>
        </w:rPr>
        <w:t xml:space="preserve">2 </w:t>
      </w:r>
      <w:r>
        <w:t>Southwest Medical University, Luzhou, China</w:t>
      </w:r>
    </w:p>
    <w:p>
      <w:pPr>
        <w:jc w:val="center"/>
      </w:pPr>
      <w:r>
        <w:rPr>
          <w:i/>
        </w:rPr>
        <w:t>*Co-first authors. †Co-corresponding authors: Gang Mai (maigang68@hotmail.com; ORCID: 0000-0002-5843-2821) and Hang Liu (liuhanghoney@163.com).</w:t>
      </w:r>
    </w:p>
    <w:p>
      <w:pPr>
        <w:pStyle w:val="Heading1"/>
      </w:pPr>
      <w:r>
        <w:t>Supplementary methods</w:t>
      </w:r>
    </w:p>
    <w:p>
      <w:r>
        <w:t>All analyses read only data/master_gbc_c23_gco2022_2024.csv. PROTOCOL.md and four dated amendments distinguish prespecified from post-results analyses. Amendment 3 narrowed the submission scope; Amendment 4 expanded mean-dependence diagnostics across offsets and positive-rate restrictions and clarified finite-country interpretation. Archived ecological association analyses are not part of the active submission package.</w:t>
      </w:r>
    </w:p>
    <w:p>
      <w:r>
        <w:t>The 185 paired countries are treated as the finite analytical population shared by both editions. Country bootstraps and subregion-block bootstraps are descriptive reweighting-stability analyses under hypothetical resampling. They are not population-sampling confidence intervals and do not quantify uncertainty in individual IARC national estimates.</w:t>
      </w:r>
    </w:p>
    <w:p>
      <w:pPr>
        <w:ind w:left="0" w:right="0" w:firstLine="0"/>
      </w:pPr>
      <w:r>
        <w:rPr>
          <w:b/>
          <w:color w:val="17365D"/>
        </w:rPr>
        <w:t>Supplementary Table S1. Scale and offset sensitivity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Offset</w:t>
            </w:r>
          </w:p>
        </w:tc>
        <w:tc>
          <w:tcPr>
            <w:tcW w:type="dxa" w:w="1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Log CCC (95% interval)</w:t>
            </w:r>
          </w:p>
        </w:tc>
        <w:tc>
          <w:tcPr>
            <w:tcW w:type="dxa" w:w="1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Mean difference (95% interval)</w:t>
            </w:r>
          </w:p>
        </w:tc>
        <w:tc>
          <w:tcPr>
            <w:tcW w:type="dxa" w:w="1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Conventional LoA</w:t>
            </w:r>
          </w:p>
        </w:tc>
        <w:tc>
          <w:tcPr>
            <w:tcW w:type="dxa" w:w="1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Empirical limits</w:t>
            </w:r>
          </w:p>
        </w:tc>
      </w:tr>
      <w:tr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0.627 (0.460 to 0.764)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-0.022 (-0.185 to 0.128)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-2.190 to 2.145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-2.712 to 2.933</w:t>
            </w:r>
          </w:p>
        </w:tc>
      </w:tr>
      <w:tr>
        <w:tc>
          <w:tcPr>
            <w:tcW w:type="dxa" w:w="1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0.727 (0.600 to 0.823)</w:t>
            </w:r>
          </w:p>
        </w:tc>
        <w:tc>
          <w:tcPr>
            <w:tcW w:type="dxa" w:w="1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-0.031 (-0.119 to 0.052)</w:t>
            </w:r>
          </w:p>
        </w:tc>
        <w:tc>
          <w:tcPr>
            <w:tcW w:type="dxa" w:w="1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-1.212 to 1.149</w:t>
            </w:r>
          </w:p>
        </w:tc>
        <w:tc>
          <w:tcPr>
            <w:tcW w:type="dxa" w:w="1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-1.559 to 1.204</w:t>
            </w:r>
          </w:p>
        </w:tc>
      </w:tr>
      <w:tr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0.787 (0.671 to 0.867)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-0.026 (-0.074 to 0.018)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-0.640 to 0.588</w:t>
            </w:r>
          </w:p>
        </w:tc>
        <w:tc>
          <w:tcPr>
            <w:tcW w:type="dxa" w:w="1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-0.665 to 0.569</w:t>
            </w:r>
          </w:p>
        </w:tc>
      </w:tr>
    </w:tbl>
    <w:p>
      <w:r>
        <w:rPr>
          <w:i/>
          <w:sz w:val="16"/>
        </w:rPr>
        <w:t>CCC, concordance correlation coefficient; LoA columns are conventional difference-distribution reference limits. Intervals use 2,000 hypothetical paired-country reweighting samples.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S2. Geographic robustness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Scenario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Spearman rho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Raw CCC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Log CCC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Mean difference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Conventional LoA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Full sample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0.738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0.885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0.727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-0.031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-1.212 to 1.149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Exclude Africa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131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0.736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0.897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0.748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-0.089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-1.108 to 0.931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Exclude Asia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138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0.734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0.916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0.699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0.010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-1.230 to 1.251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Exclude Europe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145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0.717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0.884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0.724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-0.031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-1.327 to 1.265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Exclude Latin America and the Caribbean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153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0.726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0.785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0.714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-0.004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-1.183 to 1.175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Exclude Northern America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183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0.738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0.885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0.727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-0.032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-1.219 to 1.154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Exclude Oceania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0.763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0.896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0.739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-0.044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-1.178 to 1.090</w:t>
            </w:r>
          </w:p>
        </w:tc>
      </w:tr>
    </w:tbl>
    <w:p>
      <w:r>
        <w:rPr>
          <w:i/>
          <w:sz w:val="16"/>
        </w:rPr>
        <w:t>Full-sample subregion-block intervals were 0.633 to 0.814 for rho and 0.606 to 0.813 for log CCC.</w:t>
      </w:r>
    </w:p>
    <w:p>
      <w:pPr>
        <w:ind w:left="0" w:right="0" w:firstLine="0"/>
      </w:pPr>
      <w:r>
        <w:rPr>
          <w:b/>
          <w:color w:val="17365D"/>
        </w:rPr>
        <w:t>Supplementary Table S3. Mean-dependence and residual-dispersion sensitivity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Offset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Population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OLS slope (HC3 95% CI)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Mean vs difference rho (P)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Mean vs absolute residual rho (P)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-0.059 (-0.275 to 0.156)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0.589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-0.107 (0.148)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-0.354 (&lt;0.001)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-0.077 (-0.246 to 0.093)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0.376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-0.110 (0.157)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-0.216 (0.005)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-0.055 (-0.173 to 0.063)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0.362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-0.115 (0.118)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-0.214 (0.003)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-0.069 (-0.168 to 0.029)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0.169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-0.123 (0.114)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-0.120 (0.121)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-0.061 (-0.141 to 0.020)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0.139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-0.128 (0.083)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0.021 (0.781)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-0.072 (-0.151 to 0.006)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0.072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-0.146 (0.060)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0.086 (0.269)</w:t>
            </w:r>
          </w:p>
        </w:tc>
      </w:tr>
    </w:tbl>
    <w:p>
      <w:r>
        <w:rPr>
          <w:i/>
          <w:sz w:val="16"/>
        </w:rPr>
        <w:t>The OLS outcome is signed 2024-minus-2022 log difference. Absolute residuals derive from that model. P values are exploratory diagnostics; the dispersion pattern is not stable across specifications.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S4. Method-transition descriptive sensitivity (part 1 of 2)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66"/>
        <w:gridCol w:w="1666"/>
        <w:gridCol w:w="1666"/>
        <w:gridCol w:w="1666"/>
        <w:gridCol w:w="1666"/>
        <w:gridCol w:w="1666"/>
      </w:tblGrid>
      <w:tr>
        <w:trPr>
          <w:tblHeader w:val="true"/>
        </w:trPr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Offset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Population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Group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Median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IQR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 unchanged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0.167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0.070 to 0.374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26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0.426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0.171 to 0.646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68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0.351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0.126 to 0.877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Any method change (combined descriptive group)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94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0.375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0.128 to 0.845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 unchanged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88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0.155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0.069 to 0.337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23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0.300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0.144 to 0.548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56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0.329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0.138 to 0.729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Any method change (combined descriptive group)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79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0.325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0.136 to 0.650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 unchanged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0.137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0.059 to 0.334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26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0.283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0.129 to 0.520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68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0.312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0.104 to 0.676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Any method change (combined descriptive group)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94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0.288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0.110 to 0.601</w:t>
            </w:r>
          </w:p>
        </w:tc>
      </w:tr>
    </w:tbl>
    <w:p>
      <w:r>
        <w:rPr>
          <w:i/>
          <w:sz w:val="16"/>
        </w:rPr>
        <w:t>The any-change row overlaps the two transition subgroups and is descriptive.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S4. Method-transition descriptive sensitivity (part 2 of 2)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66"/>
        <w:gridCol w:w="1666"/>
        <w:gridCol w:w="1666"/>
        <w:gridCol w:w="1666"/>
        <w:gridCol w:w="1666"/>
        <w:gridCol w:w="1666"/>
      </w:tblGrid>
      <w:tr>
        <w:trPr>
          <w:tblHeader w:val="true"/>
        </w:trPr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Offset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Population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Group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Median</w:t>
            </w:r>
          </w:p>
        </w:tc>
        <w:tc>
          <w:tcPr>
            <w:tcW w:type="dxa" w:w="1666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IQR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 unchanged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88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0.135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0.058 to 0.291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23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0.243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0.115 to 0.372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56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0.285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0.117 to 0.596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Any method change (combined descriptive group)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79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0.279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0.117 to 0.542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 unchanged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91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0.099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0.035 to 0.212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26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0.146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0.073 to 0.209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68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0.207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0.069 to 0.371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Any method change (combined descriptive group)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94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0.175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0.071 to 0.348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Method unchanged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88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0.094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0.034 to 0.194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23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0.122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0.064 to 0.187</w:t>
            </w:r>
          </w:p>
        </w:tc>
      </w:tr>
      <w:tr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56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0.207</w:t>
            </w:r>
          </w:p>
        </w:tc>
        <w:tc>
          <w:tcPr>
            <w:tcW w:type="dxa" w:w="166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0.074 to 0.357</w:t>
            </w:r>
          </w:p>
        </w:tc>
      </w:tr>
      <w:tr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Any method change (combined descriptive group)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79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0.175</w:t>
            </w:r>
          </w:p>
        </w:tc>
        <w:tc>
          <w:tcPr>
            <w:tcW w:type="dxa" w:w="1666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0.072 to 0.333</w:t>
            </w:r>
          </w:p>
        </w:tc>
      </w:tr>
    </w:tbl>
    <w:p>
      <w:r>
        <w:rPr>
          <w:i/>
          <w:sz w:val="16"/>
        </w:rPr>
        <w:t>The any-change row overlaps the two transition subgroups and is descriptive.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S5. Adjusted method-transition models (part 1 of 2)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Offset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Population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Model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Contrast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b (95% CI)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HC3 P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0.041 (-0.348 to 0.430)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0.837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0.148 (-0.148 to 0.444)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0.328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-0.050 (-0.196 to 0.097)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0.506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0.01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160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0.092 (-0.034 to 0.218)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0.154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-0.028 (-0.211 to 0.156)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0.767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0.077 (-0.081 to 0.235)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0.342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-0.046 (-0.165 to 0.074)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0.454</w:t>
            </w:r>
          </w:p>
        </w:tc>
      </w:tr>
    </w:tbl>
    <w:p>
      <w:r>
        <w:rPr>
          <w:i/>
          <w:sz w:val="16"/>
        </w:rPr>
        <w:t>Outcome is absolute log difference. Contrasts are exploratory and not causal.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S5. Adjusted method-transition models (part 2 of 2)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Offset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Population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Model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Contrast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N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b (95% CI)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HC3 P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0.065 (-0.031 to 0.160)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0.183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-0.034 (-0.125 to 0.057)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0.465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0.041 (-0.042 to 0.123)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0.334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160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-0.034 (-0.113 to 0.045)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0.397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positive ASR in both editions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HDI and continent adjusted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160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0.039 (-0.022 to 0.101)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0.211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plus mean log rate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within methods 1/2a/2b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-0.048 (-0.232 to 0.135)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0.605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0.1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all countries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plus mean log rate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Changed involving another method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0.076 (-0.084 to 0.235)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0.353</w:t>
            </w:r>
          </w:p>
        </w:tc>
      </w:tr>
    </w:tbl>
    <w:p>
      <w:r>
        <w:rPr>
          <w:i/>
          <w:sz w:val="16"/>
        </w:rPr>
        <w:t>Outcome is absolute log difference. Contrasts are exploratory and not causal.</w:t>
      </w:r>
    </w:p>
    <w:p>
      <w:pPr>
        <w:ind w:left="0" w:right="0" w:firstLine="0"/>
      </w:pPr>
      <w:r>
        <w:rPr>
          <w:b/>
          <w:color w:val="17365D"/>
        </w:rPr>
        <w:t>Supplementary Table S6. Analytic completeness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49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variable</w:t>
            </w:r>
          </w:p>
        </w:tc>
        <w:tc>
          <w:tcPr>
            <w:tcW w:type="dxa" w:w="249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available n</w:t>
            </w:r>
          </w:p>
        </w:tc>
        <w:tc>
          <w:tcPr>
            <w:tcW w:type="dxa" w:w="249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missing n</w:t>
            </w:r>
          </w:p>
        </w:tc>
        <w:tc>
          <w:tcPr>
            <w:tcW w:type="dxa" w:w="249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missing pct</w:t>
            </w:r>
          </w:p>
        </w:tc>
      </w:tr>
      <w:tr>
        <w:tc>
          <w:tcPr>
            <w:tcW w:type="dxa" w:w="249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hdi_2022</w:t>
            </w:r>
          </w:p>
        </w:tc>
        <w:tc>
          <w:tcPr>
            <w:tcW w:type="dxa" w:w="249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249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249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4.9</w:t>
            </w:r>
          </w:p>
        </w:tc>
      </w:tr>
      <w:tr>
        <w:tc>
          <w:tcPr>
            <w:tcW w:type="dxa" w:w="249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adjusted_method_model_complete_case</w:t>
            </w:r>
          </w:p>
        </w:tc>
        <w:tc>
          <w:tcPr>
            <w:tcW w:type="dxa" w:w="249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176</w:t>
            </w:r>
          </w:p>
        </w:tc>
        <w:tc>
          <w:tcPr>
            <w:tcW w:type="dxa" w:w="249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249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4.9</w:t>
            </w:r>
          </w:p>
        </w:tc>
      </w:tr>
    </w:tbl>
    <w:p>
      <w:r>
        <w:rPr>
          <w:i/>
          <w:sz w:val="16"/>
        </w:rPr>
        <w:t>No outcome or HDI values were imputed.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S7. Broad IARC incidence method-code descriptions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3331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code</w:t>
            </w:r>
          </w:p>
        </w:tc>
        <w:tc>
          <w:tcPr>
            <w:tcW w:type="dxa" w:w="3331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broad IARC description</w:t>
            </w:r>
          </w:p>
        </w:tc>
        <w:tc>
          <w:tcPr>
            <w:tcW w:type="dxa" w:w="3331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interpretation</w:t>
            </w:r>
          </w:p>
        </w:tc>
      </w:tr>
      <w:tr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Observed national or subnational incidence data covering more than 50% of the population, projected to the target year</w:t>
            </w:r>
          </w:p>
        </w:tc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Broad method family only; the same code across editions does not establish identical inputs or implementation.</w:t>
            </w:r>
          </w:p>
        </w:tc>
      </w:tr>
      <w:tr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Most recent rates from one registry applied to the national population</w:t>
            </w:r>
          </w:p>
        </w:tc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Broad method family only; the same code across editions does not establish identical inputs or implementation.</w:t>
            </w:r>
          </w:p>
        </w:tc>
      </w:tr>
      <w:tr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2b</w:t>
            </w:r>
          </w:p>
        </w:tc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Weighted or simple average of recent rates from multiple subnational registries</w:t>
            </w:r>
          </w:p>
        </w:tc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Broad method family only; the same code across editions does not establish identical inputs or implementation.</w:t>
            </w:r>
          </w:p>
        </w:tc>
      </w:tr>
      <w:tr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3a/3b/3c</w:t>
            </w:r>
          </w:p>
        </w:tc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Incidence derived through mortality-to-incidence or survival modelling</w:t>
            </w:r>
          </w:p>
        </w:tc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Broad method family only; the same code across editions does not establish identical inputs or implementation.</w:t>
            </w:r>
          </w:p>
        </w:tc>
      </w:tr>
      <w:tr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Neighbouring-country all-cancer rates partitioned using site-specific relative frequency</w:t>
            </w:r>
          </w:p>
        </w:tc>
        <w:tc>
          <w:tcPr>
            <w:tcW w:type="dxa" w:w="3331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Broad method family only; the same code across editions does not establish identical inputs or implementation.</w:t>
            </w:r>
          </w:p>
        </w:tc>
      </w:tr>
      <w:tr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Neighbouring-country proxy rates</w:t>
            </w:r>
          </w:p>
        </w:tc>
        <w:tc>
          <w:tcPr>
            <w:tcW w:type="dxa" w:w="3331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Broad method family only; the same code across editions does not establish identical inputs or implementation.</w:t>
            </w:r>
          </w:p>
        </w:tc>
      </w:tr>
    </w:tbl>
    <w:p>
      <w:r>
        <w:rPr>
          <w:i/>
          <w:sz w:val="16"/>
        </w:rPr>
        <w:t>Descriptions are broad method families. Same-code observations across editions do not establish identical inputs or implementation.</w:t>
      </w:r>
    </w:p>
    <w:p>
      <w:pPr>
        <w:ind w:left="0" w:right="0" w:firstLine="0"/>
      </w:pPr>
      <w:r>
        <w:rPr>
          <w:b/>
          <w:color w:val="17365D"/>
        </w:rPr>
        <w:t>Supplementary Table S8. Incidence-method transition matrix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</w:tblGrid>
      <w:tr>
        <w:trPr>
          <w:tblHeader w:val="true"/>
        </w:trPr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incidence 2022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2a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2b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3a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3b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3c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type="dxa" w:w="999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All</w:t>
            </w:r>
          </w:p>
        </w:tc>
      </w:tr>
      <w:tr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35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55</w:t>
            </w:r>
          </w:p>
        </w:tc>
      </w:tr>
      <w:tr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13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22</w:t>
            </w:r>
          </w:p>
        </w:tc>
      </w:tr>
      <w:tr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2b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15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</w:t>
            </w:r>
          </w:p>
        </w:tc>
      </w:tr>
      <w:tr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3a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</w:t>
            </w:r>
          </w:p>
        </w:tc>
      </w:tr>
      <w:tr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3b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8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</w:tr>
      <w:tr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3c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23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35</w:t>
            </w:r>
          </w:p>
        </w:tc>
      </w:tr>
      <w:tr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</w:tr>
      <w:tr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31</w:t>
            </w:r>
          </w:p>
        </w:tc>
        <w:tc>
          <w:tcPr>
            <w:tcW w:type="dxa" w:w="999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38</w:t>
            </w:r>
          </w:p>
        </w:tc>
      </w:tr>
      <w:tr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All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39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17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33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11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29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12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33</w:t>
            </w:r>
          </w:p>
        </w:tc>
        <w:tc>
          <w:tcPr>
            <w:tcW w:type="dxa" w:w="99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185</w:t>
            </w:r>
          </w:p>
        </w:tc>
      </w:tr>
    </w:tbl>
    <w:p>
      <w:r>
        <w:rPr>
          <w:i/>
          <w:sz w:val="16"/>
        </w:rPr>
        <w:t>Rows are 2022 codes and columns are 2024 codes; All denotes marginal totals.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S9. Largest absolute country differences (part 1 of 2)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Country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ISO3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ASR 2022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ASR 2024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Difference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2022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2024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Bangladesh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BGD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5.25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3.23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-2.02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Korea, Democratic People's Republic of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PRK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2.45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0.47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-1.98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Botswana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BWA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1.62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1.62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Myanmar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MMR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1.81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0.21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-1.60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2b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French Polynesia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PYF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1.95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-1.25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Vanuatu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VUT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0.00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0.99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0.99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Bhutan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BTN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1.90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2.87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0.97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Kenya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KEN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1.57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0.60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-0.97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2b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2b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Bolivia (Plurinational State of)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BOL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7.64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6.68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-0.96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Peru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PER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2.62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3.51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0.89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3a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Gaza Strip and West Bank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PSE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1.63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-0.84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Papua New Guinea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PNG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1.35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0.52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-0.83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Solomon Islands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SLB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1.14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</w:tbl>
    <w:p>
      <w:r>
        <w:rPr>
          <w:i/>
          <w:sz w:val="16"/>
        </w:rPr>
        <w:t>Differences are cross-edition discrepancies and must not be interpreted as incidence trends.</w:t>
      </w:r>
    </w:p>
    <w:p>
      <w:r>
        <w:br w:type="page"/>
      </w:r>
    </w:p>
    <w:p>
      <w:pPr>
        <w:ind w:left="0" w:right="0" w:firstLine="0"/>
      </w:pPr>
      <w:r>
        <w:rPr>
          <w:b/>
          <w:color w:val="17365D"/>
        </w:rPr>
        <w:t>Supplementary Table S9. Largest absolute country differences (part 2 of 2)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>
        <w:trPr>
          <w:tblHeader w:val="true"/>
        </w:trPr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Country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ISO3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ASR 2022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ASR 2024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Difference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2022</w:t>
            </w:r>
          </w:p>
        </w:tc>
        <w:tc>
          <w:tcPr>
            <w:tcW w:type="dxa" w:w="1428"/>
            <w:shd w:fill="17365D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Method 2024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Suriname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SUR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0.78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-0.78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Pakistan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PAK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1.77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1.04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-0.73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Bahamas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BHS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1.13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0.44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-0.69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Sao Tome and Principe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STP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0.00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-0.66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Rwanda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RWA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0.00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2b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Slovenia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SVN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1.22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1.83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Saudi Arabia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SAU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0.72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1.32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Sudan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SDN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1.03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1.61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0.58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Egypt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EGY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0.90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0.33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-0.57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2b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Yemen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YEM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0.11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0.68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0.57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5</w:t>
            </w:r>
          </w:p>
        </w:tc>
      </w:tr>
      <w:tr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Mongolia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MNG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0.44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0.99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0.55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4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3c</w:t>
            </w:r>
          </w:p>
        </w:tc>
      </w:tr>
      <w:tr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left"/>
            </w:pPr>
            <w:r>
              <w:rPr>
                <w:rFonts w:ascii="Arial" w:hAnsi="Arial"/>
                <w:sz w:val="15"/>
              </w:rPr>
              <w:t>Côte d'Ivoire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CIV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0.61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1.16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0.55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type="dxa" w:w="1428"/>
            <w:shd w:fill="F2F2F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15"/>
              </w:rPr>
              <w:t>4</w:t>
            </w:r>
          </w:p>
        </w:tc>
      </w:tr>
    </w:tbl>
    <w:p>
      <w:r>
        <w:rPr>
          <w:i/>
          <w:sz w:val="16"/>
        </w:rPr>
        <w:t>Differences are cross-edition discrepancies and must not be interpreted as incidence trends.</w:t>
      </w:r>
    </w:p>
    <w:p>
      <w:r>
        <w:br w:type="page"/>
      </w:r>
    </w:p>
    <w:p>
      <w:pPr>
        <w:pStyle w:val="Heading1"/>
      </w:pPr>
      <w:r>
        <w:t>Supplementary figure legend</w:t>
      </w:r>
    </w:p>
    <w:p>
      <w:r>
        <w:t>Supplementary Figure S1. Countries with the largest absolute changes in C23 incidence ASR rank. Ranks were recomputed within the 185-country paired set.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46464"/>
        <w:sz w:val="16"/>
      </w:rPr>
      <w:t>Supplementary information: GLOBOCAN C23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Information: GLOBOCAN C23 cross-edition stability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