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STROBE Statement checklist</w:t>
      </w:r>
    </w:p>
    <w:p>
      <w:pPr>
        <w:jc w:val="center"/>
      </w:pPr>
      <w:r>
        <w:rPr>
          <w:b/>
          <w:color w:val="2F75B5"/>
        </w:rPr>
        <w:t>Cross-sectional study reporting map for the GLOBOCAN C23 cross-edition analysis</w:t>
      </w:r>
    </w:p>
    <w:p>
      <w:pPr>
        <w:jc w:val="center"/>
      </w:pPr>
      <w:r>
        <w:t>Yan Xu</w:t>
      </w:r>
      <w:r>
        <w:rPr>
          <w:vertAlign w:val="superscript"/>
        </w:rPr>
        <w:t>1*</w:t>
      </w:r>
      <w:r>
        <w:t xml:space="preserve">, </w:t>
      </w:r>
      <w:r>
        <w:t>Siming Xie</w:t>
      </w:r>
      <w:r>
        <w:rPr>
          <w:vertAlign w:val="superscript"/>
        </w:rPr>
        <w:t>1*</w:t>
      </w:r>
      <w:r>
        <w:t xml:space="preserve">, </w:t>
      </w:r>
      <w:r>
        <w:t>Wei Chen</w:t>
      </w:r>
      <w:r>
        <w:rPr>
          <w:vertAlign w:val="superscript"/>
        </w:rPr>
        <w:t>1</w:t>
      </w:r>
      <w:r>
        <w:t xml:space="preserve">, </w:t>
      </w:r>
      <w:r>
        <w:t>Chao Yin</w:t>
      </w:r>
      <w:r>
        <w:rPr>
          <w:vertAlign w:val="superscript"/>
        </w:rPr>
        <w:t>1</w:t>
      </w:r>
      <w:r>
        <w:t xml:space="preserve">, </w:t>
      </w:r>
      <w:r>
        <w:t>Xiaodong Lei</w:t>
      </w:r>
      <w:r>
        <w:rPr>
          <w:vertAlign w:val="superscript"/>
        </w:rPr>
        <w:t>1</w:t>
      </w:r>
      <w:r>
        <w:t xml:space="preserve">, </w:t>
      </w:r>
      <w:r>
        <w:t>Yiliang Liu</w:t>
      </w:r>
      <w:r>
        <w:rPr>
          <w:vertAlign w:val="superscript"/>
        </w:rPr>
        <w:t>2</w:t>
      </w:r>
      <w:r>
        <w:t xml:space="preserve">, </w:t>
      </w:r>
      <w:r>
        <w:t>Gang Mai</w:t>
      </w:r>
      <w:r>
        <w:rPr>
          <w:vertAlign w:val="superscript"/>
        </w:rPr>
        <w:t>1†</w:t>
      </w:r>
      <w:r>
        <w:t xml:space="preserve">, </w:t>
      </w:r>
      <w:r>
        <w:t>Hang Liu</w:t>
      </w:r>
      <w:r>
        <w:rPr>
          <w:vertAlign w:val="superscript"/>
        </w:rPr>
        <w:t>1†</w:t>
      </w:r>
    </w:p>
    <w:p>
      <w:pPr>
        <w:jc w:val="center"/>
      </w:pPr>
      <w:r>
        <w:rPr>
          <w:vertAlign w:val="superscript"/>
        </w:rPr>
        <w:t xml:space="preserve">1 </w:t>
      </w:r>
      <w:r>
        <w:t>People's Hospital of Deyang City, Deyang, China</w:t>
      </w:r>
    </w:p>
    <w:p>
      <w:pPr>
        <w:jc w:val="center"/>
      </w:pPr>
      <w:r>
        <w:rPr>
          <w:vertAlign w:val="superscript"/>
        </w:rPr>
        <w:t xml:space="preserve">2 </w:t>
      </w:r>
      <w:r>
        <w:t>Southwest Medical University, Luzhou, China</w:t>
      </w:r>
    </w:p>
    <w:p>
      <w:pPr>
        <w:jc w:val="center"/>
      </w:pPr>
      <w:r>
        <w:rPr>
          <w:i/>
        </w:rPr>
        <w:t>*Co-first authors. †Co-corresponding authors: Gang Mai (maigang68@hotmail.com; ORCID: 0000-0002-5843-2821) and Hang Liu (liuhanghoney@163.com).</w:t>
      </w:r>
    </w:p>
    <w:p>
      <w:pPr>
        <w:ind w:left="0" w:right="0" w:firstLine="0"/>
      </w:pPr>
      <w:r>
        <w:rPr>
          <w:b/>
          <w:color w:val="17365D"/>
        </w:rPr>
        <w:t>STROBE checklist for cross-sectional studies (part 1 of 3)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792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4680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Recommendation</w:t>
            </w:r>
          </w:p>
        </w:tc>
        <w:tc>
          <w:tcPr>
            <w:tcW w:type="dxa" w:w="381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Location in manuscript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1a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Indicate the study design in the title or abstract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Abstract, Methods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1b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Provide an informative and balanced abstract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Abstract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Explain the scientific background and rationale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Introduction, paragraphs 1-2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State specific objectives and prespecified hypotheses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Introduction, paragraph 3; Protocol and amendments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Present key elements of study design early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Study design and data authority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setting, locations, and relevant dates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Study design; Outcome and edition pairing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6a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eligibility criteria and sources and methods of selection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185/186 country ISO3 intersection; CUW excluded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7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Clearly define outcomes, exposures, predictors, confounders, and effect modifiers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Outcome; Exploratory method-transition analyses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data sources and measurement methods and describe comparability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Study design; Outcome and edition pairing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efforts to address potential sources of bias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Agreement analyses; Discussion: limitations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Explain how the study size was arrived at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all 185 countries in the ISO3 intersection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Explain handling and grouping of quantitative variables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Agreement and exploratory method-transition analyses</w:t>
            </w:r>
          </w:p>
        </w:tc>
      </w:tr>
    </w:tbl>
    <w:p>
      <w:r>
        <w:rPr>
          <w:i/>
          <w:sz w:val="16"/>
        </w:rPr>
        <w:t>Official recommendation wording is condensed only to fit the table; item numbering follows the official STROBE cross-sectional checklist. Countries are the analytical units.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STROBE checklist for cross-sectional studies (part 2 of 3)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792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4680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Recommendation</w:t>
            </w:r>
          </w:p>
        </w:tc>
        <w:tc>
          <w:tcPr>
            <w:tcW w:type="dxa" w:w="381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Location in manuscript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12a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statistical methods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Agreement analyses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12b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subgroup and interaction methods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geographic and method-transition sensitivity analyses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12c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Explain how missing data were addressed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Methods; Supplementary Table S6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12d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methods accounting for sampling strategy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Not applicable; country and subregion resampling described in Methods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12e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Describe sensitivity analyses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Methods; Supplementary Tables S1-S5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13a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Report numbers at each stage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185 countries in 2022, 186 in 2024, 185 paired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13b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reasons for non-participation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CUW present only in 2024 and excluded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13c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Consider a flow diagram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Not used; complete ISO3 intersection is reported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14a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characteristics of analytical units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Table 1; Supplementary Table S9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14b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Indicate missing data for each variable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Supplementary Table S6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Report outcome events or summary measures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Results; Table 1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16a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estimates and precision and state adjustments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Results; Tables 1-2; Supplementary Tables S1-S5</w:t>
            </w:r>
          </w:p>
        </w:tc>
      </w:tr>
    </w:tbl>
    <w:p>
      <w:r>
        <w:rPr>
          <w:i/>
          <w:sz w:val="16"/>
        </w:rPr>
        <w:t>Official recommendation wording is condensed only to fit the table; item numbering follows the official STROBE cross-sectional checklist. Countries are the analytical units.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STROBE checklist for cross-sectional studies (part 3 of 3)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792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4680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Recommendation</w:t>
            </w:r>
          </w:p>
        </w:tc>
        <w:tc>
          <w:tcPr>
            <w:tcW w:type="dxa" w:w="381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Location in manuscript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16b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Report category boundaries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Methods: three broad method-transition groups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16c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Translate relative risk into absolute risk if relevant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Not applicable; no risk model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Report other analyses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Results; Supplementary Tables S1-S5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18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Summarise key results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Discussion, paragraph 1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19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 limitations and potential bias or imprecision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Discussion, paragraph 4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20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a cautious overall interpretation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Discussion, paragraphs 1-5</w:t>
            </w:r>
          </w:p>
        </w:tc>
      </w:tr>
      <w:t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21</w:t>
            </w:r>
          </w:p>
        </w:tc>
        <w:tc>
          <w:tcPr>
            <w:tcW w:type="dxa" w:w="4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 generalisability</w:t>
            </w:r>
          </w:p>
        </w:tc>
        <w:tc>
          <w:tcPr>
            <w:tcW w:type="dxa" w:w="381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Discussion, paragraph 4</w:t>
            </w:r>
          </w:p>
        </w:tc>
      </w:tr>
      <w:tr>
        <w:tc>
          <w:tcPr>
            <w:tcW w:type="dxa" w:w="792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22</w:t>
            </w:r>
          </w:p>
        </w:tc>
        <w:tc>
          <w:tcPr>
            <w:tcW w:type="dxa" w:w="4680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Give funding source and funder role</w:t>
            </w:r>
          </w:p>
        </w:tc>
        <w:tc>
          <w:tcPr>
            <w:tcW w:type="dxa" w:w="381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Declarations: no specific funding</w:t>
            </w:r>
          </w:p>
        </w:tc>
      </w:tr>
    </w:tbl>
    <w:p>
      <w:r>
        <w:rPr>
          <w:i/>
          <w:sz w:val="16"/>
        </w:rPr>
        <w:t>Official recommendation wording is condensed only to fit the table; item numbering follows the official STROBE cross-sectional checklist. Countries are the analytical units.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46464"/>
        <w:sz w:val="16"/>
      </w:rPr>
      <w:t>STROBE checklist: GLOBOCAN C23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cross-sectional checklist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