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AB1B2" w14:textId="77777777" w:rsidR="00B33B77" w:rsidRPr="00B33B77" w:rsidRDefault="00B33B77" w:rsidP="00B33B77">
      <w:pPr>
        <w:rPr>
          <w:b/>
          <w:bCs/>
          <w:lang w:val="en-US"/>
        </w:rPr>
      </w:pPr>
      <w:r w:rsidRPr="00B33B77">
        <w:rPr>
          <w:b/>
          <w:bCs/>
          <w:lang w:val="en-US"/>
        </w:rPr>
        <w:t>Extended Data figure legends</w:t>
      </w:r>
    </w:p>
    <w:p w14:paraId="58FFB5E8" w14:textId="6E6D61A9" w:rsidR="00B33B77" w:rsidRPr="00B33B77" w:rsidRDefault="00B33B77" w:rsidP="00B33B77">
      <w:pPr>
        <w:rPr>
          <w:lang w:val="en-US"/>
        </w:rPr>
      </w:pPr>
      <w:r w:rsidRPr="00B33B77">
        <w:rPr>
          <w:bCs/>
          <w:lang w:val="en-US"/>
        </w:rPr>
        <w:drawing>
          <wp:inline distT="0" distB="0" distL="0" distR="0" wp14:anchorId="18589AFB" wp14:editId="32B1AA54">
            <wp:extent cx="5731510" cy="3855720"/>
            <wp:effectExtent l="0" t="0" r="2540" b="0"/>
            <wp:docPr id="788742072" name="Picture 10" descr="ExtendedDataFi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 descr="ExtendedDataFig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5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F2609E" w14:textId="77777777" w:rsidR="00B33B77" w:rsidRPr="00B33B77" w:rsidRDefault="00B33B77" w:rsidP="00B33B77">
      <w:pPr>
        <w:rPr>
          <w:lang w:val="en-US"/>
        </w:rPr>
      </w:pPr>
      <w:r w:rsidRPr="00B33B77">
        <w:rPr>
          <w:lang w:val="en-US"/>
        </w:rPr>
        <w:t>Extended Data Fig. 1 | Detrended MAT–NTL associations across the pan-Arctic. Pixel-wise Pearson correlations between detrended MAT and NTL residuals for 2000–2021. Red and blue denote positive and negative associations, respectively; black denotes weak association (|r|≤0.2). Insets show the Mackenzie Delta, southwestern Siberia and Denmark–southern Sweden. Correlation classes describe magnitude and do not denote formal statistical significance.</w:t>
      </w:r>
    </w:p>
    <w:p w14:paraId="41717759" w14:textId="3303265C" w:rsidR="00B33B77" w:rsidRPr="00B33B77" w:rsidRDefault="00B33B77" w:rsidP="00B33B77">
      <w:pPr>
        <w:rPr>
          <w:lang w:val="en-US"/>
        </w:rPr>
      </w:pPr>
      <w:r w:rsidRPr="00B33B77">
        <w:rPr>
          <w:bCs/>
          <w:lang w:val="en-US"/>
        </w:rPr>
        <w:lastRenderedPageBreak/>
        <w:drawing>
          <wp:inline distT="0" distB="0" distL="0" distR="0" wp14:anchorId="1A3E4582" wp14:editId="65B6D90D">
            <wp:extent cx="5731510" cy="3529965"/>
            <wp:effectExtent l="0" t="0" r="2540" b="0"/>
            <wp:docPr id="1333003245" name="Picture 9" descr="ExtendedDataFig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 descr="ExtendedDataFig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2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C6507" w14:textId="77777777" w:rsidR="00B33B77" w:rsidRPr="00B33B77" w:rsidRDefault="00B33B77" w:rsidP="00B33B77">
      <w:pPr>
        <w:rPr>
          <w:lang w:val="en-US"/>
        </w:rPr>
      </w:pPr>
      <w:r w:rsidRPr="00B33B77">
        <w:rPr>
          <w:lang w:val="en-US"/>
        </w:rPr>
        <w:t xml:space="preserve">Extended Data Fig. 2 | Temperature-freeze counterfactual estimates for cropland. a, Pan-Arctic and b–j, national observed cropland trajectories compared with trajectories in which post-2004 temperature terms are held at the 2000–2004 mean. Shading shows model-based 95% bootstrap intervals. Labels report </w:t>
      </w:r>
      <w:proofErr w:type="gramStart"/>
      <w:r w:rsidRPr="00B33B77">
        <w:rPr>
          <w:lang w:val="en-US"/>
        </w:rPr>
        <w:t>2021 point</w:t>
      </w:r>
      <w:proofErr w:type="gramEnd"/>
      <w:r w:rsidRPr="00B33B77">
        <w:rPr>
          <w:lang w:val="en-US"/>
        </w:rPr>
        <w:t xml:space="preserve"> estimates. Alaska and Greenland lack cropland observations.</w:t>
      </w:r>
    </w:p>
    <w:p w14:paraId="45BC9343" w14:textId="5EB22333" w:rsidR="00B33B77" w:rsidRPr="00B33B77" w:rsidRDefault="00B33B77" w:rsidP="00B33B77">
      <w:pPr>
        <w:rPr>
          <w:lang w:val="en-US"/>
        </w:rPr>
      </w:pPr>
      <w:r w:rsidRPr="00B33B77">
        <w:rPr>
          <w:bCs/>
          <w:lang w:val="en-US"/>
        </w:rPr>
        <w:drawing>
          <wp:inline distT="0" distB="0" distL="0" distR="0" wp14:anchorId="61FD5A26" wp14:editId="6633A110">
            <wp:extent cx="5731510" cy="3628390"/>
            <wp:effectExtent l="0" t="0" r="2540" b="0"/>
            <wp:docPr id="342990655" name="Picture 8" descr="ExtendedDataFig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 descr="ExtendedDataFig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62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6A4362" w14:textId="77777777" w:rsidR="00B33B77" w:rsidRPr="00B33B77" w:rsidRDefault="00B33B77" w:rsidP="00B33B77">
      <w:pPr>
        <w:rPr>
          <w:lang w:val="en-US"/>
        </w:rPr>
      </w:pPr>
      <w:r w:rsidRPr="00B33B77">
        <w:rPr>
          <w:lang w:val="en-US"/>
        </w:rPr>
        <w:lastRenderedPageBreak/>
        <w:t>Extended Data Fig. 3 | Temperature-freeze counterfactual estimates for ISA. a, Pan-Arctic and b–j, national observed ISA trajectories compared with temperature-freeze counterfactuals. Shading shows model-based 95% bootstrap intervals. Labels report point estimates and the proportion of bootstrap draws with the estimated sign. Negative point estimates in Alaska and Greenland are interpreted cautiously because the two-sided intervals overlap zero and Greenland uses a reduced specification.</w:t>
      </w:r>
    </w:p>
    <w:p w14:paraId="7DA802D4" w14:textId="77777777" w:rsidR="00B33B77" w:rsidRPr="00B33B77" w:rsidRDefault="00B33B77" w:rsidP="00B33B77">
      <w:pPr>
        <w:rPr>
          <w:lang w:val="en-US"/>
        </w:rPr>
      </w:pPr>
    </w:p>
    <w:p w14:paraId="31818583" w14:textId="14F82B95" w:rsidR="00B33B77" w:rsidRPr="00B33B77" w:rsidRDefault="00B33B77" w:rsidP="00B33B77">
      <w:pPr>
        <w:rPr>
          <w:lang w:val="en-US"/>
        </w:rPr>
      </w:pPr>
      <w:r w:rsidRPr="00B33B77">
        <w:rPr>
          <w:bCs/>
          <w:lang w:val="en-US"/>
        </w:rPr>
        <w:drawing>
          <wp:inline distT="0" distB="0" distL="0" distR="0" wp14:anchorId="4F786069" wp14:editId="0225261C">
            <wp:extent cx="5731510" cy="4944110"/>
            <wp:effectExtent l="0" t="0" r="2540" b="8890"/>
            <wp:docPr id="843058957" name="Picture 7" descr="ExtendedDataFig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 descr="ExtendedDataFig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94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EBCE3A" w14:textId="77777777" w:rsidR="00B33B77" w:rsidRPr="00B33B77" w:rsidRDefault="00B33B77" w:rsidP="00B33B77">
      <w:pPr>
        <w:rPr>
          <w:lang w:val="en-US"/>
        </w:rPr>
      </w:pPr>
      <w:r w:rsidRPr="00B33B77">
        <w:rPr>
          <w:lang w:val="en-US"/>
        </w:rPr>
        <w:t xml:space="preserve">Extended Data Fig. 4 | National-level sensitivity analyses for counterfactual attribution. </w:t>
      </w:r>
      <w:proofErr w:type="gramStart"/>
      <w:r w:rsidRPr="00B33B77">
        <w:rPr>
          <w:lang w:val="en-US"/>
        </w:rPr>
        <w:t>a,</w:t>
      </w:r>
      <w:proofErr w:type="gramEnd"/>
      <w:r w:rsidRPr="00B33B77">
        <w:rPr>
          <w:lang w:val="en-US"/>
        </w:rPr>
        <w:t xml:space="preserve"> Freeze-year sensitivity from 2001 to 2004. b, Specifications with no lag, lag 1, lag 2 and both lags. c, Leave-one-country-out estimates. d, Alternative baseline windows from 2000–2002 to 2000–2006. Whiskers show model-based 95% bootstrap intervals. These analyses evaluate specification sensitivity and are not formal placebo experiments.</w:t>
      </w:r>
    </w:p>
    <w:p w14:paraId="01536688" w14:textId="49A44F05" w:rsidR="00B33B77" w:rsidRPr="00B33B77" w:rsidRDefault="00B33B77" w:rsidP="00B33B77">
      <w:pPr>
        <w:rPr>
          <w:lang w:val="en-US"/>
        </w:rPr>
      </w:pPr>
      <w:r w:rsidRPr="00B33B77">
        <w:rPr>
          <w:bCs/>
          <w:lang w:val="en-US"/>
        </w:rPr>
        <w:lastRenderedPageBreak/>
        <w:drawing>
          <wp:inline distT="0" distB="0" distL="0" distR="0" wp14:anchorId="5817789B" wp14:editId="7CEBEE62">
            <wp:extent cx="5731510" cy="4963160"/>
            <wp:effectExtent l="0" t="0" r="2540" b="8890"/>
            <wp:docPr id="144354598" name="Picture 6" descr="ExtendedDataFig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 descr="ExtendedDataFig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96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91329D" w14:textId="77777777" w:rsidR="00B33B77" w:rsidRPr="00B33B77" w:rsidRDefault="00B33B77" w:rsidP="00B33B77">
      <w:pPr>
        <w:rPr>
          <w:lang w:val="en-US"/>
        </w:rPr>
      </w:pPr>
      <w:r w:rsidRPr="00B33B77">
        <w:rPr>
          <w:lang w:val="en-US"/>
        </w:rPr>
        <w:t xml:space="preserve">Extended Data Fig. 5 | Pixel-level counterfactual estimates and sensitivity analyses. a, ISA point estimates by baseline-temperature band; bubble area is proportional to the number of pixels and </w:t>
      </w:r>
      <w:proofErr w:type="spellStart"/>
      <w:r w:rsidRPr="00B33B77">
        <w:rPr>
          <w:lang w:val="en-US"/>
        </w:rPr>
        <w:t>colour</w:t>
      </w:r>
      <w:proofErr w:type="spellEnd"/>
      <w:r w:rsidRPr="00B33B77">
        <w:rPr>
          <w:lang w:val="en-US"/>
        </w:rPr>
        <w:t xml:space="preserve"> indicates baseline temperature. b, </w:t>
      </w:r>
      <w:proofErr w:type="gramStart"/>
      <w:r w:rsidRPr="00B33B77">
        <w:rPr>
          <w:lang w:val="en-US"/>
        </w:rPr>
        <w:t>Observed</w:t>
      </w:r>
      <w:proofErr w:type="gramEnd"/>
      <w:r w:rsidRPr="00B33B77">
        <w:rPr>
          <w:lang w:val="en-US"/>
        </w:rPr>
        <w:t xml:space="preserve"> versus counterfactual ISA in 2021 by temperature band, with the 1:1 line shown dashed. c, Temperature coefficients under alternative freeze years. d, Leave-one-spatial-block-out estimates. Error bars are model-based 95% intervals and do not fully account for fine-scale spatial dependence.</w:t>
      </w:r>
    </w:p>
    <w:p w14:paraId="035C35F2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B77"/>
    <w:rsid w:val="000932C4"/>
    <w:rsid w:val="00767E38"/>
    <w:rsid w:val="00866F7D"/>
    <w:rsid w:val="00B33B77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6BBC07"/>
  <w15:chartTrackingRefBased/>
  <w15:docId w15:val="{9C7AA437-246D-4058-9635-BE1859726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3B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3B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3B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3B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3B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3B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3B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3B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3B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3B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3B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3B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3B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3B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3B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3B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3B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3B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3B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3B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3B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3B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3B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3B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3B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3B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3B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3B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3B7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347</Words>
  <Characters>1982</Characters>
  <Application>Microsoft Office Word</Application>
  <DocSecurity>0</DocSecurity>
  <Lines>16</Lines>
  <Paragraphs>4</Paragraphs>
  <ScaleCrop>false</ScaleCrop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2026-08-18T07:25:00Z</dcterms:created>
  <dcterms:modified xsi:type="dcterms:W3CDTF">2026-08-18T07:25:00Z</dcterms:modified>
</cp:coreProperties>
</file>