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B13E4">
      <w:pPr>
        <w:spacing w:after="160"/>
        <w:jc w:val="center"/>
      </w:pPr>
      <w:r>
        <w:rPr>
          <w:rFonts w:ascii="Arial" w:hAnsi="Arial"/>
          <w:b/>
          <w:sz w:val="20"/>
        </w:rPr>
        <w:t>SUPPLEMENTARY INFORMATION</w:t>
      </w:r>
    </w:p>
    <w:p w14:paraId="636EBDBB">
      <w:pPr>
        <w:spacing w:after="280"/>
        <w:jc w:val="center"/>
      </w:pPr>
      <w:r>
        <w:rPr>
          <w:rFonts w:ascii="Arial" w:hAnsi="Arial"/>
          <w:b/>
          <w:sz w:val="36"/>
        </w:rPr>
        <w:t>Supplementary Information</w:t>
      </w:r>
    </w:p>
    <w:p w14:paraId="1C3F7822">
      <w:pPr>
        <w:spacing w:after="280"/>
        <w:jc w:val="center"/>
        <w:rPr>
          <w:sz w:val="21"/>
          <w:szCs w:val="20"/>
        </w:rPr>
      </w:pPr>
      <w:r>
        <w:rPr>
          <w:rFonts w:ascii="Arial" w:hAnsi="Arial"/>
          <w:b/>
          <w:sz w:val="28"/>
          <w:szCs w:val="20"/>
        </w:rPr>
        <w:t>Spatial differentiation of Arctic development in a warming climate</w:t>
      </w:r>
    </w:p>
    <w:p w14:paraId="54E40DE0">
      <w:pPr>
        <w:spacing w:after="80"/>
        <w:jc w:val="center"/>
      </w:pPr>
      <w:r>
        <w:rPr>
          <w:sz w:val="22"/>
        </w:rPr>
        <w:t>Hedong Wang</w:t>
      </w:r>
      <w:r>
        <w:rPr>
          <w:sz w:val="16"/>
          <w:vertAlign w:val="superscript"/>
        </w:rPr>
        <w:t>1</w:t>
      </w:r>
      <w:r>
        <w:t xml:space="preserve">, </w:t>
      </w:r>
      <w:r>
        <w:rPr>
          <w:sz w:val="22"/>
        </w:rPr>
        <w:t>Liangen Zeng</w:t>
      </w:r>
      <w:r>
        <w:rPr>
          <w:sz w:val="16"/>
          <w:vertAlign w:val="superscript"/>
        </w:rPr>
        <w:t>1,2,3*</w:t>
      </w:r>
      <w:r>
        <w:t xml:space="preserve">, </w:t>
      </w:r>
      <w:r>
        <w:rPr>
          <w:sz w:val="22"/>
        </w:rPr>
        <w:t>Tianyu Zeng</w:t>
      </w:r>
      <w:r>
        <w:rPr>
          <w:sz w:val="16"/>
          <w:vertAlign w:val="superscript"/>
        </w:rPr>
        <w:t>1</w:t>
      </w:r>
      <w:r>
        <w:t xml:space="preserve">, </w:t>
      </w:r>
      <w:r>
        <w:rPr>
          <w:sz w:val="22"/>
        </w:rPr>
        <w:t>Chengfeng He</w:t>
      </w:r>
      <w:r>
        <w:rPr>
          <w:sz w:val="16"/>
          <w:vertAlign w:val="superscript"/>
        </w:rPr>
        <w:t>1</w:t>
      </w:r>
      <w:r>
        <w:t xml:space="preserve">, </w:t>
      </w:r>
      <w:r>
        <w:rPr>
          <w:sz w:val="22"/>
        </w:rPr>
        <w:t>Jianbao Huang</w:t>
      </w:r>
      <w:r>
        <w:rPr>
          <w:sz w:val="16"/>
          <w:vertAlign w:val="superscript"/>
        </w:rPr>
        <w:t>1</w:t>
      </w:r>
      <w:r>
        <w:t xml:space="preserve">, </w:t>
      </w:r>
      <w:r>
        <w:rPr>
          <w:sz w:val="22"/>
        </w:rPr>
        <w:t>Di Shi</w:t>
      </w:r>
      <w:r>
        <w:rPr>
          <w:sz w:val="16"/>
          <w:vertAlign w:val="superscript"/>
        </w:rPr>
        <w:t>1</w:t>
      </w:r>
      <w:r>
        <w:t xml:space="preserve"> and </w:t>
      </w:r>
      <w:r>
        <w:rPr>
          <w:sz w:val="22"/>
        </w:rPr>
        <w:t>Bohan Zeng</w:t>
      </w:r>
      <w:r>
        <w:rPr>
          <w:sz w:val="16"/>
          <w:vertAlign w:val="superscript"/>
        </w:rPr>
        <w:t>1</w:t>
      </w:r>
    </w:p>
    <w:p w14:paraId="0AAF1065">
      <w:pPr>
        <w:spacing w:after="80"/>
        <w:jc w:val="center"/>
      </w:pPr>
      <w:r>
        <w:rPr>
          <w:sz w:val="16"/>
          <w:vertAlign w:val="superscript"/>
        </w:rPr>
        <w:t>1</w:t>
      </w:r>
      <w:r>
        <w:rPr>
          <w:sz w:val="20"/>
        </w:rPr>
        <w:t xml:space="preserve"> Department of Land Resource Management, School of Public Policy and Management, Guangxi University, Nanning, China</w:t>
      </w:r>
      <w:r>
        <w:br w:type="textWrapping"/>
      </w:r>
      <w:r>
        <w:rPr>
          <w:sz w:val="16"/>
          <w:vertAlign w:val="superscript"/>
        </w:rPr>
        <w:t>2</w:t>
      </w:r>
      <w:r>
        <w:rPr>
          <w:sz w:val="20"/>
        </w:rPr>
        <w:t xml:space="preserve"> Key Laboratory of Land Surface System and Human–Earth Relations, Ministry of Natural Resources, Nanning, China</w:t>
      </w:r>
      <w:r>
        <w:br w:type="textWrapping"/>
      </w:r>
      <w:r>
        <w:rPr>
          <w:sz w:val="16"/>
          <w:vertAlign w:val="superscript"/>
        </w:rPr>
        <w:t>3</w:t>
      </w:r>
      <w:r>
        <w:rPr>
          <w:sz w:val="20"/>
        </w:rPr>
        <w:t xml:space="preserve"> Regional Social Governance Innovation Research Center, School of Public Policy and Management, Guangxi University, Nanning, China</w:t>
      </w:r>
    </w:p>
    <w:p w14:paraId="0F925B28">
      <w:pPr>
        <w:spacing w:after="80"/>
        <w:jc w:val="center"/>
      </w:pPr>
      <w:r>
        <w:rPr>
          <w:sz w:val="22"/>
        </w:rPr>
        <w:t>Correspondence: Liangen Zeng (zengliangen@pku.edu.cn)</w:t>
      </w:r>
    </w:p>
    <w:p w14:paraId="2C307239">
      <w:pPr>
        <w:spacing w:before="240"/>
        <w:jc w:val="center"/>
      </w:pPr>
      <w:r>
        <w:rPr>
          <w:rFonts w:ascii="Times New Roman" w:hAnsi="Times New Roman"/>
          <w:sz w:val="20"/>
        </w:rPr>
        <w:t>Contains Supplementary Methods, Tables S1–S3, Supplementary Notes and Supplementary References</w:t>
      </w:r>
    </w:p>
    <w:p w14:paraId="6EBF76C4">
      <w:r>
        <w:br w:type="page"/>
      </w:r>
      <w:bookmarkStart w:id="0" w:name="_GoBack"/>
      <w:bookmarkEnd w:id="0"/>
    </w:p>
    <w:p w14:paraId="36154075">
      <w:pPr>
        <w:pStyle w:val="3"/>
        <w:keepNext/>
        <w:spacing w:before="240" w:after="80"/>
        <w:rPr>
          <w:color w:val="auto"/>
        </w:rPr>
      </w:pPr>
      <w:r>
        <w:rPr>
          <w:rFonts w:ascii="Times New Roman" w:hAnsi="Times New Roman"/>
          <w:color w:val="auto"/>
          <w:sz w:val="24"/>
        </w:rPr>
        <w:t>Contents</w:t>
      </w:r>
    </w:p>
    <w:p w14:paraId="74ED9157">
      <w:pPr>
        <w:pStyle w:val="19"/>
        <w:spacing w:after="40" w:line="240" w:lineRule="auto"/>
      </w:pPr>
      <w:r>
        <w:rPr>
          <w:rFonts w:ascii="Times New Roman" w:hAnsi="Times New Roman"/>
          <w:sz w:val="24"/>
        </w:rPr>
        <w:t>1. Supplementary Methods</w:t>
      </w:r>
    </w:p>
    <w:p w14:paraId="3FF0EBA5">
      <w:pPr>
        <w:pStyle w:val="19"/>
        <w:spacing w:after="40" w:line="240" w:lineRule="auto"/>
      </w:pPr>
      <w:r>
        <w:rPr>
          <w:rFonts w:ascii="Times New Roman" w:hAnsi="Times New Roman"/>
          <w:sz w:val="24"/>
        </w:rPr>
        <w:t>2. Supplementary Table 1: National counterfactual sensitivity analyses</w:t>
      </w:r>
    </w:p>
    <w:p w14:paraId="31300A61">
      <w:pPr>
        <w:pStyle w:val="19"/>
        <w:spacing w:after="40" w:line="240" w:lineRule="auto"/>
      </w:pPr>
      <w:r>
        <w:rPr>
          <w:rFonts w:ascii="Times New Roman" w:hAnsi="Times New Roman"/>
          <w:sz w:val="24"/>
        </w:rPr>
        <w:t>3. Supplementary Table 2: Detrended temperature–NTL association summaries</w:t>
      </w:r>
    </w:p>
    <w:p w14:paraId="5957E1F3">
      <w:pPr>
        <w:pStyle w:val="19"/>
        <w:spacing w:after="40" w:line="240" w:lineRule="auto"/>
      </w:pPr>
      <w:r>
        <w:rPr>
          <w:rFonts w:ascii="Times New Roman" w:hAnsi="Times New Roman"/>
          <w:sz w:val="24"/>
        </w:rPr>
        <w:t>4. Supplementary Table 3: Data sources and specifications</w:t>
      </w:r>
    </w:p>
    <w:p w14:paraId="57480570">
      <w:pPr>
        <w:pStyle w:val="19"/>
        <w:spacing w:after="40" w:line="240" w:lineRule="auto"/>
      </w:pPr>
      <w:r>
        <w:rPr>
          <w:rFonts w:ascii="Times New Roman" w:hAnsi="Times New Roman"/>
          <w:sz w:val="24"/>
        </w:rPr>
        <w:t>5. Supplementary Notes</w:t>
      </w:r>
    </w:p>
    <w:p w14:paraId="261A5CC0">
      <w:pPr>
        <w:pStyle w:val="19"/>
        <w:spacing w:after="40" w:line="240" w:lineRule="auto"/>
      </w:pPr>
      <w:r>
        <w:rPr>
          <w:rFonts w:ascii="Times New Roman" w:hAnsi="Times New Roman"/>
          <w:sz w:val="24"/>
        </w:rPr>
        <w:t>6. Supplementary References</w:t>
      </w:r>
    </w:p>
    <w:p w14:paraId="5B8B7434">
      <w:pPr>
        <w:pStyle w:val="3"/>
        <w:keepNext/>
        <w:spacing w:before="240" w:after="80"/>
        <w:rPr>
          <w:color w:val="auto"/>
        </w:rPr>
      </w:pPr>
      <w:r>
        <w:rPr>
          <w:rFonts w:ascii="Times New Roman" w:hAnsi="Times New Roman"/>
          <w:color w:val="auto"/>
          <w:sz w:val="24"/>
        </w:rPr>
        <w:t>1. Supplementary Methods</w:t>
      </w:r>
    </w:p>
    <w:p w14:paraId="610C658F">
      <w:pPr>
        <w:pStyle w:val="4"/>
        <w:keepNext/>
        <w:spacing w:before="160" w:after="80"/>
        <w:rPr>
          <w:color w:val="auto"/>
        </w:rPr>
      </w:pPr>
      <w:r>
        <w:rPr>
          <w:rFonts w:ascii="Times New Roman" w:hAnsi="Times New Roman"/>
          <w:color w:val="auto"/>
          <w:sz w:val="22"/>
        </w:rPr>
        <w:t>1.1 Detrended temperature–NTL associations</w:t>
      </w:r>
    </w:p>
    <w:p w14:paraId="1A66E6EC">
      <w:pPr>
        <w:pStyle w:val="19"/>
        <w:spacing w:after="120" w:line="360" w:lineRule="auto"/>
        <w:ind w:firstLine="420"/>
      </w:pPr>
      <w:r>
        <w:rPr>
          <w:rFonts w:ascii="Times New Roman" w:hAnsi="Times New Roman"/>
          <w:sz w:val="24"/>
        </w:rPr>
        <w:t>For each pixel i with continuous annual coverage from 2000 to 2021, MAT and NTL were separately detrended using Xₜ=α+βt+εₜ, where t=0,…,21. Pearson correlations between the residual series describe whether warmer-than-trend years coincided with higher or lower NTL than expected from its linear trend.</w:t>
      </w:r>
    </w:p>
    <w:p w14:paraId="6CF1A193">
      <w:pPr>
        <w:pStyle w:val="19"/>
        <w:spacing w:after="120" w:line="360" w:lineRule="auto"/>
        <w:ind w:firstLine="420"/>
      </w:pPr>
      <w:r>
        <w:rPr>
          <w:rFonts w:ascii="Times New Roman" w:hAnsi="Times New Roman"/>
          <w:sz w:val="24"/>
        </w:rPr>
        <w:t>Pixels were grouped into positive (r&gt;0.2), negative (r&lt;−0.2) and weak (|r|≤0.2) association classes. The |r|=0.2 boundary was selected as a practical effect-size threshold for a 22-year detrended record. It is not a hypothesis-test threshold, and the weak class should not be described as “non-significant”. Sensitivity checks using |r|=0.15 and 0.25 yielded similar broad spatial patterns.</w:t>
      </w:r>
    </w:p>
    <w:p w14:paraId="7D197B68">
      <w:pPr>
        <w:pStyle w:val="19"/>
        <w:spacing w:after="120" w:line="360" w:lineRule="auto"/>
        <w:ind w:firstLine="420"/>
      </w:pPr>
      <w:r>
        <w:rPr>
          <w:rFonts w:ascii="Times New Roman" w:hAnsi="Times New Roman"/>
          <w:sz w:val="24"/>
        </w:rPr>
        <w:t>Three regions were summarized for illustration: western Siberia (60–75° N, 60–90° E), the Mackenzie Delta (65–70° N, 130–140° W) and the Nordic comparison region (55–70° N, 5–30° E). These regions represent contrasting spatial patterns and were not selected as treatment and control groups.</w:t>
      </w:r>
    </w:p>
    <w:p w14:paraId="76C6D812">
      <w:pPr>
        <w:pStyle w:val="4"/>
        <w:keepNext/>
        <w:spacing w:before="160" w:after="80"/>
        <w:rPr>
          <w:color w:val="auto"/>
        </w:rPr>
      </w:pPr>
      <w:r>
        <w:rPr>
          <w:rFonts w:ascii="Times New Roman" w:hAnsi="Times New Roman"/>
          <w:color w:val="auto"/>
          <w:sz w:val="22"/>
        </w:rPr>
        <w:t>1.2 National temperature-freeze counterfactual</w:t>
      </w:r>
    </w:p>
    <w:p w14:paraId="6D1A7D12">
      <w:pPr>
        <w:pStyle w:val="19"/>
        <w:spacing w:after="120" w:line="360" w:lineRule="auto"/>
        <w:ind w:firstLine="420"/>
      </w:pPr>
      <w:r>
        <w:rPr>
          <w:rFonts w:ascii="Times New Roman" w:hAnsi="Times New Roman"/>
          <w:sz w:val="24"/>
        </w:rPr>
        <w:t>The national model used 9 analytical units and annual observations for 2000–2021, with the first year lost to log differencing. The specification included unit fixed effects, year fixed effects, unit-specific linear trends, and linear and quadratic MAT terms:</w:t>
      </w:r>
    </w:p>
    <w:p w14:paraId="4B75EBAA">
      <w:pPr>
        <w:spacing w:before="120" w:after="120"/>
        <w:jc w:val="center"/>
      </w:pPr>
      <w:r>
        <w:rPr>
          <w:rFonts w:ascii="Cambria Math" w:hAnsi="Cambria Math"/>
          <w:sz w:val="22"/>
        </w:rPr>
        <w:t>gᵢₜ = β₁Tempᵢₜ + β₂Temp²ᵢₜ + αᵢ + δₜ + θᵢt + εᵢₜ</w:t>
      </w:r>
    </w:p>
    <w:p w14:paraId="64E94066">
      <w:pPr>
        <w:pStyle w:val="19"/>
        <w:spacing w:after="120" w:line="360" w:lineRule="auto"/>
        <w:ind w:firstLine="420"/>
      </w:pPr>
      <w:r>
        <w:rPr>
          <w:rFonts w:ascii="Times New Roman" w:hAnsi="Times New Roman"/>
          <w:sz w:val="24"/>
        </w:rPr>
        <w:t>The identifying interpretation is conditional: after removing common shocks, time-invariant unit characteristics and unit-specific linear trends, remaining annual temperature variation is treated as plausibly external to annual activity growth.</w:t>
      </w:r>
      <w:r>
        <w:rPr>
          <w:rFonts w:ascii="Times New Roman" w:hAnsi="Times New Roman"/>
          <w:sz w:val="24"/>
          <w:vertAlign w:val="superscript"/>
        </w:rPr>
        <w:t>1,2</w:t>
      </w:r>
      <w:r>
        <w:rPr>
          <w:rFonts w:ascii="Times New Roman" w:hAnsi="Times New Roman"/>
          <w:sz w:val="24"/>
        </w:rPr>
        <w:t xml:space="preserve"> This assumption is common in climate-impact panels but does not eliminate confounding from nonlinear policies, commodity cycles, migration or measurement change. We therefore use the term model-based attribution rather than causal identification.</w:t>
      </w:r>
    </w:p>
    <w:p w14:paraId="3405722C">
      <w:pPr>
        <w:pStyle w:val="19"/>
        <w:spacing w:after="120" w:line="360" w:lineRule="auto"/>
        <w:ind w:firstLine="420"/>
        <w:rPr>
          <w:color w:val="auto"/>
        </w:rPr>
      </w:pPr>
      <w:r>
        <w:rPr>
          <w:rFonts w:ascii="Times New Roman" w:hAnsi="Times New Roman"/>
          <w:sz w:val="24"/>
        </w:rPr>
        <w:t xml:space="preserve">The 2000–2004 mean temperature for each unit was used as the frozen counterfactual value after 2004. Counterfactual levels were reconstructed by accumulating fitted growth differences. The resulting estimate depends on functional form, baseline choice and the </w:t>
      </w:r>
      <w:r>
        <w:rPr>
          <w:rFonts w:ascii="Times New Roman" w:hAnsi="Times New Roman"/>
          <w:color w:val="auto"/>
          <w:sz w:val="24"/>
        </w:rPr>
        <w:t>assumption that short-run temperature sensitivity can inform the accumulated counterfactual.</w:t>
      </w:r>
    </w:p>
    <w:p w14:paraId="261C757C">
      <w:pPr>
        <w:pStyle w:val="4"/>
        <w:keepNext/>
        <w:spacing w:before="160" w:after="80"/>
        <w:rPr>
          <w:color w:val="auto"/>
        </w:rPr>
      </w:pPr>
      <w:r>
        <w:rPr>
          <w:rFonts w:ascii="Times New Roman" w:hAnsi="Times New Roman"/>
          <w:color w:val="auto"/>
          <w:sz w:val="22"/>
        </w:rPr>
        <w:t>1.3 Bootstrap uncertainty</w:t>
      </w:r>
    </w:p>
    <w:p w14:paraId="1BFE4ECC">
      <w:pPr>
        <w:pStyle w:val="19"/>
        <w:spacing w:after="120" w:line="360" w:lineRule="auto"/>
        <w:ind w:firstLine="420"/>
      </w:pPr>
      <w:r>
        <w:rPr>
          <w:rFonts w:ascii="Times New Roman" w:hAnsi="Times New Roman"/>
          <w:sz w:val="24"/>
        </w:rPr>
        <w:t>We drew 1,000 pairs of (β₁,β₂) from a bivariate normal distribution centred on the fitted coefficients with the estimated covariance matrix. For each draw, the counterfactual trajectory and 2021 percentage difference were recomputed. The 2.5th and 97.5th percentiles define the reported model-based interval.</w:t>
      </w:r>
    </w:p>
    <w:p w14:paraId="0199A038">
      <w:pPr>
        <w:pStyle w:val="19"/>
        <w:spacing w:after="120" w:line="360" w:lineRule="auto"/>
        <w:ind w:firstLine="420"/>
      </w:pPr>
      <w:r>
        <w:rPr>
          <w:rFonts w:ascii="Times New Roman" w:hAnsi="Times New Roman"/>
          <w:sz w:val="24"/>
        </w:rPr>
        <w:t>For directional summaries, we report the proportion of draws above or below zero. For example, “92.3% of draws were negative” is a descriptive property of the bootstrap distribution and is not labelled as a one-sided P value. The bootstrap does not capture all uncertainty from serial correlation, spatial dependence, land-cover classification or model selection.</w:t>
      </w:r>
    </w:p>
    <w:p w14:paraId="54949BB2">
      <w:pPr>
        <w:pStyle w:val="4"/>
        <w:keepNext/>
        <w:spacing w:before="160" w:after="80"/>
        <w:rPr>
          <w:color w:val="auto"/>
        </w:rPr>
      </w:pPr>
      <w:r>
        <w:rPr>
          <w:rFonts w:ascii="Times New Roman" w:hAnsi="Times New Roman"/>
          <w:color w:val="auto"/>
          <w:sz w:val="22"/>
        </w:rPr>
        <w:t>1.4 Pixel-level panel implementation</w:t>
      </w:r>
    </w:p>
    <w:p w14:paraId="3AFAD122">
      <w:pPr>
        <w:pStyle w:val="19"/>
        <w:spacing w:after="120" w:line="360" w:lineRule="auto"/>
        <w:ind w:firstLine="420"/>
      </w:pPr>
      <w:r>
        <w:rPr>
          <w:rFonts w:ascii="Times New Roman" w:hAnsi="Times New Roman"/>
          <w:sz w:val="24"/>
        </w:rPr>
        <w:t>The pixel panel retained 1-km cells with ISA&gt;0 in at least one year and complete temperature coverage. Annual ISA log differences were missing when either adjacent year had zero ISA. Pixel and year effects were removed using within transformations following the Frisch–Waugh–Lovell principle.</w:t>
      </w:r>
      <w:r>
        <w:rPr>
          <w:rFonts w:ascii="Times New Roman" w:hAnsi="Times New Roman"/>
          <w:sz w:val="24"/>
          <w:vertAlign w:val="superscript"/>
        </w:rPr>
        <w:t>3,4</w:t>
      </w:r>
      <w:r>
        <w:rPr>
          <w:rFonts w:ascii="Times New Roman" w:hAnsi="Times New Roman"/>
          <w:sz w:val="24"/>
        </w:rPr>
        <w:t xml:space="preserve"> Because the panel is unbalanced and spatially correlated, the large record count should not be interpreted as an equivalent independent sample size. The pixel analysis is used primarily to assess the consistency of the temperature-band gradient.</w:t>
      </w:r>
    </w:p>
    <w:p w14:paraId="2338CD68">
      <w:pPr>
        <w:pStyle w:val="19"/>
        <w:spacing w:after="120" w:line="360" w:lineRule="auto"/>
        <w:ind w:firstLine="420"/>
      </w:pPr>
      <w:r>
        <w:rPr>
          <w:rFonts w:ascii="Times New Roman" w:hAnsi="Times New Roman"/>
          <w:sz w:val="24"/>
        </w:rPr>
        <w:t>The fitted model used linear and quadratic temperature terms. Counterfactual effects were aggregated within 2.5 °C baseline-temperature bands. Sensitivity analyses shifted the freeze year, varied the baseline window and omitted four broad spatial blocks in turn.</w:t>
      </w:r>
    </w:p>
    <w:p w14:paraId="70E3116E">
      <w:pPr>
        <w:pStyle w:val="4"/>
        <w:keepNext/>
        <w:spacing w:before="160" w:after="80"/>
        <w:rPr>
          <w:color w:val="auto"/>
        </w:rPr>
      </w:pPr>
      <w:r>
        <w:rPr>
          <w:rFonts w:ascii="Times New Roman" w:hAnsi="Times New Roman"/>
          <w:color w:val="auto"/>
          <w:sz w:val="22"/>
        </w:rPr>
        <w:t>1.5 Permafrost transition-band sensitivity</w:t>
      </w:r>
    </w:p>
    <w:p w14:paraId="0CB9E421">
      <w:pPr>
        <w:pStyle w:val="19"/>
        <w:spacing w:after="120" w:line="360" w:lineRule="auto"/>
        <w:ind w:firstLine="420"/>
      </w:pPr>
      <w:r>
        <w:rPr>
          <w:rFonts w:ascii="Times New Roman" w:hAnsi="Times New Roman"/>
          <w:sz w:val="24"/>
        </w:rPr>
        <w:t>The main comparison band, MAGT −2 to 0 °C, was selected from engineering literature describing enhanced sensitivity of warm permafrost near the freezing point.</w:t>
      </w:r>
      <w:r>
        <w:rPr>
          <w:rFonts w:ascii="Times New Roman" w:hAnsi="Times New Roman"/>
          <w:sz w:val="24"/>
          <w:vertAlign w:val="superscript"/>
        </w:rPr>
        <w:t>5,6</w:t>
      </w:r>
      <w:r>
        <w:rPr>
          <w:rFonts w:ascii="Times New Roman" w:hAnsi="Times New Roman"/>
          <w:sz w:val="24"/>
        </w:rPr>
        <w:t xml:space="preserve"> We additionally evaluated −2.5 to 0 °C and −2 to 0.5 °C. The regional ordering of mean ISA, NTL and cropland changes was unchanged across these definitions. This exercise demonstrates stability to moderate changes in band width but does not estimate a statistical change point.</w:t>
      </w:r>
    </w:p>
    <w:p w14:paraId="29B04D76">
      <w:pPr>
        <w:pStyle w:val="4"/>
        <w:keepNext/>
        <w:spacing w:before="160" w:after="80"/>
        <w:rPr>
          <w:color w:val="auto"/>
        </w:rPr>
      </w:pPr>
      <w:r>
        <w:rPr>
          <w:rFonts w:ascii="Times New Roman" w:hAnsi="Times New Roman"/>
          <w:color w:val="auto"/>
          <w:sz w:val="22"/>
        </w:rPr>
        <w:t>1.6 Air–ground temperature model</w:t>
      </w:r>
    </w:p>
    <w:p w14:paraId="2EEB8D04">
      <w:pPr>
        <w:pStyle w:val="19"/>
        <w:spacing w:after="120" w:line="360" w:lineRule="auto"/>
        <w:ind w:firstLine="420"/>
      </w:pPr>
      <w:r>
        <w:rPr>
          <w:rFonts w:ascii="Times New Roman" w:hAnsi="Times New Roman"/>
          <w:sz w:val="24"/>
        </w:rPr>
        <w:t>A generalized additive model was fitted in mgcv using thin-plate regression splines and REML smoothness selection.</w:t>
      </w:r>
      <w:r>
        <w:rPr>
          <w:rFonts w:ascii="Times New Roman" w:hAnsi="Times New Roman"/>
          <w:sz w:val="24"/>
          <w:vertAlign w:val="superscript"/>
        </w:rPr>
        <w:t>7</w:t>
      </w:r>
      <w:r>
        <w:rPr>
          <w:rFonts w:ascii="Times New Roman" w:hAnsi="Times New Roman"/>
          <w:sz w:val="24"/>
        </w:rPr>
        <w:t xml:space="preserve"> More than 100,000 paired MAT–MAGT observations for 2000–2016 were randomly divided into ten folds. Each fold was predicted from a model fitted to the remaining nine folds</w:t>
      </w:r>
      <w:r>
        <w:rPr>
          <w:rFonts w:ascii="Times New Roman" w:hAnsi="Times New Roman"/>
          <w:color w:val="auto"/>
          <w:sz w:val="24"/>
        </w:rPr>
        <w:t xml:space="preserve">. </w:t>
      </w:r>
      <w:r>
        <w:rPr>
          <w:rFonts w:ascii="Times New Roman" w:hAnsi="Times New Roman"/>
          <w:sz w:val="24"/>
        </w:rPr>
        <w:t>This ten-fold cross-validation yielded R² = 0.94 and RMSE = 1.08 °C. To guard against inflation of predictive skill by spatial autocorrelation, we additionally performed a spatial-block cross-validation in which each of the nine spatial blocks was held out in turn (leave-one-block-out); pooling the held-out predictions gave R² = 0.92 and RMSE = 1.22 °C, confirming that the land–atmosphere coupling relationship generalizes across space with only a marginal loss of skill.</w:t>
      </w:r>
    </w:p>
    <w:p w14:paraId="5A5A46F1">
      <w:pPr>
        <w:pStyle w:val="19"/>
        <w:spacing w:after="120" w:line="360" w:lineRule="auto"/>
        <w:ind w:firstLine="420"/>
      </w:pPr>
      <w:r>
        <w:rPr>
          <w:rFonts w:ascii="Times New Roman" w:hAnsi="Times New Roman"/>
          <w:sz w:val="24"/>
        </w:rPr>
        <w:t>The inverse mapping was obtained by evaluating the fitted curve on a fine MAT grid and recording the MAT values corresponding to MAGT −2 and 0 °C. The resulting boundaries (−6.77 and −3.81 °C) were applied to future MAT climatologies as an empirical thermal-exposure classification. They should not be interpreted as deterministic permafrost states.</w:t>
      </w:r>
    </w:p>
    <w:p w14:paraId="5DCD59D1">
      <w:pPr>
        <w:pStyle w:val="3"/>
        <w:keepNext/>
        <w:spacing w:before="240" w:after="80"/>
        <w:rPr>
          <w:color w:val="auto"/>
        </w:rPr>
      </w:pPr>
      <w:r>
        <w:rPr>
          <w:rFonts w:ascii="Times New Roman" w:hAnsi="Times New Roman"/>
          <w:color w:val="auto"/>
          <w:sz w:val="24"/>
        </w:rPr>
        <w:t>2. Supplementary Table 1 | National counterfactual sensitivity analyses</w:t>
      </w:r>
    </w:p>
    <w:p w14:paraId="1943C4FE">
      <w:pPr>
        <w:pStyle w:val="4"/>
        <w:keepNext/>
        <w:spacing w:before="160" w:after="80"/>
        <w:rPr>
          <w:color w:val="auto"/>
        </w:rPr>
      </w:pPr>
      <w:r>
        <w:rPr>
          <w:rFonts w:ascii="Times New Roman" w:hAnsi="Times New Roman"/>
          <w:color w:val="auto"/>
          <w:sz w:val="22"/>
        </w:rPr>
        <w:t>Table S1a | Freeze-year sensitivity</w:t>
      </w: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1898"/>
        <w:gridCol w:w="1898"/>
        <w:gridCol w:w="2103"/>
        <w:gridCol w:w="2103"/>
      </w:tblGrid>
      <w:tr w14:paraId="1722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071" w:type="dxa"/>
            <w:shd w:val="clear" w:color="auto" w:fill="D9E2F3"/>
            <w:tcMar>
              <w:top w:w="80" w:type="dxa"/>
              <w:left w:w="80" w:type="dxa"/>
              <w:bottom w:w="80" w:type="dxa"/>
              <w:right w:w="80" w:type="dxa"/>
            </w:tcMar>
            <w:vAlign w:val="center"/>
          </w:tcPr>
          <w:p w14:paraId="03044B61">
            <w:pPr>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Region</w:t>
            </w:r>
          </w:p>
        </w:tc>
        <w:tc>
          <w:tcPr>
            <w:tcW w:w="1898" w:type="dxa"/>
            <w:shd w:val="clear" w:color="auto" w:fill="D9E2F3"/>
            <w:tcMar>
              <w:top w:w="80" w:type="dxa"/>
              <w:left w:w="80" w:type="dxa"/>
              <w:bottom w:w="80" w:type="dxa"/>
              <w:right w:w="80" w:type="dxa"/>
            </w:tcMar>
            <w:vAlign w:val="center"/>
          </w:tcPr>
          <w:p w14:paraId="0E9C2D32">
            <w:pPr>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Freeze 2004</w:t>
            </w:r>
          </w:p>
        </w:tc>
        <w:tc>
          <w:tcPr>
            <w:tcW w:w="1898" w:type="dxa"/>
            <w:shd w:val="clear" w:color="auto" w:fill="D9E2F3"/>
            <w:tcMar>
              <w:top w:w="80" w:type="dxa"/>
              <w:left w:w="80" w:type="dxa"/>
              <w:bottom w:w="80" w:type="dxa"/>
              <w:right w:w="80" w:type="dxa"/>
            </w:tcMar>
            <w:vAlign w:val="center"/>
          </w:tcPr>
          <w:p w14:paraId="7B489379">
            <w:pPr>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Freeze 2003</w:t>
            </w:r>
          </w:p>
        </w:tc>
        <w:tc>
          <w:tcPr>
            <w:tcW w:w="2103" w:type="dxa"/>
            <w:shd w:val="clear" w:color="auto" w:fill="D9E2F3"/>
            <w:tcMar>
              <w:top w:w="80" w:type="dxa"/>
              <w:left w:w="80" w:type="dxa"/>
              <w:bottom w:w="80" w:type="dxa"/>
              <w:right w:w="80" w:type="dxa"/>
            </w:tcMar>
            <w:vAlign w:val="center"/>
          </w:tcPr>
          <w:p w14:paraId="5553185A">
            <w:pPr>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Freeze 2002</w:t>
            </w:r>
          </w:p>
        </w:tc>
        <w:tc>
          <w:tcPr>
            <w:tcW w:w="2103" w:type="dxa"/>
            <w:shd w:val="clear" w:color="auto" w:fill="D9E2F3"/>
            <w:tcMar>
              <w:top w:w="80" w:type="dxa"/>
              <w:left w:w="80" w:type="dxa"/>
              <w:bottom w:w="80" w:type="dxa"/>
              <w:right w:w="80" w:type="dxa"/>
            </w:tcMar>
            <w:vAlign w:val="center"/>
          </w:tcPr>
          <w:p w14:paraId="02143FDA">
            <w:pPr>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Freeze 2001</w:t>
            </w:r>
          </w:p>
        </w:tc>
      </w:tr>
      <w:tr w14:paraId="04DA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1" w:type="dxa"/>
            <w:tcMar>
              <w:top w:w="80" w:type="dxa"/>
              <w:left w:w="80" w:type="dxa"/>
              <w:bottom w:w="80" w:type="dxa"/>
              <w:right w:w="80" w:type="dxa"/>
            </w:tcMar>
            <w:vAlign w:val="center"/>
          </w:tcPr>
          <w:p w14:paraId="7154D362">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Russia</w:t>
            </w:r>
          </w:p>
        </w:tc>
        <w:tc>
          <w:tcPr>
            <w:tcW w:w="1898" w:type="dxa"/>
            <w:tcMar>
              <w:top w:w="80" w:type="dxa"/>
              <w:left w:w="80" w:type="dxa"/>
              <w:bottom w:w="80" w:type="dxa"/>
              <w:right w:w="80" w:type="dxa"/>
            </w:tcMar>
            <w:vAlign w:val="center"/>
          </w:tcPr>
          <w:p w14:paraId="33B205DC">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+4.7% [−6.2, +16.9]</w:t>
            </w:r>
          </w:p>
        </w:tc>
        <w:tc>
          <w:tcPr>
            <w:tcW w:w="1898" w:type="dxa"/>
            <w:tcMar>
              <w:top w:w="80" w:type="dxa"/>
              <w:left w:w="80" w:type="dxa"/>
              <w:bottom w:w="80" w:type="dxa"/>
              <w:right w:w="80" w:type="dxa"/>
            </w:tcMar>
            <w:vAlign w:val="center"/>
          </w:tcPr>
          <w:p w14:paraId="6221A94F">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+3.1% [−4.8, +11.9]</w:t>
            </w:r>
          </w:p>
        </w:tc>
        <w:tc>
          <w:tcPr>
            <w:tcW w:w="2103" w:type="dxa"/>
            <w:tcMar>
              <w:top w:w="80" w:type="dxa"/>
              <w:left w:w="80" w:type="dxa"/>
              <w:bottom w:w="80" w:type="dxa"/>
              <w:right w:w="80" w:type="dxa"/>
            </w:tcMar>
            <w:vAlign w:val="center"/>
          </w:tcPr>
          <w:p w14:paraId="56784FB1">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+11.1% [−11.8, +40.0]</w:t>
            </w:r>
          </w:p>
        </w:tc>
        <w:tc>
          <w:tcPr>
            <w:tcW w:w="2103" w:type="dxa"/>
            <w:tcMar>
              <w:top w:w="80" w:type="dxa"/>
              <w:left w:w="80" w:type="dxa"/>
              <w:bottom w:w="80" w:type="dxa"/>
              <w:right w:w="80" w:type="dxa"/>
            </w:tcMar>
            <w:vAlign w:val="center"/>
          </w:tcPr>
          <w:p w14:paraId="482A2C08">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+13.5% [−13.3, +48.8]</w:t>
            </w:r>
          </w:p>
        </w:tc>
      </w:tr>
      <w:tr w14:paraId="5646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1" w:type="dxa"/>
            <w:tcMar>
              <w:top w:w="80" w:type="dxa"/>
              <w:left w:w="80" w:type="dxa"/>
              <w:bottom w:w="80" w:type="dxa"/>
              <w:right w:w="80" w:type="dxa"/>
            </w:tcMar>
            <w:vAlign w:val="center"/>
          </w:tcPr>
          <w:p w14:paraId="57BA754F">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Canada</w:t>
            </w:r>
          </w:p>
        </w:tc>
        <w:tc>
          <w:tcPr>
            <w:tcW w:w="1898" w:type="dxa"/>
            <w:tcMar>
              <w:top w:w="80" w:type="dxa"/>
              <w:left w:w="80" w:type="dxa"/>
              <w:bottom w:w="80" w:type="dxa"/>
              <w:right w:w="80" w:type="dxa"/>
            </w:tcMar>
            <w:vAlign w:val="center"/>
          </w:tcPr>
          <w:p w14:paraId="50FC57A3">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+3.1% [−4.2, +10.9]</w:t>
            </w:r>
          </w:p>
        </w:tc>
        <w:tc>
          <w:tcPr>
            <w:tcW w:w="1898" w:type="dxa"/>
            <w:tcMar>
              <w:top w:w="80" w:type="dxa"/>
              <w:left w:w="80" w:type="dxa"/>
              <w:bottom w:w="80" w:type="dxa"/>
              <w:right w:w="80" w:type="dxa"/>
            </w:tcMar>
            <w:vAlign w:val="center"/>
          </w:tcPr>
          <w:p w14:paraId="3E41731D">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−0.8% [−1.8, +0.0]</w:t>
            </w:r>
          </w:p>
        </w:tc>
        <w:tc>
          <w:tcPr>
            <w:tcW w:w="2103" w:type="dxa"/>
            <w:tcMar>
              <w:top w:w="80" w:type="dxa"/>
              <w:left w:w="80" w:type="dxa"/>
              <w:bottom w:w="80" w:type="dxa"/>
              <w:right w:w="80" w:type="dxa"/>
            </w:tcMar>
            <w:vAlign w:val="center"/>
          </w:tcPr>
          <w:p w14:paraId="0B95C5CB">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+4.2% [−5.6, +15.1]</w:t>
            </w:r>
          </w:p>
        </w:tc>
        <w:tc>
          <w:tcPr>
            <w:tcW w:w="2103" w:type="dxa"/>
            <w:tcMar>
              <w:top w:w="80" w:type="dxa"/>
              <w:left w:w="80" w:type="dxa"/>
              <w:bottom w:w="80" w:type="dxa"/>
              <w:right w:w="80" w:type="dxa"/>
            </w:tcMar>
            <w:vAlign w:val="center"/>
          </w:tcPr>
          <w:p w14:paraId="56B3A605">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+0.6% [−2.3, +3.6]</w:t>
            </w:r>
          </w:p>
        </w:tc>
      </w:tr>
      <w:tr w14:paraId="1964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1" w:type="dxa"/>
            <w:tcMar>
              <w:top w:w="80" w:type="dxa"/>
              <w:left w:w="80" w:type="dxa"/>
              <w:bottom w:w="80" w:type="dxa"/>
              <w:right w:w="80" w:type="dxa"/>
            </w:tcMar>
            <w:vAlign w:val="center"/>
          </w:tcPr>
          <w:p w14:paraId="3B38700C">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Alaska</w:t>
            </w:r>
          </w:p>
        </w:tc>
        <w:tc>
          <w:tcPr>
            <w:tcW w:w="1898" w:type="dxa"/>
            <w:tcMar>
              <w:top w:w="80" w:type="dxa"/>
              <w:left w:w="80" w:type="dxa"/>
              <w:bottom w:w="80" w:type="dxa"/>
              <w:right w:w="80" w:type="dxa"/>
            </w:tcMar>
            <w:vAlign w:val="center"/>
          </w:tcPr>
          <w:p w14:paraId="04E1FEE9">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−4.4% [−10.5, +1.1]</w:t>
            </w:r>
          </w:p>
        </w:tc>
        <w:tc>
          <w:tcPr>
            <w:tcW w:w="1898" w:type="dxa"/>
            <w:tcMar>
              <w:top w:w="80" w:type="dxa"/>
              <w:left w:w="80" w:type="dxa"/>
              <w:bottom w:w="80" w:type="dxa"/>
              <w:right w:w="80" w:type="dxa"/>
            </w:tcMar>
            <w:vAlign w:val="center"/>
          </w:tcPr>
          <w:p w14:paraId="579F9F60">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−3.9% [−9.2, +0.7]</w:t>
            </w:r>
          </w:p>
        </w:tc>
        <w:tc>
          <w:tcPr>
            <w:tcW w:w="2103" w:type="dxa"/>
            <w:tcMar>
              <w:top w:w="80" w:type="dxa"/>
              <w:left w:w="80" w:type="dxa"/>
              <w:bottom w:w="80" w:type="dxa"/>
              <w:right w:w="80" w:type="dxa"/>
            </w:tcMar>
            <w:vAlign w:val="center"/>
          </w:tcPr>
          <w:p w14:paraId="2EAF6987">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+1.2% [−5.2, +8.2]</w:t>
            </w:r>
          </w:p>
        </w:tc>
        <w:tc>
          <w:tcPr>
            <w:tcW w:w="2103" w:type="dxa"/>
            <w:tcMar>
              <w:top w:w="80" w:type="dxa"/>
              <w:left w:w="80" w:type="dxa"/>
              <w:bottom w:w="80" w:type="dxa"/>
              <w:right w:w="80" w:type="dxa"/>
            </w:tcMar>
            <w:vAlign w:val="center"/>
          </w:tcPr>
          <w:p w14:paraId="4494B200">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+8.3% [−10.5, +31.0]</w:t>
            </w:r>
          </w:p>
        </w:tc>
      </w:tr>
      <w:tr w14:paraId="39CF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1" w:type="dxa"/>
            <w:tcMar>
              <w:top w:w="80" w:type="dxa"/>
              <w:left w:w="80" w:type="dxa"/>
              <w:bottom w:w="80" w:type="dxa"/>
              <w:right w:w="80" w:type="dxa"/>
            </w:tcMar>
            <w:vAlign w:val="center"/>
          </w:tcPr>
          <w:p w14:paraId="075058AA">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Greenland</w:t>
            </w:r>
          </w:p>
        </w:tc>
        <w:tc>
          <w:tcPr>
            <w:tcW w:w="1898" w:type="dxa"/>
            <w:tcMar>
              <w:top w:w="80" w:type="dxa"/>
              <w:left w:w="80" w:type="dxa"/>
              <w:bottom w:w="80" w:type="dxa"/>
              <w:right w:w="80" w:type="dxa"/>
            </w:tcMar>
            <w:vAlign w:val="center"/>
          </w:tcPr>
          <w:p w14:paraId="4315B256">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−3.7% [−7.9, +0.3]</w:t>
            </w:r>
          </w:p>
        </w:tc>
        <w:tc>
          <w:tcPr>
            <w:tcW w:w="1898" w:type="dxa"/>
            <w:tcMar>
              <w:top w:w="80" w:type="dxa"/>
              <w:left w:w="80" w:type="dxa"/>
              <w:bottom w:w="80" w:type="dxa"/>
              <w:right w:w="80" w:type="dxa"/>
            </w:tcMar>
            <w:vAlign w:val="center"/>
          </w:tcPr>
          <w:p w14:paraId="759242C0">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−8.3% [−17.3, +0.6]</w:t>
            </w:r>
          </w:p>
        </w:tc>
        <w:tc>
          <w:tcPr>
            <w:tcW w:w="2103" w:type="dxa"/>
            <w:tcMar>
              <w:top w:w="80" w:type="dxa"/>
              <w:left w:w="80" w:type="dxa"/>
              <w:bottom w:w="80" w:type="dxa"/>
              <w:right w:w="80" w:type="dxa"/>
            </w:tcMar>
            <w:vAlign w:val="center"/>
          </w:tcPr>
          <w:p w14:paraId="2F3CEF24">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+17.1% [−0.9, +41.3]</w:t>
            </w:r>
          </w:p>
        </w:tc>
        <w:tc>
          <w:tcPr>
            <w:tcW w:w="2103" w:type="dxa"/>
            <w:tcMar>
              <w:top w:w="80" w:type="dxa"/>
              <w:left w:w="80" w:type="dxa"/>
              <w:bottom w:w="80" w:type="dxa"/>
              <w:right w:w="80" w:type="dxa"/>
            </w:tcMar>
            <w:vAlign w:val="center"/>
          </w:tcPr>
          <w:p w14:paraId="489F1DFA">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+25.3% [−1.2, +63.9]</w:t>
            </w:r>
          </w:p>
        </w:tc>
      </w:tr>
    </w:tbl>
    <w:p w14:paraId="2C758D26">
      <w:pPr>
        <w:spacing w:after="40"/>
      </w:pPr>
    </w:p>
    <w:p w14:paraId="598F9E59">
      <w:pPr>
        <w:pStyle w:val="19"/>
        <w:spacing w:after="120" w:line="240" w:lineRule="auto"/>
      </w:pPr>
      <w:r>
        <w:rPr>
          <w:rFonts w:ascii="Times New Roman" w:hAnsi="Times New Roman"/>
          <w:sz w:val="24"/>
        </w:rPr>
        <w:t>Values are 2021 ISA percentage differences with model-based 95% bootstrap intervals. Shifting the freeze year changes both the reference temperature and the accumulation period; this is therefore a specification-sensitivity analysis, not a formal placebo experiment.</w:t>
      </w:r>
    </w:p>
    <w:p w14:paraId="4C8C0117">
      <w:pPr>
        <w:pStyle w:val="4"/>
        <w:keepNext/>
        <w:spacing w:before="160" w:after="80"/>
        <w:rPr>
          <w:color w:val="auto"/>
        </w:rPr>
      </w:pPr>
      <w:r>
        <w:rPr>
          <w:rFonts w:ascii="Times New Roman" w:hAnsi="Times New Roman"/>
          <w:color w:val="auto"/>
          <w:sz w:val="22"/>
        </w:rPr>
        <w:t>Table S1b | Lagged-temperature specifications</w:t>
      </w: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1"/>
        <w:gridCol w:w="2472"/>
        <w:gridCol w:w="2472"/>
        <w:gridCol w:w="2337"/>
      </w:tblGrid>
      <w:tr w14:paraId="2045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91" w:type="dxa"/>
            <w:shd w:val="clear" w:color="auto" w:fill="D9E2F3"/>
            <w:tcMar>
              <w:top w:w="80" w:type="dxa"/>
              <w:left w:w="80" w:type="dxa"/>
              <w:bottom w:w="80" w:type="dxa"/>
              <w:right w:w="80" w:type="dxa"/>
            </w:tcMar>
            <w:vAlign w:val="center"/>
          </w:tcPr>
          <w:p w14:paraId="4D93290B">
            <w:pPr>
              <w:snapToGrid w:val="0"/>
              <w:jc w:val="center"/>
            </w:pPr>
            <w:r>
              <w:rPr>
                <w:rFonts w:ascii="Arial" w:hAnsi="Arial"/>
                <w:b/>
                <w:sz w:val="17"/>
              </w:rPr>
              <w:t>Model</w:t>
            </w:r>
          </w:p>
        </w:tc>
        <w:tc>
          <w:tcPr>
            <w:tcW w:w="2472" w:type="dxa"/>
            <w:shd w:val="clear" w:color="auto" w:fill="D9E2F3"/>
            <w:tcMar>
              <w:top w:w="80" w:type="dxa"/>
              <w:left w:w="80" w:type="dxa"/>
              <w:bottom w:w="80" w:type="dxa"/>
              <w:right w:w="80" w:type="dxa"/>
            </w:tcMar>
            <w:vAlign w:val="center"/>
          </w:tcPr>
          <w:p w14:paraId="5E56F6BC">
            <w:pPr>
              <w:snapToGrid w:val="0"/>
              <w:jc w:val="center"/>
            </w:pPr>
            <w:r>
              <w:rPr>
                <w:rFonts w:ascii="Arial" w:hAnsi="Arial"/>
                <w:b/>
                <w:sz w:val="17"/>
              </w:rPr>
              <w:t>Russia</w:t>
            </w:r>
          </w:p>
        </w:tc>
        <w:tc>
          <w:tcPr>
            <w:tcW w:w="2472" w:type="dxa"/>
            <w:shd w:val="clear" w:color="auto" w:fill="D9E2F3"/>
            <w:tcMar>
              <w:top w:w="80" w:type="dxa"/>
              <w:left w:w="80" w:type="dxa"/>
              <w:bottom w:w="80" w:type="dxa"/>
              <w:right w:w="80" w:type="dxa"/>
            </w:tcMar>
            <w:vAlign w:val="center"/>
          </w:tcPr>
          <w:p w14:paraId="14037E39">
            <w:pPr>
              <w:snapToGrid w:val="0"/>
              <w:jc w:val="center"/>
            </w:pPr>
            <w:r>
              <w:rPr>
                <w:rFonts w:ascii="Arial" w:hAnsi="Arial"/>
                <w:b/>
                <w:sz w:val="17"/>
              </w:rPr>
              <w:t>Alaska</w:t>
            </w:r>
          </w:p>
        </w:tc>
        <w:tc>
          <w:tcPr>
            <w:tcW w:w="2336" w:type="dxa"/>
            <w:shd w:val="clear" w:color="auto" w:fill="D9E2F3"/>
            <w:tcMar>
              <w:top w:w="80" w:type="dxa"/>
              <w:left w:w="80" w:type="dxa"/>
              <w:bottom w:w="80" w:type="dxa"/>
              <w:right w:w="80" w:type="dxa"/>
            </w:tcMar>
            <w:vAlign w:val="center"/>
          </w:tcPr>
          <w:p w14:paraId="1B9CD4DE">
            <w:pPr>
              <w:snapToGrid w:val="0"/>
              <w:jc w:val="center"/>
            </w:pPr>
            <w:r>
              <w:rPr>
                <w:rFonts w:ascii="Arial" w:hAnsi="Arial"/>
                <w:b/>
                <w:sz w:val="17"/>
              </w:rPr>
              <w:t>Greenland</w:t>
            </w:r>
          </w:p>
        </w:tc>
      </w:tr>
      <w:tr w14:paraId="3292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91" w:type="dxa"/>
            <w:tcMar>
              <w:top w:w="80" w:type="dxa"/>
              <w:left w:w="80" w:type="dxa"/>
              <w:bottom w:w="80" w:type="dxa"/>
              <w:right w:w="80" w:type="dxa"/>
            </w:tcMar>
            <w:vAlign w:val="center"/>
          </w:tcPr>
          <w:p w14:paraId="6624A821">
            <w:pPr>
              <w:snapToGrid w:val="0"/>
              <w:spacing w:after="0" w:line="240" w:lineRule="auto"/>
              <w:jc w:val="left"/>
            </w:pPr>
            <w:r>
              <w:rPr>
                <w:rFonts w:ascii="Times New Roman" w:hAnsi="Times New Roman"/>
                <w:sz w:val="17"/>
              </w:rPr>
              <w:t>No lag</w:t>
            </w:r>
          </w:p>
        </w:tc>
        <w:tc>
          <w:tcPr>
            <w:tcW w:w="2472" w:type="dxa"/>
            <w:tcMar>
              <w:top w:w="80" w:type="dxa"/>
              <w:left w:w="80" w:type="dxa"/>
              <w:bottom w:w="80" w:type="dxa"/>
              <w:right w:w="80" w:type="dxa"/>
            </w:tcMar>
            <w:vAlign w:val="center"/>
          </w:tcPr>
          <w:p w14:paraId="56B72963">
            <w:pPr>
              <w:snapToGrid w:val="0"/>
              <w:spacing w:after="0" w:line="240" w:lineRule="auto"/>
              <w:jc w:val="center"/>
            </w:pPr>
            <w:r>
              <w:rPr>
                <w:rFonts w:ascii="Times New Roman" w:hAnsi="Times New Roman"/>
                <w:sz w:val="17"/>
              </w:rPr>
              <w:t>+4.7% [−6.2, +16.9]</w:t>
            </w:r>
          </w:p>
        </w:tc>
        <w:tc>
          <w:tcPr>
            <w:tcW w:w="2472" w:type="dxa"/>
            <w:tcMar>
              <w:top w:w="80" w:type="dxa"/>
              <w:left w:w="80" w:type="dxa"/>
              <w:bottom w:w="80" w:type="dxa"/>
              <w:right w:w="80" w:type="dxa"/>
            </w:tcMar>
            <w:vAlign w:val="center"/>
          </w:tcPr>
          <w:p w14:paraId="454BF6EF">
            <w:pPr>
              <w:snapToGrid w:val="0"/>
              <w:spacing w:after="0" w:line="240" w:lineRule="auto"/>
              <w:jc w:val="center"/>
            </w:pPr>
            <w:r>
              <w:rPr>
                <w:rFonts w:ascii="Times New Roman" w:hAnsi="Times New Roman"/>
                <w:sz w:val="17"/>
              </w:rPr>
              <w:t>−4.4% [−10.5, +1.1]</w:t>
            </w:r>
          </w:p>
        </w:tc>
        <w:tc>
          <w:tcPr>
            <w:tcW w:w="2336" w:type="dxa"/>
            <w:tcMar>
              <w:top w:w="80" w:type="dxa"/>
              <w:left w:w="80" w:type="dxa"/>
              <w:bottom w:w="80" w:type="dxa"/>
              <w:right w:w="80" w:type="dxa"/>
            </w:tcMar>
            <w:vAlign w:val="center"/>
          </w:tcPr>
          <w:p w14:paraId="6E5D451A">
            <w:pPr>
              <w:snapToGrid w:val="0"/>
              <w:spacing w:after="0" w:line="240" w:lineRule="auto"/>
              <w:jc w:val="center"/>
            </w:pPr>
            <w:r>
              <w:rPr>
                <w:rFonts w:ascii="Times New Roman" w:hAnsi="Times New Roman"/>
                <w:sz w:val="17"/>
              </w:rPr>
              <w:t>−3.7% [−7.9, +0.3]</w:t>
            </w:r>
          </w:p>
        </w:tc>
      </w:tr>
      <w:tr w14:paraId="00B4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91" w:type="dxa"/>
            <w:tcMar>
              <w:top w:w="80" w:type="dxa"/>
              <w:left w:w="80" w:type="dxa"/>
              <w:bottom w:w="80" w:type="dxa"/>
              <w:right w:w="80" w:type="dxa"/>
            </w:tcMar>
            <w:vAlign w:val="center"/>
          </w:tcPr>
          <w:p w14:paraId="61B2C430">
            <w:pPr>
              <w:snapToGrid w:val="0"/>
              <w:spacing w:after="0" w:line="240" w:lineRule="auto"/>
              <w:jc w:val="left"/>
            </w:pPr>
            <w:r>
              <w:rPr>
                <w:rFonts w:ascii="Times New Roman" w:hAnsi="Times New Roman"/>
                <w:sz w:val="17"/>
              </w:rPr>
              <w:t>Lag 1 (t−1)</w:t>
            </w:r>
          </w:p>
        </w:tc>
        <w:tc>
          <w:tcPr>
            <w:tcW w:w="2472" w:type="dxa"/>
            <w:tcMar>
              <w:top w:w="80" w:type="dxa"/>
              <w:left w:w="80" w:type="dxa"/>
              <w:bottom w:w="80" w:type="dxa"/>
              <w:right w:w="80" w:type="dxa"/>
            </w:tcMar>
            <w:vAlign w:val="center"/>
          </w:tcPr>
          <w:p w14:paraId="164862D3">
            <w:pPr>
              <w:snapToGrid w:val="0"/>
              <w:spacing w:after="0" w:line="240" w:lineRule="auto"/>
              <w:jc w:val="center"/>
            </w:pPr>
            <w:r>
              <w:rPr>
                <w:rFonts w:ascii="Times New Roman" w:hAnsi="Times New Roman"/>
                <w:sz w:val="17"/>
              </w:rPr>
              <w:t>+3.9% [−7.0, +16.1]</w:t>
            </w:r>
          </w:p>
        </w:tc>
        <w:tc>
          <w:tcPr>
            <w:tcW w:w="2472" w:type="dxa"/>
            <w:tcMar>
              <w:top w:w="80" w:type="dxa"/>
              <w:left w:w="80" w:type="dxa"/>
              <w:bottom w:w="80" w:type="dxa"/>
              <w:right w:w="80" w:type="dxa"/>
            </w:tcMar>
            <w:vAlign w:val="center"/>
          </w:tcPr>
          <w:p w14:paraId="3ADDE503">
            <w:pPr>
              <w:snapToGrid w:val="0"/>
              <w:spacing w:after="0" w:line="240" w:lineRule="auto"/>
              <w:jc w:val="center"/>
            </w:pPr>
            <w:r>
              <w:rPr>
                <w:rFonts w:ascii="Times New Roman" w:hAnsi="Times New Roman"/>
                <w:sz w:val="17"/>
              </w:rPr>
              <w:t>−3.9% [−10.1, +1.7]</w:t>
            </w:r>
          </w:p>
        </w:tc>
        <w:tc>
          <w:tcPr>
            <w:tcW w:w="2336" w:type="dxa"/>
            <w:tcMar>
              <w:top w:w="80" w:type="dxa"/>
              <w:left w:w="80" w:type="dxa"/>
              <w:bottom w:w="80" w:type="dxa"/>
              <w:right w:w="80" w:type="dxa"/>
            </w:tcMar>
            <w:vAlign w:val="center"/>
          </w:tcPr>
          <w:p w14:paraId="2CFD2D41">
            <w:pPr>
              <w:snapToGrid w:val="0"/>
              <w:spacing w:after="0" w:line="240" w:lineRule="auto"/>
              <w:jc w:val="center"/>
            </w:pPr>
            <w:r>
              <w:rPr>
                <w:rFonts w:ascii="Times New Roman" w:hAnsi="Times New Roman"/>
                <w:sz w:val="17"/>
              </w:rPr>
              <w:t>−3.4% [−7.7, +0.6]</w:t>
            </w:r>
          </w:p>
        </w:tc>
      </w:tr>
      <w:tr w14:paraId="2FC0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91" w:type="dxa"/>
            <w:tcMar>
              <w:top w:w="80" w:type="dxa"/>
              <w:left w:w="80" w:type="dxa"/>
              <w:bottom w:w="80" w:type="dxa"/>
              <w:right w:w="80" w:type="dxa"/>
            </w:tcMar>
            <w:vAlign w:val="center"/>
          </w:tcPr>
          <w:p w14:paraId="64D6A266">
            <w:pPr>
              <w:snapToGrid w:val="0"/>
              <w:spacing w:after="0" w:line="240" w:lineRule="auto"/>
              <w:jc w:val="left"/>
            </w:pPr>
            <w:r>
              <w:rPr>
                <w:rFonts w:ascii="Times New Roman" w:hAnsi="Times New Roman"/>
                <w:sz w:val="17"/>
              </w:rPr>
              <w:t>Lag 2 (t−2)</w:t>
            </w:r>
          </w:p>
        </w:tc>
        <w:tc>
          <w:tcPr>
            <w:tcW w:w="2472" w:type="dxa"/>
            <w:tcMar>
              <w:top w:w="80" w:type="dxa"/>
              <w:left w:w="80" w:type="dxa"/>
              <w:bottom w:w="80" w:type="dxa"/>
              <w:right w:w="80" w:type="dxa"/>
            </w:tcMar>
            <w:vAlign w:val="center"/>
          </w:tcPr>
          <w:p w14:paraId="441C0ABF">
            <w:pPr>
              <w:snapToGrid w:val="0"/>
              <w:spacing w:after="0" w:line="240" w:lineRule="auto"/>
              <w:jc w:val="center"/>
            </w:pPr>
            <w:r>
              <w:rPr>
                <w:rFonts w:ascii="Times New Roman" w:hAnsi="Times New Roman"/>
                <w:sz w:val="17"/>
              </w:rPr>
              <w:t>+5.0% [−6.3, +17.7]</w:t>
            </w:r>
          </w:p>
        </w:tc>
        <w:tc>
          <w:tcPr>
            <w:tcW w:w="2472" w:type="dxa"/>
            <w:tcMar>
              <w:top w:w="80" w:type="dxa"/>
              <w:left w:w="80" w:type="dxa"/>
              <w:bottom w:w="80" w:type="dxa"/>
              <w:right w:w="80" w:type="dxa"/>
            </w:tcMar>
            <w:vAlign w:val="center"/>
          </w:tcPr>
          <w:p w14:paraId="5D02D33A">
            <w:pPr>
              <w:snapToGrid w:val="0"/>
              <w:spacing w:after="0" w:line="240" w:lineRule="auto"/>
              <w:jc w:val="center"/>
            </w:pPr>
            <w:r>
              <w:rPr>
                <w:rFonts w:ascii="Times New Roman" w:hAnsi="Times New Roman"/>
                <w:sz w:val="17"/>
              </w:rPr>
              <w:t>−4.6% [−10.9, +1.0]</w:t>
            </w:r>
          </w:p>
        </w:tc>
        <w:tc>
          <w:tcPr>
            <w:tcW w:w="2336" w:type="dxa"/>
            <w:tcMar>
              <w:top w:w="80" w:type="dxa"/>
              <w:left w:w="80" w:type="dxa"/>
              <w:bottom w:w="80" w:type="dxa"/>
              <w:right w:w="80" w:type="dxa"/>
            </w:tcMar>
            <w:vAlign w:val="center"/>
          </w:tcPr>
          <w:p w14:paraId="61D0040E">
            <w:pPr>
              <w:snapToGrid w:val="0"/>
              <w:spacing w:after="0" w:line="240" w:lineRule="auto"/>
              <w:jc w:val="center"/>
            </w:pPr>
            <w:r>
              <w:rPr>
                <w:rFonts w:ascii="Times New Roman" w:hAnsi="Times New Roman"/>
                <w:sz w:val="17"/>
              </w:rPr>
              <w:t>−3.9% [−8.3, +0.3]</w:t>
            </w:r>
          </w:p>
        </w:tc>
      </w:tr>
      <w:tr w14:paraId="4BC9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91" w:type="dxa"/>
            <w:tcMar>
              <w:top w:w="80" w:type="dxa"/>
              <w:left w:w="80" w:type="dxa"/>
              <w:bottom w:w="80" w:type="dxa"/>
              <w:right w:w="80" w:type="dxa"/>
            </w:tcMar>
            <w:vAlign w:val="center"/>
          </w:tcPr>
          <w:p w14:paraId="03C87A90">
            <w:pPr>
              <w:snapToGrid w:val="0"/>
              <w:spacing w:after="0" w:line="240" w:lineRule="auto"/>
              <w:jc w:val="left"/>
            </w:pPr>
            <w:r>
              <w:rPr>
                <w:rFonts w:ascii="Times New Roman" w:hAnsi="Times New Roman"/>
                <w:sz w:val="17"/>
              </w:rPr>
              <w:t>Lag 1 + Lag 2</w:t>
            </w:r>
          </w:p>
        </w:tc>
        <w:tc>
          <w:tcPr>
            <w:tcW w:w="2472" w:type="dxa"/>
            <w:tcMar>
              <w:top w:w="80" w:type="dxa"/>
              <w:left w:w="80" w:type="dxa"/>
              <w:bottom w:w="80" w:type="dxa"/>
              <w:right w:w="80" w:type="dxa"/>
            </w:tcMar>
            <w:vAlign w:val="center"/>
          </w:tcPr>
          <w:p w14:paraId="13B92228">
            <w:pPr>
              <w:snapToGrid w:val="0"/>
              <w:spacing w:after="0" w:line="240" w:lineRule="auto"/>
              <w:jc w:val="center"/>
            </w:pPr>
            <w:r>
              <w:rPr>
                <w:rFonts w:ascii="Times New Roman" w:hAnsi="Times New Roman"/>
                <w:sz w:val="17"/>
              </w:rPr>
              <w:t>+4.3% [−7.0, +17.0]</w:t>
            </w:r>
          </w:p>
        </w:tc>
        <w:tc>
          <w:tcPr>
            <w:tcW w:w="2472" w:type="dxa"/>
            <w:tcMar>
              <w:top w:w="80" w:type="dxa"/>
              <w:left w:w="80" w:type="dxa"/>
              <w:bottom w:w="80" w:type="dxa"/>
              <w:right w:w="80" w:type="dxa"/>
            </w:tcMar>
            <w:vAlign w:val="center"/>
          </w:tcPr>
          <w:p w14:paraId="6018B73D">
            <w:pPr>
              <w:snapToGrid w:val="0"/>
              <w:spacing w:after="0" w:line="240" w:lineRule="auto"/>
              <w:jc w:val="center"/>
            </w:pPr>
            <w:r>
              <w:rPr>
                <w:rFonts w:ascii="Times New Roman" w:hAnsi="Times New Roman"/>
                <w:sz w:val="17"/>
              </w:rPr>
              <w:t>−4.2% [−10.5, +1.6]</w:t>
            </w:r>
          </w:p>
        </w:tc>
        <w:tc>
          <w:tcPr>
            <w:tcW w:w="2336" w:type="dxa"/>
            <w:tcMar>
              <w:top w:w="80" w:type="dxa"/>
              <w:left w:w="80" w:type="dxa"/>
              <w:bottom w:w="80" w:type="dxa"/>
              <w:right w:w="80" w:type="dxa"/>
            </w:tcMar>
            <w:vAlign w:val="center"/>
          </w:tcPr>
          <w:p w14:paraId="58A2463E">
            <w:pPr>
              <w:snapToGrid w:val="0"/>
              <w:spacing w:after="0" w:line="240" w:lineRule="auto"/>
              <w:jc w:val="center"/>
            </w:pPr>
            <w:r>
              <w:rPr>
                <w:rFonts w:ascii="Times New Roman" w:hAnsi="Times New Roman"/>
                <w:sz w:val="17"/>
              </w:rPr>
              <w:t>−3.6% [−8.0, +0.6]</w:t>
            </w:r>
          </w:p>
        </w:tc>
      </w:tr>
    </w:tbl>
    <w:p w14:paraId="34CA542A">
      <w:pPr>
        <w:spacing w:after="40"/>
      </w:pPr>
    </w:p>
    <w:p w14:paraId="4DCB738E">
      <w:pPr>
        <w:pStyle w:val="19"/>
        <w:spacing w:after="120" w:line="240" w:lineRule="auto"/>
      </w:pPr>
      <w:r>
        <w:rPr>
          <w:rFonts w:ascii="Times New Roman" w:hAnsi="Times New Roman"/>
          <w:sz w:val="24"/>
        </w:rPr>
        <w:t>Lag coefficients had P&gt;0.25 in the fitted specifications. Similar point estimates across lag structures indicate limited sensitivity to these terms; they do not establish that the underlying physical response occurs within the same year.</w:t>
      </w:r>
    </w:p>
    <w:p w14:paraId="0BA6FA9D">
      <w:pPr>
        <w:pStyle w:val="4"/>
        <w:keepNext/>
        <w:spacing w:before="160" w:after="80"/>
        <w:rPr>
          <w:color w:val="auto"/>
        </w:rPr>
      </w:pPr>
      <w:r>
        <w:rPr>
          <w:rFonts w:ascii="Times New Roman" w:hAnsi="Times New Roman"/>
          <w:color w:val="auto"/>
          <w:sz w:val="22"/>
        </w:rPr>
        <w:t>Table S1c | Leave-one-unit-out analysis</w:t>
      </w: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8"/>
        <w:gridCol w:w="2232"/>
        <w:gridCol w:w="2218"/>
        <w:gridCol w:w="2664"/>
      </w:tblGrid>
      <w:tr w14:paraId="2448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958" w:type="dxa"/>
            <w:shd w:val="clear" w:color="auto" w:fill="D9E2F3"/>
            <w:tcMar>
              <w:top w:w="80" w:type="dxa"/>
              <w:left w:w="80" w:type="dxa"/>
              <w:bottom w:w="80" w:type="dxa"/>
              <w:right w:w="80" w:type="dxa"/>
            </w:tcMar>
            <w:vAlign w:val="center"/>
          </w:tcPr>
          <w:p w14:paraId="3682CCD7">
            <w:pPr>
              <w:keepNext/>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Excluded unit</w:t>
            </w:r>
          </w:p>
        </w:tc>
        <w:tc>
          <w:tcPr>
            <w:tcW w:w="2232" w:type="dxa"/>
            <w:shd w:val="clear" w:color="auto" w:fill="D9E2F3"/>
            <w:tcMar>
              <w:top w:w="80" w:type="dxa"/>
              <w:left w:w="80" w:type="dxa"/>
              <w:bottom w:w="80" w:type="dxa"/>
              <w:right w:w="80" w:type="dxa"/>
            </w:tcMar>
            <w:vAlign w:val="center"/>
          </w:tcPr>
          <w:p w14:paraId="37CF6884">
            <w:pPr>
              <w:keepNext/>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Russia estimate</w:t>
            </w:r>
          </w:p>
        </w:tc>
        <w:tc>
          <w:tcPr>
            <w:tcW w:w="2218" w:type="dxa"/>
            <w:shd w:val="clear" w:color="auto" w:fill="D9E2F3"/>
            <w:tcMar>
              <w:top w:w="80" w:type="dxa"/>
              <w:left w:w="80" w:type="dxa"/>
              <w:bottom w:w="80" w:type="dxa"/>
              <w:right w:w="80" w:type="dxa"/>
            </w:tcMar>
            <w:vAlign w:val="center"/>
          </w:tcPr>
          <w:p w14:paraId="30519333">
            <w:pPr>
              <w:keepNext/>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Alaska estimate</w:t>
            </w:r>
          </w:p>
        </w:tc>
        <w:tc>
          <w:tcPr>
            <w:tcW w:w="2664" w:type="dxa"/>
            <w:shd w:val="clear" w:color="auto" w:fill="D9E2F3"/>
            <w:tcMar>
              <w:top w:w="80" w:type="dxa"/>
              <w:left w:w="80" w:type="dxa"/>
              <w:bottom w:w="80" w:type="dxa"/>
              <w:right w:w="80" w:type="dxa"/>
            </w:tcMar>
            <w:vAlign w:val="center"/>
          </w:tcPr>
          <w:p w14:paraId="6742A959">
            <w:pPr>
              <w:keepNext/>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Greenland estimate</w:t>
            </w:r>
          </w:p>
        </w:tc>
      </w:tr>
      <w:tr w14:paraId="2788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tcMar>
              <w:top w:w="80" w:type="dxa"/>
              <w:left w:w="80" w:type="dxa"/>
              <w:bottom w:w="80" w:type="dxa"/>
              <w:right w:w="80" w:type="dxa"/>
            </w:tcMar>
            <w:vAlign w:val="center"/>
          </w:tcPr>
          <w:p w14:paraId="781046A6">
            <w:pPr>
              <w:keepNext/>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None (baseline)</w:t>
            </w:r>
          </w:p>
        </w:tc>
        <w:tc>
          <w:tcPr>
            <w:tcW w:w="2232" w:type="dxa"/>
            <w:tcMar>
              <w:top w:w="80" w:type="dxa"/>
              <w:left w:w="80" w:type="dxa"/>
              <w:bottom w:w="80" w:type="dxa"/>
              <w:right w:w="80" w:type="dxa"/>
            </w:tcMar>
            <w:vAlign w:val="center"/>
          </w:tcPr>
          <w:p w14:paraId="09E1886E">
            <w:pPr>
              <w:keepNext/>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+4.7%</w:t>
            </w:r>
          </w:p>
        </w:tc>
        <w:tc>
          <w:tcPr>
            <w:tcW w:w="2218" w:type="dxa"/>
            <w:tcMar>
              <w:top w:w="80" w:type="dxa"/>
              <w:left w:w="80" w:type="dxa"/>
              <w:bottom w:w="80" w:type="dxa"/>
              <w:right w:w="80" w:type="dxa"/>
            </w:tcMar>
            <w:vAlign w:val="center"/>
          </w:tcPr>
          <w:p w14:paraId="7B8C806C">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−4.4%</w:t>
            </w:r>
          </w:p>
        </w:tc>
        <w:tc>
          <w:tcPr>
            <w:tcW w:w="2664" w:type="dxa"/>
            <w:tcMar>
              <w:top w:w="80" w:type="dxa"/>
              <w:left w:w="80" w:type="dxa"/>
              <w:bottom w:w="80" w:type="dxa"/>
              <w:right w:w="80" w:type="dxa"/>
            </w:tcMar>
            <w:vAlign w:val="center"/>
          </w:tcPr>
          <w:p w14:paraId="6B1F7D23">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−3.7%</w:t>
            </w:r>
          </w:p>
        </w:tc>
      </w:tr>
      <w:tr w14:paraId="4B37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tcMar>
              <w:top w:w="80" w:type="dxa"/>
              <w:left w:w="80" w:type="dxa"/>
              <w:bottom w:w="80" w:type="dxa"/>
              <w:right w:w="80" w:type="dxa"/>
            </w:tcMar>
            <w:vAlign w:val="center"/>
          </w:tcPr>
          <w:p w14:paraId="50F0328E">
            <w:pPr>
              <w:keepNext/>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Russia</w:t>
            </w:r>
          </w:p>
        </w:tc>
        <w:tc>
          <w:tcPr>
            <w:tcW w:w="2232" w:type="dxa"/>
            <w:tcMar>
              <w:top w:w="80" w:type="dxa"/>
              <w:left w:w="80" w:type="dxa"/>
              <w:bottom w:w="80" w:type="dxa"/>
              <w:right w:w="80" w:type="dxa"/>
            </w:tcMar>
            <w:vAlign w:val="center"/>
          </w:tcPr>
          <w:p w14:paraId="2D40345F">
            <w:pPr>
              <w:keepNext/>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w:t>
            </w:r>
          </w:p>
        </w:tc>
        <w:tc>
          <w:tcPr>
            <w:tcW w:w="2218" w:type="dxa"/>
            <w:tcMar>
              <w:top w:w="80" w:type="dxa"/>
              <w:left w:w="80" w:type="dxa"/>
              <w:bottom w:w="80" w:type="dxa"/>
              <w:right w:w="80" w:type="dxa"/>
            </w:tcMar>
            <w:vAlign w:val="center"/>
          </w:tcPr>
          <w:p w14:paraId="30E8C5CF">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−4.7%</w:t>
            </w:r>
          </w:p>
        </w:tc>
        <w:tc>
          <w:tcPr>
            <w:tcW w:w="2664" w:type="dxa"/>
            <w:tcMar>
              <w:top w:w="80" w:type="dxa"/>
              <w:left w:w="80" w:type="dxa"/>
              <w:bottom w:w="80" w:type="dxa"/>
              <w:right w:w="80" w:type="dxa"/>
            </w:tcMar>
            <w:vAlign w:val="center"/>
          </w:tcPr>
          <w:p w14:paraId="61454D86">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−3.8%</w:t>
            </w:r>
          </w:p>
        </w:tc>
      </w:tr>
      <w:tr w14:paraId="590C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tcMar>
              <w:top w:w="80" w:type="dxa"/>
              <w:left w:w="80" w:type="dxa"/>
              <w:bottom w:w="80" w:type="dxa"/>
              <w:right w:w="80" w:type="dxa"/>
            </w:tcMar>
            <w:vAlign w:val="center"/>
          </w:tcPr>
          <w:p w14:paraId="4996AABE">
            <w:pPr>
              <w:keepNext/>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Norway</w:t>
            </w:r>
          </w:p>
        </w:tc>
        <w:tc>
          <w:tcPr>
            <w:tcW w:w="2232" w:type="dxa"/>
            <w:tcMar>
              <w:top w:w="80" w:type="dxa"/>
              <w:left w:w="80" w:type="dxa"/>
              <w:bottom w:w="80" w:type="dxa"/>
              <w:right w:w="80" w:type="dxa"/>
            </w:tcMar>
            <w:vAlign w:val="center"/>
          </w:tcPr>
          <w:p w14:paraId="536B6FE6">
            <w:pPr>
              <w:keepNext/>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+5.2%</w:t>
            </w:r>
          </w:p>
        </w:tc>
        <w:tc>
          <w:tcPr>
            <w:tcW w:w="2218" w:type="dxa"/>
            <w:tcMar>
              <w:top w:w="80" w:type="dxa"/>
              <w:left w:w="80" w:type="dxa"/>
              <w:bottom w:w="80" w:type="dxa"/>
              <w:right w:w="80" w:type="dxa"/>
            </w:tcMar>
            <w:vAlign w:val="center"/>
          </w:tcPr>
          <w:p w14:paraId="7E45D9E1">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−4.6%</w:t>
            </w:r>
          </w:p>
        </w:tc>
        <w:tc>
          <w:tcPr>
            <w:tcW w:w="2664" w:type="dxa"/>
            <w:tcMar>
              <w:top w:w="80" w:type="dxa"/>
              <w:left w:w="80" w:type="dxa"/>
              <w:bottom w:w="80" w:type="dxa"/>
              <w:right w:w="80" w:type="dxa"/>
            </w:tcMar>
            <w:vAlign w:val="center"/>
          </w:tcPr>
          <w:p w14:paraId="7E066C53">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−3.7%</w:t>
            </w:r>
          </w:p>
        </w:tc>
      </w:tr>
      <w:tr w14:paraId="3240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tcMar>
              <w:top w:w="80" w:type="dxa"/>
              <w:left w:w="80" w:type="dxa"/>
              <w:bottom w:w="80" w:type="dxa"/>
              <w:right w:w="80" w:type="dxa"/>
            </w:tcMar>
            <w:vAlign w:val="center"/>
          </w:tcPr>
          <w:p w14:paraId="6F7C3E78">
            <w:pPr>
              <w:keepNext/>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Sweden</w:t>
            </w:r>
          </w:p>
        </w:tc>
        <w:tc>
          <w:tcPr>
            <w:tcW w:w="2232" w:type="dxa"/>
            <w:tcMar>
              <w:top w:w="80" w:type="dxa"/>
              <w:left w:w="80" w:type="dxa"/>
              <w:bottom w:w="80" w:type="dxa"/>
              <w:right w:w="80" w:type="dxa"/>
            </w:tcMar>
            <w:vAlign w:val="center"/>
          </w:tcPr>
          <w:p w14:paraId="363F8C47">
            <w:pPr>
              <w:keepNext/>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+4.3%</w:t>
            </w:r>
          </w:p>
        </w:tc>
        <w:tc>
          <w:tcPr>
            <w:tcW w:w="2218" w:type="dxa"/>
            <w:tcMar>
              <w:top w:w="80" w:type="dxa"/>
              <w:left w:w="80" w:type="dxa"/>
              <w:bottom w:w="80" w:type="dxa"/>
              <w:right w:w="80" w:type="dxa"/>
            </w:tcMar>
            <w:vAlign w:val="center"/>
          </w:tcPr>
          <w:p w14:paraId="54D5514F">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−4.3%</w:t>
            </w:r>
          </w:p>
        </w:tc>
        <w:tc>
          <w:tcPr>
            <w:tcW w:w="2664" w:type="dxa"/>
            <w:tcMar>
              <w:top w:w="80" w:type="dxa"/>
              <w:left w:w="80" w:type="dxa"/>
              <w:bottom w:w="80" w:type="dxa"/>
              <w:right w:w="80" w:type="dxa"/>
            </w:tcMar>
            <w:vAlign w:val="center"/>
          </w:tcPr>
          <w:p w14:paraId="245359CE">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−3.8%</w:t>
            </w:r>
          </w:p>
        </w:tc>
      </w:tr>
      <w:tr w14:paraId="01D1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tcMar>
              <w:top w:w="80" w:type="dxa"/>
              <w:left w:w="80" w:type="dxa"/>
              <w:bottom w:w="80" w:type="dxa"/>
              <w:right w:w="80" w:type="dxa"/>
            </w:tcMar>
            <w:vAlign w:val="center"/>
          </w:tcPr>
          <w:p w14:paraId="0800F339">
            <w:pPr>
              <w:keepNext/>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Finland</w:t>
            </w:r>
          </w:p>
        </w:tc>
        <w:tc>
          <w:tcPr>
            <w:tcW w:w="2232" w:type="dxa"/>
            <w:tcMar>
              <w:top w:w="80" w:type="dxa"/>
              <w:left w:w="80" w:type="dxa"/>
              <w:bottom w:w="80" w:type="dxa"/>
              <w:right w:w="80" w:type="dxa"/>
            </w:tcMar>
            <w:vAlign w:val="center"/>
          </w:tcPr>
          <w:p w14:paraId="058B22DE">
            <w:pPr>
              <w:keepNext/>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+4.4%</w:t>
            </w:r>
          </w:p>
        </w:tc>
        <w:tc>
          <w:tcPr>
            <w:tcW w:w="2218" w:type="dxa"/>
            <w:tcMar>
              <w:top w:w="80" w:type="dxa"/>
              <w:left w:w="80" w:type="dxa"/>
              <w:bottom w:w="80" w:type="dxa"/>
              <w:right w:w="80" w:type="dxa"/>
            </w:tcMar>
            <w:vAlign w:val="center"/>
          </w:tcPr>
          <w:p w14:paraId="3EB3F2DE">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−4.3%</w:t>
            </w:r>
          </w:p>
        </w:tc>
        <w:tc>
          <w:tcPr>
            <w:tcW w:w="2664" w:type="dxa"/>
            <w:tcMar>
              <w:top w:w="80" w:type="dxa"/>
              <w:left w:w="80" w:type="dxa"/>
              <w:bottom w:w="80" w:type="dxa"/>
              <w:right w:w="80" w:type="dxa"/>
            </w:tcMar>
            <w:vAlign w:val="center"/>
          </w:tcPr>
          <w:p w14:paraId="46104D51">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−3.7%</w:t>
            </w:r>
          </w:p>
        </w:tc>
      </w:tr>
      <w:tr w14:paraId="46B0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tcMar>
              <w:top w:w="80" w:type="dxa"/>
              <w:left w:w="80" w:type="dxa"/>
              <w:bottom w:w="80" w:type="dxa"/>
              <w:right w:w="80" w:type="dxa"/>
            </w:tcMar>
            <w:vAlign w:val="center"/>
          </w:tcPr>
          <w:p w14:paraId="2E8D5887">
            <w:pPr>
              <w:keepNext/>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Denmark</w:t>
            </w:r>
          </w:p>
        </w:tc>
        <w:tc>
          <w:tcPr>
            <w:tcW w:w="2232" w:type="dxa"/>
            <w:tcMar>
              <w:top w:w="80" w:type="dxa"/>
              <w:left w:w="80" w:type="dxa"/>
              <w:bottom w:w="80" w:type="dxa"/>
              <w:right w:w="80" w:type="dxa"/>
            </w:tcMar>
            <w:vAlign w:val="center"/>
          </w:tcPr>
          <w:p w14:paraId="367F12F7">
            <w:pPr>
              <w:keepNext/>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+3.0%</w:t>
            </w:r>
          </w:p>
        </w:tc>
        <w:tc>
          <w:tcPr>
            <w:tcW w:w="2218" w:type="dxa"/>
            <w:tcMar>
              <w:top w:w="80" w:type="dxa"/>
              <w:left w:w="80" w:type="dxa"/>
              <w:bottom w:w="80" w:type="dxa"/>
              <w:right w:w="80" w:type="dxa"/>
            </w:tcMar>
            <w:vAlign w:val="center"/>
          </w:tcPr>
          <w:p w14:paraId="7BD2342C">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−4.1%</w:t>
            </w:r>
          </w:p>
        </w:tc>
        <w:tc>
          <w:tcPr>
            <w:tcW w:w="2664" w:type="dxa"/>
            <w:tcMar>
              <w:top w:w="80" w:type="dxa"/>
              <w:left w:w="80" w:type="dxa"/>
              <w:bottom w:w="80" w:type="dxa"/>
              <w:right w:w="80" w:type="dxa"/>
            </w:tcMar>
            <w:vAlign w:val="center"/>
          </w:tcPr>
          <w:p w14:paraId="72577F85">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−4.4%</w:t>
            </w:r>
          </w:p>
        </w:tc>
      </w:tr>
      <w:tr w14:paraId="56AD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tcMar>
              <w:top w:w="80" w:type="dxa"/>
              <w:left w:w="80" w:type="dxa"/>
              <w:bottom w:w="80" w:type="dxa"/>
              <w:right w:w="80" w:type="dxa"/>
            </w:tcMar>
            <w:vAlign w:val="center"/>
          </w:tcPr>
          <w:p w14:paraId="6D92B471">
            <w:pPr>
              <w:keepNext/>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Canada</w:t>
            </w:r>
          </w:p>
        </w:tc>
        <w:tc>
          <w:tcPr>
            <w:tcW w:w="2232" w:type="dxa"/>
            <w:tcMar>
              <w:top w:w="80" w:type="dxa"/>
              <w:left w:w="80" w:type="dxa"/>
              <w:bottom w:w="80" w:type="dxa"/>
              <w:right w:w="80" w:type="dxa"/>
            </w:tcMar>
            <w:vAlign w:val="center"/>
          </w:tcPr>
          <w:p w14:paraId="66E030F6">
            <w:pPr>
              <w:keepNext/>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+7.1%</w:t>
            </w:r>
          </w:p>
        </w:tc>
        <w:tc>
          <w:tcPr>
            <w:tcW w:w="2218" w:type="dxa"/>
            <w:tcMar>
              <w:top w:w="80" w:type="dxa"/>
              <w:left w:w="80" w:type="dxa"/>
              <w:bottom w:w="80" w:type="dxa"/>
              <w:right w:w="80" w:type="dxa"/>
            </w:tcMar>
            <w:vAlign w:val="center"/>
          </w:tcPr>
          <w:p w14:paraId="7DB7BA0A">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−5.3%</w:t>
            </w:r>
          </w:p>
        </w:tc>
        <w:tc>
          <w:tcPr>
            <w:tcW w:w="2664" w:type="dxa"/>
            <w:tcMar>
              <w:top w:w="80" w:type="dxa"/>
              <w:left w:w="80" w:type="dxa"/>
              <w:bottom w:w="80" w:type="dxa"/>
              <w:right w:w="80" w:type="dxa"/>
            </w:tcMar>
            <w:vAlign w:val="center"/>
          </w:tcPr>
          <w:p w14:paraId="3051899C">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−3.8%</w:t>
            </w:r>
          </w:p>
        </w:tc>
      </w:tr>
      <w:tr w14:paraId="79C3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tcMar>
              <w:top w:w="80" w:type="dxa"/>
              <w:left w:w="80" w:type="dxa"/>
              <w:bottom w:w="80" w:type="dxa"/>
              <w:right w:w="80" w:type="dxa"/>
            </w:tcMar>
            <w:vAlign w:val="center"/>
          </w:tcPr>
          <w:p w14:paraId="18E4B050">
            <w:pPr>
              <w:keepNext/>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Greenland</w:t>
            </w:r>
          </w:p>
        </w:tc>
        <w:tc>
          <w:tcPr>
            <w:tcW w:w="2232" w:type="dxa"/>
            <w:tcMar>
              <w:top w:w="80" w:type="dxa"/>
              <w:left w:w="80" w:type="dxa"/>
              <w:bottom w:w="80" w:type="dxa"/>
              <w:right w:w="80" w:type="dxa"/>
            </w:tcMar>
            <w:vAlign w:val="center"/>
          </w:tcPr>
          <w:p w14:paraId="4B3B5995">
            <w:pPr>
              <w:keepNext/>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+1.3%</w:t>
            </w:r>
          </w:p>
        </w:tc>
        <w:tc>
          <w:tcPr>
            <w:tcW w:w="2218" w:type="dxa"/>
            <w:tcMar>
              <w:top w:w="80" w:type="dxa"/>
              <w:left w:w="80" w:type="dxa"/>
              <w:bottom w:w="80" w:type="dxa"/>
              <w:right w:w="80" w:type="dxa"/>
            </w:tcMar>
            <w:vAlign w:val="center"/>
          </w:tcPr>
          <w:p w14:paraId="44E9FEB1">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−0.7%</w:t>
            </w:r>
          </w:p>
        </w:tc>
        <w:tc>
          <w:tcPr>
            <w:tcW w:w="2664" w:type="dxa"/>
            <w:tcMar>
              <w:top w:w="80" w:type="dxa"/>
              <w:left w:w="80" w:type="dxa"/>
              <w:bottom w:w="80" w:type="dxa"/>
              <w:right w:w="80" w:type="dxa"/>
            </w:tcMar>
            <w:vAlign w:val="center"/>
          </w:tcPr>
          <w:p w14:paraId="2A38B065">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w:t>
            </w:r>
          </w:p>
        </w:tc>
      </w:tr>
      <w:tr w14:paraId="7B19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tcMar>
              <w:top w:w="80" w:type="dxa"/>
              <w:left w:w="80" w:type="dxa"/>
              <w:bottom w:w="80" w:type="dxa"/>
              <w:right w:w="80" w:type="dxa"/>
            </w:tcMar>
            <w:vAlign w:val="center"/>
          </w:tcPr>
          <w:p w14:paraId="6684B933">
            <w:pPr>
              <w:keepNext/>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Iceland</w:t>
            </w:r>
          </w:p>
        </w:tc>
        <w:tc>
          <w:tcPr>
            <w:tcW w:w="2232" w:type="dxa"/>
            <w:tcMar>
              <w:top w:w="80" w:type="dxa"/>
              <w:left w:w="80" w:type="dxa"/>
              <w:bottom w:w="80" w:type="dxa"/>
              <w:right w:w="80" w:type="dxa"/>
            </w:tcMar>
            <w:vAlign w:val="center"/>
          </w:tcPr>
          <w:p w14:paraId="2C16F591">
            <w:pPr>
              <w:keepNext/>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+4.0%</w:t>
            </w:r>
          </w:p>
        </w:tc>
        <w:tc>
          <w:tcPr>
            <w:tcW w:w="2218" w:type="dxa"/>
            <w:tcMar>
              <w:top w:w="80" w:type="dxa"/>
              <w:left w:w="80" w:type="dxa"/>
              <w:bottom w:w="80" w:type="dxa"/>
              <w:right w:w="80" w:type="dxa"/>
            </w:tcMar>
            <w:vAlign w:val="center"/>
          </w:tcPr>
          <w:p w14:paraId="11D9E921">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−4.1%</w:t>
            </w:r>
          </w:p>
        </w:tc>
        <w:tc>
          <w:tcPr>
            <w:tcW w:w="2664" w:type="dxa"/>
            <w:tcMar>
              <w:top w:w="80" w:type="dxa"/>
              <w:left w:w="80" w:type="dxa"/>
              <w:bottom w:w="80" w:type="dxa"/>
              <w:right w:w="80" w:type="dxa"/>
            </w:tcMar>
            <w:vAlign w:val="center"/>
          </w:tcPr>
          <w:p w14:paraId="7AE63EE1">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−3.7%</w:t>
            </w:r>
          </w:p>
        </w:tc>
      </w:tr>
      <w:tr w14:paraId="7B16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tcMar>
              <w:top w:w="80" w:type="dxa"/>
              <w:left w:w="80" w:type="dxa"/>
              <w:bottom w:w="80" w:type="dxa"/>
              <w:right w:w="80" w:type="dxa"/>
            </w:tcMar>
            <w:vAlign w:val="center"/>
          </w:tcPr>
          <w:p w14:paraId="63A64C3A">
            <w:pPr>
              <w:keepNext/>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Alaska</w:t>
            </w:r>
          </w:p>
        </w:tc>
        <w:tc>
          <w:tcPr>
            <w:tcW w:w="2232" w:type="dxa"/>
            <w:tcMar>
              <w:top w:w="80" w:type="dxa"/>
              <w:left w:w="80" w:type="dxa"/>
              <w:bottom w:w="80" w:type="dxa"/>
              <w:right w:w="80" w:type="dxa"/>
            </w:tcMar>
            <w:vAlign w:val="center"/>
          </w:tcPr>
          <w:p w14:paraId="4F3A5CFD">
            <w:pPr>
              <w:keepNext/>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+5.6%</w:t>
            </w:r>
          </w:p>
        </w:tc>
        <w:tc>
          <w:tcPr>
            <w:tcW w:w="2218" w:type="dxa"/>
            <w:tcMar>
              <w:top w:w="80" w:type="dxa"/>
              <w:left w:w="80" w:type="dxa"/>
              <w:bottom w:w="80" w:type="dxa"/>
              <w:right w:w="80" w:type="dxa"/>
            </w:tcMar>
            <w:vAlign w:val="center"/>
          </w:tcPr>
          <w:p w14:paraId="71C65B2A">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w:t>
            </w:r>
          </w:p>
        </w:tc>
        <w:tc>
          <w:tcPr>
            <w:tcW w:w="2664" w:type="dxa"/>
            <w:tcMar>
              <w:top w:w="80" w:type="dxa"/>
              <w:left w:w="80" w:type="dxa"/>
              <w:bottom w:w="80" w:type="dxa"/>
              <w:right w:w="80" w:type="dxa"/>
            </w:tcMar>
            <w:vAlign w:val="center"/>
          </w:tcPr>
          <w:p w14:paraId="6AD4B1CB">
            <w:pPr>
              <w:keepNext/>
              <w:snapToGrid w:val="0"/>
              <w:spacing w:after="0" w:line="240" w:lineRule="auto"/>
              <w:ind w:left="0" w:leftChars="0" w:right="0" w:rightChars="0" w:firstLine="0" w:firstLineChars="0"/>
              <w:jc w:val="right"/>
              <w:rPr>
                <w:rFonts w:ascii="Times New Roman" w:eastAsia="ＭＳ 明朝"/>
                <w:sz w:val="17"/>
              </w:rPr>
            </w:pPr>
            <w:r>
              <w:rPr>
                <w:rFonts w:ascii="Times New Roman" w:hAnsi="Times New Roman" w:eastAsia="ＭＳ 明朝"/>
                <w:sz w:val="17"/>
              </w:rPr>
              <w:t>−3.8%</w:t>
            </w:r>
          </w:p>
        </w:tc>
      </w:tr>
    </w:tbl>
    <w:p w14:paraId="0EFE8BBA">
      <w:pPr>
        <w:spacing w:after="40"/>
      </w:pPr>
    </w:p>
    <w:p w14:paraId="516B4353">
      <w:pPr>
        <w:pStyle w:val="19"/>
        <w:spacing w:after="120" w:line="240" w:lineRule="auto"/>
      </w:pPr>
      <w:r>
        <w:rPr>
          <w:rFonts w:ascii="Times New Roman" w:hAnsi="Times New Roman"/>
          <w:sz w:val="24"/>
        </w:rPr>
        <w:t>Alaska’s estimate weakens when Greenland is omitted, indicating sensitivity to shared information in the small national panel. Greenland’s reduced-specification estimate is comparatively stable when Alaska is omitted.</w:t>
      </w:r>
    </w:p>
    <w:p w14:paraId="08881A78">
      <w:pPr>
        <w:pStyle w:val="4"/>
        <w:keepNext/>
        <w:spacing w:before="160" w:after="80"/>
        <w:rPr>
          <w:color w:val="auto"/>
        </w:rPr>
      </w:pPr>
      <w:r>
        <w:rPr>
          <w:rFonts w:ascii="Times New Roman" w:hAnsi="Times New Roman"/>
          <w:color w:val="auto"/>
          <w:sz w:val="22"/>
        </w:rPr>
        <w:t>Table S1d | Alternative baseline windows</w:t>
      </w: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8"/>
        <w:gridCol w:w="2417"/>
        <w:gridCol w:w="2179"/>
        <w:gridCol w:w="2298"/>
      </w:tblGrid>
      <w:tr w14:paraId="6BF7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78" w:type="dxa"/>
            <w:shd w:val="clear" w:color="auto" w:fill="D9E2F3"/>
            <w:tcMar>
              <w:top w:w="80" w:type="dxa"/>
              <w:left w:w="80" w:type="dxa"/>
              <w:bottom w:w="80" w:type="dxa"/>
              <w:right w:w="80" w:type="dxa"/>
            </w:tcMar>
            <w:vAlign w:val="center"/>
          </w:tcPr>
          <w:p w14:paraId="7F5F487F">
            <w:pPr>
              <w:snapToGrid w:val="0"/>
              <w:jc w:val="center"/>
            </w:pPr>
            <w:r>
              <w:rPr>
                <w:rFonts w:ascii="Arial" w:hAnsi="Arial"/>
                <w:b/>
                <w:sz w:val="17"/>
              </w:rPr>
              <w:t>Baseline</w:t>
            </w:r>
          </w:p>
        </w:tc>
        <w:tc>
          <w:tcPr>
            <w:tcW w:w="2417" w:type="dxa"/>
            <w:shd w:val="clear" w:color="auto" w:fill="D9E2F3"/>
            <w:tcMar>
              <w:top w:w="80" w:type="dxa"/>
              <w:left w:w="80" w:type="dxa"/>
              <w:bottom w:w="80" w:type="dxa"/>
              <w:right w:w="80" w:type="dxa"/>
            </w:tcMar>
            <w:vAlign w:val="center"/>
          </w:tcPr>
          <w:p w14:paraId="6C95917D">
            <w:pPr>
              <w:snapToGrid w:val="0"/>
              <w:jc w:val="center"/>
            </w:pPr>
            <w:r>
              <w:rPr>
                <w:rFonts w:ascii="Arial" w:hAnsi="Arial"/>
                <w:b/>
                <w:sz w:val="17"/>
              </w:rPr>
              <w:t>Russia</w:t>
            </w:r>
          </w:p>
        </w:tc>
        <w:tc>
          <w:tcPr>
            <w:tcW w:w="2179" w:type="dxa"/>
            <w:shd w:val="clear" w:color="auto" w:fill="D9E2F3"/>
            <w:tcMar>
              <w:top w:w="80" w:type="dxa"/>
              <w:left w:w="80" w:type="dxa"/>
              <w:bottom w:w="80" w:type="dxa"/>
              <w:right w:w="80" w:type="dxa"/>
            </w:tcMar>
            <w:vAlign w:val="center"/>
          </w:tcPr>
          <w:p w14:paraId="216AA5D5">
            <w:pPr>
              <w:snapToGrid w:val="0"/>
              <w:jc w:val="center"/>
            </w:pPr>
            <w:r>
              <w:rPr>
                <w:rFonts w:ascii="Arial" w:hAnsi="Arial"/>
                <w:b/>
                <w:sz w:val="17"/>
              </w:rPr>
              <w:t>Alaska</w:t>
            </w:r>
          </w:p>
        </w:tc>
        <w:tc>
          <w:tcPr>
            <w:tcW w:w="2298" w:type="dxa"/>
            <w:shd w:val="clear" w:color="auto" w:fill="D9E2F3"/>
            <w:tcMar>
              <w:top w:w="80" w:type="dxa"/>
              <w:left w:w="80" w:type="dxa"/>
              <w:bottom w:w="80" w:type="dxa"/>
              <w:right w:w="80" w:type="dxa"/>
            </w:tcMar>
            <w:vAlign w:val="center"/>
          </w:tcPr>
          <w:p w14:paraId="3B31F361">
            <w:pPr>
              <w:snapToGrid w:val="0"/>
              <w:jc w:val="center"/>
            </w:pPr>
            <w:r>
              <w:rPr>
                <w:rFonts w:ascii="Arial" w:hAnsi="Arial"/>
                <w:b/>
                <w:sz w:val="17"/>
              </w:rPr>
              <w:t>Greenland</w:t>
            </w:r>
          </w:p>
        </w:tc>
      </w:tr>
      <w:tr w14:paraId="24D5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78" w:type="dxa"/>
            <w:tcMar>
              <w:top w:w="80" w:type="dxa"/>
              <w:left w:w="80" w:type="dxa"/>
              <w:bottom w:w="80" w:type="dxa"/>
              <w:right w:w="80" w:type="dxa"/>
            </w:tcMar>
            <w:vAlign w:val="center"/>
          </w:tcPr>
          <w:p w14:paraId="3A70D19F">
            <w:pPr>
              <w:snapToGrid w:val="0"/>
              <w:spacing w:after="0" w:line="240" w:lineRule="auto"/>
              <w:jc w:val="left"/>
            </w:pPr>
            <w:r>
              <w:rPr>
                <w:rFonts w:ascii="Times New Roman" w:hAnsi="Times New Roman"/>
                <w:sz w:val="17"/>
              </w:rPr>
              <w:t>2000–2002</w:t>
            </w:r>
          </w:p>
        </w:tc>
        <w:tc>
          <w:tcPr>
            <w:tcW w:w="2417" w:type="dxa"/>
            <w:tcMar>
              <w:top w:w="80" w:type="dxa"/>
              <w:left w:w="80" w:type="dxa"/>
              <w:bottom w:w="80" w:type="dxa"/>
              <w:right w:w="80" w:type="dxa"/>
            </w:tcMar>
            <w:vAlign w:val="center"/>
          </w:tcPr>
          <w:p w14:paraId="51AF7850">
            <w:pPr>
              <w:snapToGrid w:val="0"/>
              <w:spacing w:after="0" w:line="240" w:lineRule="auto"/>
              <w:jc w:val="center"/>
            </w:pPr>
            <w:r>
              <w:rPr>
                <w:rFonts w:ascii="Times New Roman" w:hAnsi="Times New Roman"/>
                <w:sz w:val="17"/>
              </w:rPr>
              <w:t>+11.1% [−11.8, +40.0]</w:t>
            </w:r>
          </w:p>
        </w:tc>
        <w:tc>
          <w:tcPr>
            <w:tcW w:w="2179" w:type="dxa"/>
            <w:tcMar>
              <w:top w:w="80" w:type="dxa"/>
              <w:left w:w="80" w:type="dxa"/>
              <w:bottom w:w="80" w:type="dxa"/>
              <w:right w:w="80" w:type="dxa"/>
            </w:tcMar>
            <w:vAlign w:val="center"/>
          </w:tcPr>
          <w:p w14:paraId="1125CC66">
            <w:pPr>
              <w:snapToGrid w:val="0"/>
              <w:spacing w:after="0" w:line="240" w:lineRule="auto"/>
              <w:jc w:val="center"/>
            </w:pPr>
            <w:r>
              <w:rPr>
                <w:rFonts w:ascii="Times New Roman" w:hAnsi="Times New Roman"/>
                <w:sz w:val="17"/>
              </w:rPr>
              <w:t>+1.2% [−5.2, +8.2]</w:t>
            </w:r>
          </w:p>
        </w:tc>
        <w:tc>
          <w:tcPr>
            <w:tcW w:w="2298" w:type="dxa"/>
            <w:tcMar>
              <w:top w:w="80" w:type="dxa"/>
              <w:left w:w="80" w:type="dxa"/>
              <w:bottom w:w="80" w:type="dxa"/>
              <w:right w:w="80" w:type="dxa"/>
            </w:tcMar>
            <w:vAlign w:val="center"/>
          </w:tcPr>
          <w:p w14:paraId="11AAEC52">
            <w:pPr>
              <w:snapToGrid w:val="0"/>
              <w:spacing w:after="0" w:line="240" w:lineRule="auto"/>
              <w:jc w:val="center"/>
            </w:pPr>
            <w:r>
              <w:rPr>
                <w:rFonts w:ascii="Times New Roman" w:hAnsi="Times New Roman"/>
                <w:sz w:val="17"/>
              </w:rPr>
              <w:t>+17.1% [−0.9, +41.3]</w:t>
            </w:r>
          </w:p>
        </w:tc>
      </w:tr>
      <w:tr w14:paraId="2477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78" w:type="dxa"/>
            <w:tcMar>
              <w:top w:w="80" w:type="dxa"/>
              <w:left w:w="80" w:type="dxa"/>
              <w:bottom w:w="80" w:type="dxa"/>
              <w:right w:w="80" w:type="dxa"/>
            </w:tcMar>
            <w:vAlign w:val="center"/>
          </w:tcPr>
          <w:p w14:paraId="010A8CB8">
            <w:pPr>
              <w:snapToGrid w:val="0"/>
              <w:spacing w:after="0" w:line="240" w:lineRule="auto"/>
              <w:jc w:val="left"/>
            </w:pPr>
            <w:r>
              <w:rPr>
                <w:rFonts w:ascii="Times New Roman" w:hAnsi="Times New Roman"/>
                <w:sz w:val="17"/>
              </w:rPr>
              <w:t>2000–2003</w:t>
            </w:r>
          </w:p>
        </w:tc>
        <w:tc>
          <w:tcPr>
            <w:tcW w:w="2417" w:type="dxa"/>
            <w:tcMar>
              <w:top w:w="80" w:type="dxa"/>
              <w:left w:w="80" w:type="dxa"/>
              <w:bottom w:w="80" w:type="dxa"/>
              <w:right w:w="80" w:type="dxa"/>
            </w:tcMar>
            <w:vAlign w:val="center"/>
          </w:tcPr>
          <w:p w14:paraId="0A362678">
            <w:pPr>
              <w:snapToGrid w:val="0"/>
              <w:spacing w:after="0" w:line="240" w:lineRule="auto"/>
              <w:jc w:val="center"/>
            </w:pPr>
            <w:r>
              <w:rPr>
                <w:rFonts w:ascii="Times New Roman" w:hAnsi="Times New Roman"/>
                <w:sz w:val="17"/>
              </w:rPr>
              <w:t>+3.1% [−4.8, +11.9]</w:t>
            </w:r>
          </w:p>
        </w:tc>
        <w:tc>
          <w:tcPr>
            <w:tcW w:w="2179" w:type="dxa"/>
            <w:tcMar>
              <w:top w:w="80" w:type="dxa"/>
              <w:left w:w="80" w:type="dxa"/>
              <w:bottom w:w="80" w:type="dxa"/>
              <w:right w:w="80" w:type="dxa"/>
            </w:tcMar>
            <w:vAlign w:val="center"/>
          </w:tcPr>
          <w:p w14:paraId="4D57D9ED">
            <w:pPr>
              <w:snapToGrid w:val="0"/>
              <w:spacing w:after="0" w:line="240" w:lineRule="auto"/>
              <w:jc w:val="center"/>
            </w:pPr>
            <w:r>
              <w:rPr>
                <w:rFonts w:ascii="Times New Roman" w:hAnsi="Times New Roman"/>
                <w:sz w:val="17"/>
              </w:rPr>
              <w:t>−3.9% [−9.2, +0.7]</w:t>
            </w:r>
          </w:p>
        </w:tc>
        <w:tc>
          <w:tcPr>
            <w:tcW w:w="2298" w:type="dxa"/>
            <w:tcMar>
              <w:top w:w="80" w:type="dxa"/>
              <w:left w:w="80" w:type="dxa"/>
              <w:bottom w:w="80" w:type="dxa"/>
              <w:right w:w="80" w:type="dxa"/>
            </w:tcMar>
            <w:vAlign w:val="center"/>
          </w:tcPr>
          <w:p w14:paraId="79916C20">
            <w:pPr>
              <w:snapToGrid w:val="0"/>
              <w:spacing w:after="0" w:line="240" w:lineRule="auto"/>
              <w:jc w:val="center"/>
            </w:pPr>
            <w:r>
              <w:rPr>
                <w:rFonts w:ascii="Times New Roman" w:hAnsi="Times New Roman"/>
                <w:sz w:val="17"/>
              </w:rPr>
              <w:t>−8.3% [−17.3, +0.6]</w:t>
            </w:r>
          </w:p>
        </w:tc>
      </w:tr>
      <w:tr w14:paraId="1F72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78" w:type="dxa"/>
            <w:tcMar>
              <w:top w:w="80" w:type="dxa"/>
              <w:left w:w="80" w:type="dxa"/>
              <w:bottom w:w="80" w:type="dxa"/>
              <w:right w:w="80" w:type="dxa"/>
            </w:tcMar>
            <w:vAlign w:val="center"/>
          </w:tcPr>
          <w:p w14:paraId="68060313">
            <w:pPr>
              <w:snapToGrid w:val="0"/>
              <w:spacing w:after="0" w:line="240" w:lineRule="auto"/>
              <w:jc w:val="left"/>
            </w:pPr>
            <w:r>
              <w:rPr>
                <w:rFonts w:ascii="Times New Roman" w:hAnsi="Times New Roman"/>
                <w:sz w:val="17"/>
              </w:rPr>
              <w:t>2000–2004 (default)</w:t>
            </w:r>
          </w:p>
        </w:tc>
        <w:tc>
          <w:tcPr>
            <w:tcW w:w="2417" w:type="dxa"/>
            <w:tcMar>
              <w:top w:w="80" w:type="dxa"/>
              <w:left w:w="80" w:type="dxa"/>
              <w:bottom w:w="80" w:type="dxa"/>
              <w:right w:w="80" w:type="dxa"/>
            </w:tcMar>
            <w:vAlign w:val="center"/>
          </w:tcPr>
          <w:p w14:paraId="04D7F0EF">
            <w:pPr>
              <w:snapToGrid w:val="0"/>
              <w:spacing w:after="0" w:line="240" w:lineRule="auto"/>
              <w:jc w:val="center"/>
            </w:pPr>
            <w:r>
              <w:rPr>
                <w:rFonts w:ascii="Times New Roman" w:hAnsi="Times New Roman"/>
                <w:sz w:val="17"/>
              </w:rPr>
              <w:t>+4.7% [−6.2, +16.9]</w:t>
            </w:r>
          </w:p>
        </w:tc>
        <w:tc>
          <w:tcPr>
            <w:tcW w:w="2179" w:type="dxa"/>
            <w:tcMar>
              <w:top w:w="80" w:type="dxa"/>
              <w:left w:w="80" w:type="dxa"/>
              <w:bottom w:w="80" w:type="dxa"/>
              <w:right w:w="80" w:type="dxa"/>
            </w:tcMar>
            <w:vAlign w:val="center"/>
          </w:tcPr>
          <w:p w14:paraId="176AB178">
            <w:pPr>
              <w:snapToGrid w:val="0"/>
              <w:spacing w:after="0" w:line="240" w:lineRule="auto"/>
              <w:jc w:val="center"/>
            </w:pPr>
            <w:r>
              <w:rPr>
                <w:rFonts w:ascii="Times New Roman" w:hAnsi="Times New Roman"/>
                <w:sz w:val="17"/>
              </w:rPr>
              <w:t>−4.4% [−10.5, +1.1]</w:t>
            </w:r>
          </w:p>
        </w:tc>
        <w:tc>
          <w:tcPr>
            <w:tcW w:w="2298" w:type="dxa"/>
            <w:tcMar>
              <w:top w:w="80" w:type="dxa"/>
              <w:left w:w="80" w:type="dxa"/>
              <w:bottom w:w="80" w:type="dxa"/>
              <w:right w:w="80" w:type="dxa"/>
            </w:tcMar>
            <w:vAlign w:val="center"/>
          </w:tcPr>
          <w:p w14:paraId="35C222E5">
            <w:pPr>
              <w:snapToGrid w:val="0"/>
              <w:spacing w:after="0" w:line="240" w:lineRule="auto"/>
              <w:jc w:val="center"/>
            </w:pPr>
            <w:r>
              <w:rPr>
                <w:rFonts w:ascii="Times New Roman" w:hAnsi="Times New Roman"/>
                <w:sz w:val="17"/>
              </w:rPr>
              <w:t>−3.7% [−7.9, +0.3]</w:t>
            </w:r>
          </w:p>
        </w:tc>
      </w:tr>
      <w:tr w14:paraId="079D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78" w:type="dxa"/>
            <w:tcMar>
              <w:top w:w="80" w:type="dxa"/>
              <w:left w:w="80" w:type="dxa"/>
              <w:bottom w:w="80" w:type="dxa"/>
              <w:right w:w="80" w:type="dxa"/>
            </w:tcMar>
            <w:vAlign w:val="center"/>
          </w:tcPr>
          <w:p w14:paraId="2F6804AD">
            <w:pPr>
              <w:snapToGrid w:val="0"/>
              <w:spacing w:after="0" w:line="240" w:lineRule="auto"/>
              <w:jc w:val="left"/>
            </w:pPr>
            <w:r>
              <w:rPr>
                <w:rFonts w:ascii="Times New Roman" w:hAnsi="Times New Roman"/>
                <w:sz w:val="17"/>
              </w:rPr>
              <w:t>2000–2005</w:t>
            </w:r>
          </w:p>
        </w:tc>
        <w:tc>
          <w:tcPr>
            <w:tcW w:w="2417" w:type="dxa"/>
            <w:tcMar>
              <w:top w:w="80" w:type="dxa"/>
              <w:left w:w="80" w:type="dxa"/>
              <w:bottom w:w="80" w:type="dxa"/>
              <w:right w:w="80" w:type="dxa"/>
            </w:tcMar>
            <w:vAlign w:val="center"/>
          </w:tcPr>
          <w:p w14:paraId="60761154">
            <w:pPr>
              <w:snapToGrid w:val="0"/>
              <w:spacing w:after="0" w:line="240" w:lineRule="auto"/>
              <w:jc w:val="center"/>
            </w:pPr>
            <w:r>
              <w:rPr>
                <w:rFonts w:ascii="Times New Roman" w:hAnsi="Times New Roman"/>
                <w:sz w:val="17"/>
              </w:rPr>
              <w:t>+3.3% [−4.9, +12.3]</w:t>
            </w:r>
          </w:p>
        </w:tc>
        <w:tc>
          <w:tcPr>
            <w:tcW w:w="2179" w:type="dxa"/>
            <w:tcMar>
              <w:top w:w="80" w:type="dxa"/>
              <w:left w:w="80" w:type="dxa"/>
              <w:bottom w:w="80" w:type="dxa"/>
              <w:right w:w="80" w:type="dxa"/>
            </w:tcMar>
            <w:vAlign w:val="center"/>
          </w:tcPr>
          <w:p w14:paraId="0B584FE1">
            <w:pPr>
              <w:snapToGrid w:val="0"/>
              <w:spacing w:after="0" w:line="240" w:lineRule="auto"/>
              <w:jc w:val="center"/>
            </w:pPr>
            <w:r>
              <w:rPr>
                <w:rFonts w:ascii="Times New Roman" w:hAnsi="Times New Roman"/>
                <w:sz w:val="17"/>
              </w:rPr>
              <w:t>−4.4% [−10.4, +1.1]</w:t>
            </w:r>
          </w:p>
        </w:tc>
        <w:tc>
          <w:tcPr>
            <w:tcW w:w="2298" w:type="dxa"/>
            <w:tcMar>
              <w:top w:w="80" w:type="dxa"/>
              <w:left w:w="80" w:type="dxa"/>
              <w:bottom w:w="80" w:type="dxa"/>
              <w:right w:w="80" w:type="dxa"/>
            </w:tcMar>
            <w:vAlign w:val="center"/>
          </w:tcPr>
          <w:p w14:paraId="32F9B5A7">
            <w:pPr>
              <w:snapToGrid w:val="0"/>
              <w:spacing w:after="0" w:line="240" w:lineRule="auto"/>
              <w:jc w:val="center"/>
            </w:pPr>
            <w:r>
              <w:rPr>
                <w:rFonts w:ascii="Times New Roman" w:hAnsi="Times New Roman"/>
                <w:sz w:val="17"/>
              </w:rPr>
              <w:t>−9.1% [−18.9, +0.7]</w:t>
            </w:r>
          </w:p>
        </w:tc>
      </w:tr>
      <w:tr w14:paraId="177A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78" w:type="dxa"/>
            <w:tcMar>
              <w:top w:w="80" w:type="dxa"/>
              <w:left w:w="80" w:type="dxa"/>
              <w:bottom w:w="80" w:type="dxa"/>
              <w:right w:w="80" w:type="dxa"/>
            </w:tcMar>
            <w:vAlign w:val="center"/>
          </w:tcPr>
          <w:p w14:paraId="1E2CEF1C">
            <w:pPr>
              <w:snapToGrid w:val="0"/>
              <w:spacing w:after="0" w:line="240" w:lineRule="auto"/>
              <w:jc w:val="left"/>
            </w:pPr>
            <w:r>
              <w:rPr>
                <w:rFonts w:ascii="Times New Roman" w:hAnsi="Times New Roman"/>
                <w:sz w:val="17"/>
              </w:rPr>
              <w:t>2000–2006</w:t>
            </w:r>
          </w:p>
        </w:tc>
        <w:tc>
          <w:tcPr>
            <w:tcW w:w="2417" w:type="dxa"/>
            <w:tcMar>
              <w:top w:w="80" w:type="dxa"/>
              <w:left w:w="80" w:type="dxa"/>
              <w:bottom w:w="80" w:type="dxa"/>
              <w:right w:w="80" w:type="dxa"/>
            </w:tcMar>
            <w:vAlign w:val="center"/>
          </w:tcPr>
          <w:p w14:paraId="776FCC8E">
            <w:pPr>
              <w:snapToGrid w:val="0"/>
              <w:spacing w:after="0" w:line="240" w:lineRule="auto"/>
              <w:jc w:val="center"/>
            </w:pPr>
            <w:r>
              <w:rPr>
                <w:rFonts w:ascii="Times New Roman" w:hAnsi="Times New Roman"/>
                <w:sz w:val="17"/>
              </w:rPr>
              <w:t>+4.9% [−6.3, +17.4]</w:t>
            </w:r>
          </w:p>
        </w:tc>
        <w:tc>
          <w:tcPr>
            <w:tcW w:w="2179" w:type="dxa"/>
            <w:tcMar>
              <w:top w:w="80" w:type="dxa"/>
              <w:left w:w="80" w:type="dxa"/>
              <w:bottom w:w="80" w:type="dxa"/>
              <w:right w:w="80" w:type="dxa"/>
            </w:tcMar>
            <w:vAlign w:val="center"/>
          </w:tcPr>
          <w:p w14:paraId="023B0DF3">
            <w:pPr>
              <w:snapToGrid w:val="0"/>
              <w:spacing w:after="0" w:line="240" w:lineRule="auto"/>
              <w:jc w:val="center"/>
            </w:pPr>
            <w:r>
              <w:rPr>
                <w:rFonts w:ascii="Times New Roman" w:hAnsi="Times New Roman"/>
                <w:sz w:val="17"/>
              </w:rPr>
              <w:t>−1.6% [−3.7, +0.5]</w:t>
            </w:r>
          </w:p>
        </w:tc>
        <w:tc>
          <w:tcPr>
            <w:tcW w:w="2298" w:type="dxa"/>
            <w:tcMar>
              <w:top w:w="80" w:type="dxa"/>
              <w:left w:w="80" w:type="dxa"/>
              <w:bottom w:w="80" w:type="dxa"/>
              <w:right w:w="80" w:type="dxa"/>
            </w:tcMar>
            <w:vAlign w:val="center"/>
          </w:tcPr>
          <w:p w14:paraId="495001F5">
            <w:pPr>
              <w:snapToGrid w:val="0"/>
              <w:spacing w:after="0" w:line="240" w:lineRule="auto"/>
              <w:jc w:val="center"/>
            </w:pPr>
            <w:r>
              <w:rPr>
                <w:rFonts w:ascii="Times New Roman" w:hAnsi="Times New Roman"/>
                <w:sz w:val="17"/>
              </w:rPr>
              <w:t>−5.8% [−12.3, +0.4]</w:t>
            </w:r>
          </w:p>
        </w:tc>
      </w:tr>
    </w:tbl>
    <w:p w14:paraId="3EC14922">
      <w:pPr>
        <w:spacing w:after="40"/>
      </w:pPr>
    </w:p>
    <w:p w14:paraId="746645C6">
      <w:pPr>
        <w:pStyle w:val="19"/>
        <w:spacing w:after="120" w:line="240" w:lineRule="auto"/>
      </w:pPr>
      <w:r>
        <w:rPr>
          <w:rFonts w:ascii="Times New Roman" w:hAnsi="Times New Roman"/>
          <w:sz w:val="24"/>
        </w:rPr>
        <w:t>The 2000–2002 baseline is markedly less stable than longer windows. Estimates from baselines of four years or more retain similar directions for most comparisons, but magnitudes remain uncertain.</w:t>
      </w:r>
    </w:p>
    <w:p w14:paraId="4B05F652">
      <w:pPr>
        <w:pStyle w:val="3"/>
        <w:keepNext/>
        <w:spacing w:before="240" w:after="80"/>
        <w:rPr>
          <w:color w:val="auto"/>
        </w:rPr>
      </w:pPr>
      <w:r>
        <w:rPr>
          <w:rFonts w:ascii="Times New Roman" w:hAnsi="Times New Roman"/>
          <w:color w:val="auto"/>
          <w:sz w:val="24"/>
        </w:rPr>
        <w:t>3. Supplementary Table 2 | Detrended temperature–NTL association summaries</w:t>
      </w: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5"/>
        <w:gridCol w:w="1542"/>
        <w:gridCol w:w="1718"/>
        <w:gridCol w:w="1700"/>
        <w:gridCol w:w="1517"/>
      </w:tblGrid>
      <w:tr w14:paraId="6C2A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2595" w:type="dxa"/>
            <w:shd w:val="clear" w:color="auto" w:fill="D9E2F3"/>
            <w:tcMar>
              <w:top w:w="80" w:type="dxa"/>
              <w:left w:w="80" w:type="dxa"/>
              <w:bottom w:w="80" w:type="dxa"/>
              <w:right w:w="80" w:type="dxa"/>
            </w:tcMar>
            <w:vAlign w:val="center"/>
          </w:tcPr>
          <w:p w14:paraId="0359CB56">
            <w:pPr>
              <w:snapToGrid w:val="0"/>
              <w:spacing w:line="240" w:lineRule="auto"/>
              <w:ind w:left="0" w:leftChars="0" w:right="0" w:rightChars="0" w:firstLine="0" w:firstLineChars="0"/>
              <w:jc w:val="center"/>
              <w:rPr>
                <w:rFonts w:ascii="Arial" w:eastAsia="ＭＳ 明朝"/>
                <w:b/>
                <w:sz w:val="18"/>
              </w:rPr>
            </w:pPr>
            <w:r>
              <w:rPr>
                <w:rFonts w:ascii="Arial" w:hAnsi="Arial" w:eastAsia="ＭＳ 明朝"/>
                <w:b/>
                <w:sz w:val="18"/>
              </w:rPr>
              <w:t>Region</w:t>
            </w:r>
          </w:p>
        </w:tc>
        <w:tc>
          <w:tcPr>
            <w:tcW w:w="1542" w:type="dxa"/>
            <w:shd w:val="clear" w:color="auto" w:fill="D9E2F3"/>
            <w:tcMar>
              <w:top w:w="80" w:type="dxa"/>
              <w:left w:w="80" w:type="dxa"/>
              <w:bottom w:w="80" w:type="dxa"/>
              <w:right w:w="80" w:type="dxa"/>
            </w:tcMar>
            <w:vAlign w:val="center"/>
          </w:tcPr>
          <w:p w14:paraId="5223B9B0">
            <w:pPr>
              <w:snapToGrid w:val="0"/>
              <w:spacing w:line="240" w:lineRule="auto"/>
              <w:ind w:left="0" w:leftChars="0" w:right="0" w:rightChars="0" w:firstLine="0" w:firstLineChars="0"/>
              <w:jc w:val="center"/>
              <w:rPr>
                <w:rFonts w:ascii="Arial" w:eastAsia="ＭＳ 明朝"/>
                <w:b/>
                <w:sz w:val="18"/>
              </w:rPr>
            </w:pPr>
            <w:r>
              <w:rPr>
                <w:rFonts w:ascii="Arial" w:hAnsi="Arial" w:eastAsia="ＭＳ 明朝"/>
                <w:b/>
                <w:sz w:val="18"/>
              </w:rPr>
              <w:t>r&gt;0.2 (%)</w:t>
            </w:r>
          </w:p>
        </w:tc>
        <w:tc>
          <w:tcPr>
            <w:tcW w:w="1718" w:type="dxa"/>
            <w:shd w:val="clear" w:color="auto" w:fill="D9E2F3"/>
            <w:tcMar>
              <w:top w:w="80" w:type="dxa"/>
              <w:left w:w="80" w:type="dxa"/>
              <w:bottom w:w="80" w:type="dxa"/>
              <w:right w:w="80" w:type="dxa"/>
            </w:tcMar>
            <w:vAlign w:val="center"/>
          </w:tcPr>
          <w:p w14:paraId="3AF2EBE0">
            <w:pPr>
              <w:snapToGrid w:val="0"/>
              <w:spacing w:line="240" w:lineRule="auto"/>
              <w:ind w:left="0" w:leftChars="0" w:right="0" w:rightChars="0" w:firstLine="0" w:firstLineChars="0"/>
              <w:jc w:val="center"/>
              <w:rPr>
                <w:rFonts w:ascii="Arial" w:eastAsia="ＭＳ 明朝"/>
                <w:b/>
                <w:sz w:val="18"/>
              </w:rPr>
            </w:pPr>
            <w:r>
              <w:rPr>
                <w:rFonts w:ascii="Arial" w:hAnsi="Arial" w:eastAsia="ＭＳ 明朝"/>
                <w:b/>
                <w:sz w:val="18"/>
              </w:rPr>
              <w:t>r&lt;−0.2 (%)</w:t>
            </w:r>
          </w:p>
        </w:tc>
        <w:tc>
          <w:tcPr>
            <w:tcW w:w="1700" w:type="dxa"/>
            <w:shd w:val="clear" w:color="auto" w:fill="D9E2F3"/>
            <w:tcMar>
              <w:top w:w="80" w:type="dxa"/>
              <w:left w:w="80" w:type="dxa"/>
              <w:bottom w:w="80" w:type="dxa"/>
              <w:right w:w="80" w:type="dxa"/>
            </w:tcMar>
            <w:vAlign w:val="center"/>
          </w:tcPr>
          <w:p w14:paraId="1110F669">
            <w:pPr>
              <w:snapToGrid w:val="0"/>
              <w:spacing w:line="240" w:lineRule="auto"/>
              <w:ind w:left="0" w:leftChars="0" w:right="0" w:rightChars="0" w:firstLine="0" w:firstLineChars="0"/>
              <w:jc w:val="center"/>
              <w:rPr>
                <w:rFonts w:ascii="Arial" w:eastAsia="ＭＳ 明朝"/>
                <w:b/>
                <w:sz w:val="18"/>
              </w:rPr>
            </w:pPr>
            <w:r>
              <w:rPr>
                <w:rFonts w:ascii="Arial" w:hAnsi="Arial" w:eastAsia="ＭＳ 明朝"/>
                <w:b/>
                <w:sz w:val="18"/>
              </w:rPr>
              <w:t>|r|≤0.2 (%)</w:t>
            </w:r>
          </w:p>
        </w:tc>
        <w:tc>
          <w:tcPr>
            <w:tcW w:w="1517" w:type="dxa"/>
            <w:shd w:val="clear" w:color="auto" w:fill="D9E2F3"/>
            <w:tcMar>
              <w:top w:w="80" w:type="dxa"/>
              <w:left w:w="80" w:type="dxa"/>
              <w:bottom w:w="80" w:type="dxa"/>
              <w:right w:w="80" w:type="dxa"/>
            </w:tcMar>
            <w:vAlign w:val="center"/>
          </w:tcPr>
          <w:p w14:paraId="0599AE60">
            <w:pPr>
              <w:snapToGrid w:val="0"/>
              <w:spacing w:line="240" w:lineRule="auto"/>
              <w:ind w:left="0" w:leftChars="0" w:right="0" w:rightChars="0" w:firstLine="0" w:firstLineChars="0"/>
              <w:jc w:val="center"/>
              <w:rPr>
                <w:rFonts w:ascii="Arial" w:eastAsia="ＭＳ 明朝"/>
                <w:b/>
                <w:sz w:val="18"/>
              </w:rPr>
            </w:pPr>
            <w:r>
              <w:rPr>
                <w:rFonts w:ascii="Arial" w:hAnsi="Arial" w:eastAsia="ＭＳ 明朝"/>
                <w:b/>
                <w:sz w:val="18"/>
              </w:rPr>
              <w:t>Median r</w:t>
            </w:r>
          </w:p>
        </w:tc>
      </w:tr>
      <w:tr w14:paraId="2429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5" w:type="dxa"/>
            <w:tcMar>
              <w:top w:w="80" w:type="dxa"/>
              <w:left w:w="80" w:type="dxa"/>
              <w:bottom w:w="80" w:type="dxa"/>
              <w:right w:w="80" w:type="dxa"/>
            </w:tcMar>
            <w:vAlign w:val="center"/>
          </w:tcPr>
          <w:p w14:paraId="2FC5BB56">
            <w:pPr>
              <w:snapToGrid w:val="0"/>
              <w:spacing w:after="0" w:line="240" w:lineRule="auto"/>
              <w:ind w:left="0" w:leftChars="0" w:right="0" w:rightChars="0" w:firstLine="0" w:firstLineChars="0"/>
              <w:jc w:val="center"/>
              <w:rPr>
                <w:rFonts w:ascii="Times New Roman" w:eastAsia="ＭＳ 明朝"/>
                <w:sz w:val="18"/>
              </w:rPr>
            </w:pPr>
            <w:r>
              <w:rPr>
                <w:rFonts w:ascii="Times New Roman" w:hAnsi="Times New Roman" w:eastAsia="ＭＳ 明朝"/>
                <w:sz w:val="18"/>
              </w:rPr>
              <w:t>Western Siberia</w:t>
            </w:r>
          </w:p>
        </w:tc>
        <w:tc>
          <w:tcPr>
            <w:tcW w:w="1542" w:type="dxa"/>
            <w:tcMar>
              <w:top w:w="80" w:type="dxa"/>
              <w:left w:w="80" w:type="dxa"/>
              <w:bottom w:w="80" w:type="dxa"/>
              <w:right w:w="80" w:type="dxa"/>
            </w:tcMar>
            <w:vAlign w:val="center"/>
          </w:tcPr>
          <w:p w14:paraId="0FE68C83">
            <w:pPr>
              <w:snapToGrid w:val="0"/>
              <w:spacing w:after="0" w:line="240" w:lineRule="auto"/>
              <w:ind w:left="0" w:leftChars="0" w:right="0" w:rightChars="0" w:firstLine="0" w:firstLineChars="0"/>
              <w:jc w:val="left"/>
              <w:rPr>
                <w:rFonts w:ascii="Times New Roman" w:eastAsia="ＭＳ 明朝"/>
                <w:sz w:val="18"/>
              </w:rPr>
            </w:pPr>
            <w:r>
              <w:rPr>
                <w:rFonts w:ascii="Times New Roman" w:hAnsi="Times New Roman" w:eastAsia="ＭＳ 明朝"/>
                <w:sz w:val="18"/>
              </w:rPr>
              <w:t>40.9</w:t>
            </w:r>
          </w:p>
        </w:tc>
        <w:tc>
          <w:tcPr>
            <w:tcW w:w="1718" w:type="dxa"/>
            <w:tcMar>
              <w:top w:w="80" w:type="dxa"/>
              <w:left w:w="80" w:type="dxa"/>
              <w:bottom w:w="80" w:type="dxa"/>
              <w:right w:w="80" w:type="dxa"/>
            </w:tcMar>
            <w:vAlign w:val="center"/>
          </w:tcPr>
          <w:p w14:paraId="38751660">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8.3</w:t>
            </w:r>
          </w:p>
        </w:tc>
        <w:tc>
          <w:tcPr>
            <w:tcW w:w="1700" w:type="dxa"/>
            <w:tcMar>
              <w:top w:w="80" w:type="dxa"/>
              <w:left w:w="80" w:type="dxa"/>
              <w:bottom w:w="80" w:type="dxa"/>
              <w:right w:w="80" w:type="dxa"/>
            </w:tcMar>
            <w:vAlign w:val="center"/>
          </w:tcPr>
          <w:p w14:paraId="7D360974">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50.8</w:t>
            </w:r>
          </w:p>
        </w:tc>
        <w:tc>
          <w:tcPr>
            <w:tcW w:w="1517" w:type="dxa"/>
            <w:tcMar>
              <w:top w:w="80" w:type="dxa"/>
              <w:left w:w="80" w:type="dxa"/>
              <w:bottom w:w="80" w:type="dxa"/>
              <w:right w:w="80" w:type="dxa"/>
            </w:tcMar>
            <w:vAlign w:val="center"/>
          </w:tcPr>
          <w:p w14:paraId="1736D7B4">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+0.18</w:t>
            </w:r>
          </w:p>
        </w:tc>
      </w:tr>
      <w:tr w14:paraId="659E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5" w:type="dxa"/>
            <w:tcMar>
              <w:top w:w="80" w:type="dxa"/>
              <w:left w:w="80" w:type="dxa"/>
              <w:bottom w:w="80" w:type="dxa"/>
              <w:right w:w="80" w:type="dxa"/>
            </w:tcMar>
            <w:vAlign w:val="center"/>
          </w:tcPr>
          <w:p w14:paraId="094EAD4A">
            <w:pPr>
              <w:snapToGrid w:val="0"/>
              <w:spacing w:after="0" w:line="240" w:lineRule="auto"/>
              <w:ind w:left="0" w:leftChars="0" w:right="0" w:rightChars="0" w:firstLine="0" w:firstLineChars="0"/>
              <w:jc w:val="center"/>
              <w:rPr>
                <w:rFonts w:ascii="Times New Roman" w:eastAsia="ＭＳ 明朝"/>
                <w:sz w:val="18"/>
              </w:rPr>
            </w:pPr>
            <w:r>
              <w:rPr>
                <w:rFonts w:ascii="Times New Roman" w:hAnsi="Times New Roman" w:eastAsia="ＭＳ 明朝"/>
                <w:sz w:val="18"/>
              </w:rPr>
              <w:t>Mackenzie Delta</w:t>
            </w:r>
          </w:p>
        </w:tc>
        <w:tc>
          <w:tcPr>
            <w:tcW w:w="1542" w:type="dxa"/>
            <w:tcMar>
              <w:top w:w="80" w:type="dxa"/>
              <w:left w:w="80" w:type="dxa"/>
              <w:bottom w:w="80" w:type="dxa"/>
              <w:right w:w="80" w:type="dxa"/>
            </w:tcMar>
            <w:vAlign w:val="center"/>
          </w:tcPr>
          <w:p w14:paraId="17B0734C">
            <w:pPr>
              <w:snapToGrid w:val="0"/>
              <w:spacing w:after="0" w:line="240" w:lineRule="auto"/>
              <w:ind w:left="0" w:leftChars="0" w:right="0" w:rightChars="0" w:firstLine="0" w:firstLineChars="0"/>
              <w:jc w:val="left"/>
              <w:rPr>
                <w:rFonts w:ascii="Times New Roman" w:eastAsia="ＭＳ 明朝"/>
                <w:sz w:val="18"/>
              </w:rPr>
            </w:pPr>
            <w:r>
              <w:rPr>
                <w:rFonts w:ascii="Times New Roman" w:hAnsi="Times New Roman" w:eastAsia="ＭＳ 明朝"/>
                <w:sz w:val="18"/>
              </w:rPr>
              <w:t>5.7</w:t>
            </w:r>
          </w:p>
        </w:tc>
        <w:tc>
          <w:tcPr>
            <w:tcW w:w="1718" w:type="dxa"/>
            <w:tcMar>
              <w:top w:w="80" w:type="dxa"/>
              <w:left w:w="80" w:type="dxa"/>
              <w:bottom w:w="80" w:type="dxa"/>
              <w:right w:w="80" w:type="dxa"/>
            </w:tcMar>
            <w:vAlign w:val="center"/>
          </w:tcPr>
          <w:p w14:paraId="2F7E611B">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66.2</w:t>
            </w:r>
          </w:p>
        </w:tc>
        <w:tc>
          <w:tcPr>
            <w:tcW w:w="1700" w:type="dxa"/>
            <w:tcMar>
              <w:top w:w="80" w:type="dxa"/>
              <w:left w:w="80" w:type="dxa"/>
              <w:bottom w:w="80" w:type="dxa"/>
              <w:right w:w="80" w:type="dxa"/>
            </w:tcMar>
            <w:vAlign w:val="center"/>
          </w:tcPr>
          <w:p w14:paraId="6C455F41">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28.1</w:t>
            </w:r>
          </w:p>
        </w:tc>
        <w:tc>
          <w:tcPr>
            <w:tcW w:w="1517" w:type="dxa"/>
            <w:tcMar>
              <w:top w:w="80" w:type="dxa"/>
              <w:left w:w="80" w:type="dxa"/>
              <w:bottom w:w="80" w:type="dxa"/>
              <w:right w:w="80" w:type="dxa"/>
            </w:tcMar>
            <w:vAlign w:val="center"/>
          </w:tcPr>
          <w:p w14:paraId="525EC733">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−0.24</w:t>
            </w:r>
          </w:p>
        </w:tc>
      </w:tr>
      <w:tr w14:paraId="0B6F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5" w:type="dxa"/>
            <w:tcMar>
              <w:top w:w="80" w:type="dxa"/>
              <w:left w:w="80" w:type="dxa"/>
              <w:bottom w:w="80" w:type="dxa"/>
              <w:right w:w="80" w:type="dxa"/>
            </w:tcMar>
            <w:vAlign w:val="center"/>
          </w:tcPr>
          <w:p w14:paraId="0C8C7213">
            <w:pPr>
              <w:snapToGrid w:val="0"/>
              <w:spacing w:after="0" w:line="240" w:lineRule="auto"/>
              <w:ind w:left="0" w:leftChars="0" w:right="0" w:rightChars="0" w:firstLine="0" w:firstLineChars="0"/>
              <w:jc w:val="center"/>
              <w:rPr>
                <w:rFonts w:ascii="Times New Roman" w:eastAsia="ＭＳ 明朝"/>
                <w:sz w:val="18"/>
              </w:rPr>
            </w:pPr>
            <w:r>
              <w:rPr>
                <w:rFonts w:ascii="Times New Roman" w:hAnsi="Times New Roman" w:eastAsia="ＭＳ 明朝"/>
                <w:sz w:val="18"/>
              </w:rPr>
              <w:t>Nordic comparison</w:t>
            </w:r>
          </w:p>
        </w:tc>
        <w:tc>
          <w:tcPr>
            <w:tcW w:w="1542" w:type="dxa"/>
            <w:tcMar>
              <w:top w:w="80" w:type="dxa"/>
              <w:left w:w="80" w:type="dxa"/>
              <w:bottom w:w="80" w:type="dxa"/>
              <w:right w:w="80" w:type="dxa"/>
            </w:tcMar>
            <w:vAlign w:val="center"/>
          </w:tcPr>
          <w:p w14:paraId="2353C615">
            <w:pPr>
              <w:snapToGrid w:val="0"/>
              <w:spacing w:after="0" w:line="240" w:lineRule="auto"/>
              <w:ind w:left="0" w:leftChars="0" w:right="0" w:rightChars="0" w:firstLine="0" w:firstLineChars="0"/>
              <w:jc w:val="left"/>
              <w:rPr>
                <w:rFonts w:ascii="Times New Roman" w:eastAsia="ＭＳ 明朝"/>
                <w:sz w:val="18"/>
              </w:rPr>
            </w:pPr>
            <w:r>
              <w:rPr>
                <w:rFonts w:ascii="Times New Roman" w:hAnsi="Times New Roman" w:eastAsia="ＭＳ 明朝"/>
                <w:sz w:val="18"/>
              </w:rPr>
              <w:t>12.1</w:t>
            </w:r>
          </w:p>
        </w:tc>
        <w:tc>
          <w:tcPr>
            <w:tcW w:w="1718" w:type="dxa"/>
            <w:tcMar>
              <w:top w:w="80" w:type="dxa"/>
              <w:left w:w="80" w:type="dxa"/>
              <w:bottom w:w="80" w:type="dxa"/>
              <w:right w:w="80" w:type="dxa"/>
            </w:tcMar>
            <w:vAlign w:val="center"/>
          </w:tcPr>
          <w:p w14:paraId="7369F247">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33.9</w:t>
            </w:r>
          </w:p>
        </w:tc>
        <w:tc>
          <w:tcPr>
            <w:tcW w:w="1700" w:type="dxa"/>
            <w:tcMar>
              <w:top w:w="80" w:type="dxa"/>
              <w:left w:w="80" w:type="dxa"/>
              <w:bottom w:w="80" w:type="dxa"/>
              <w:right w:w="80" w:type="dxa"/>
            </w:tcMar>
            <w:vAlign w:val="center"/>
          </w:tcPr>
          <w:p w14:paraId="324D9558">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54.0</w:t>
            </w:r>
          </w:p>
        </w:tc>
        <w:tc>
          <w:tcPr>
            <w:tcW w:w="1517" w:type="dxa"/>
            <w:tcMar>
              <w:top w:w="80" w:type="dxa"/>
              <w:left w:w="80" w:type="dxa"/>
              <w:bottom w:w="80" w:type="dxa"/>
              <w:right w:w="80" w:type="dxa"/>
            </w:tcMar>
            <w:vAlign w:val="center"/>
          </w:tcPr>
          <w:p w14:paraId="5839CD0C">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−0.06</w:t>
            </w:r>
          </w:p>
        </w:tc>
      </w:tr>
      <w:tr w14:paraId="1F8B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95" w:type="dxa"/>
            <w:tcMar>
              <w:top w:w="80" w:type="dxa"/>
              <w:left w:w="80" w:type="dxa"/>
              <w:bottom w:w="80" w:type="dxa"/>
              <w:right w:w="80" w:type="dxa"/>
            </w:tcMar>
            <w:vAlign w:val="center"/>
          </w:tcPr>
          <w:p w14:paraId="5CAFE63A">
            <w:pPr>
              <w:snapToGrid w:val="0"/>
              <w:spacing w:after="0" w:line="240" w:lineRule="auto"/>
              <w:ind w:left="0" w:leftChars="0" w:right="0" w:rightChars="0" w:firstLine="0" w:firstLineChars="0"/>
              <w:jc w:val="center"/>
              <w:rPr>
                <w:rFonts w:ascii="Times New Roman" w:eastAsia="ＭＳ 明朝"/>
                <w:sz w:val="18"/>
              </w:rPr>
            </w:pPr>
            <w:r>
              <w:rPr>
                <w:rFonts w:ascii="Times New Roman" w:hAnsi="Times New Roman" w:eastAsia="ＭＳ 明朝"/>
                <w:sz w:val="18"/>
              </w:rPr>
              <w:t>Pan-Arctic</w:t>
            </w:r>
          </w:p>
        </w:tc>
        <w:tc>
          <w:tcPr>
            <w:tcW w:w="1542" w:type="dxa"/>
            <w:tcMar>
              <w:top w:w="80" w:type="dxa"/>
              <w:left w:w="80" w:type="dxa"/>
              <w:bottom w:w="80" w:type="dxa"/>
              <w:right w:w="80" w:type="dxa"/>
            </w:tcMar>
            <w:vAlign w:val="center"/>
          </w:tcPr>
          <w:p w14:paraId="7FDD82D1">
            <w:pPr>
              <w:snapToGrid w:val="0"/>
              <w:spacing w:after="0" w:line="240" w:lineRule="auto"/>
              <w:ind w:left="0" w:leftChars="0" w:right="0" w:rightChars="0" w:firstLine="0" w:firstLineChars="0"/>
              <w:jc w:val="left"/>
              <w:rPr>
                <w:rFonts w:ascii="Times New Roman" w:eastAsia="ＭＳ 明朝"/>
                <w:sz w:val="18"/>
              </w:rPr>
            </w:pPr>
            <w:r>
              <w:rPr>
                <w:rFonts w:ascii="Times New Roman" w:hAnsi="Times New Roman" w:eastAsia="ＭＳ 明朝"/>
                <w:sz w:val="18"/>
              </w:rPr>
              <w:t>22.5</w:t>
            </w:r>
          </w:p>
        </w:tc>
        <w:tc>
          <w:tcPr>
            <w:tcW w:w="1718" w:type="dxa"/>
            <w:tcMar>
              <w:top w:w="80" w:type="dxa"/>
              <w:left w:w="80" w:type="dxa"/>
              <w:bottom w:w="80" w:type="dxa"/>
              <w:right w:w="80" w:type="dxa"/>
            </w:tcMar>
            <w:vAlign w:val="center"/>
          </w:tcPr>
          <w:p w14:paraId="17F18792">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28.7</w:t>
            </w:r>
          </w:p>
        </w:tc>
        <w:tc>
          <w:tcPr>
            <w:tcW w:w="1700" w:type="dxa"/>
            <w:tcMar>
              <w:top w:w="80" w:type="dxa"/>
              <w:left w:w="80" w:type="dxa"/>
              <w:bottom w:w="80" w:type="dxa"/>
              <w:right w:w="80" w:type="dxa"/>
            </w:tcMar>
            <w:vAlign w:val="center"/>
          </w:tcPr>
          <w:p w14:paraId="686D8CA8">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48.8</w:t>
            </w:r>
          </w:p>
        </w:tc>
        <w:tc>
          <w:tcPr>
            <w:tcW w:w="1517" w:type="dxa"/>
            <w:tcMar>
              <w:top w:w="80" w:type="dxa"/>
              <w:left w:w="80" w:type="dxa"/>
              <w:bottom w:w="80" w:type="dxa"/>
              <w:right w:w="80" w:type="dxa"/>
            </w:tcMar>
            <w:vAlign w:val="center"/>
          </w:tcPr>
          <w:p w14:paraId="713D55B4">
            <w:pPr>
              <w:snapToGrid w:val="0"/>
              <w:spacing w:after="0" w:line="240" w:lineRule="auto"/>
              <w:ind w:left="0" w:leftChars="0" w:right="0" w:rightChars="0" w:firstLine="0" w:firstLineChars="0"/>
              <w:jc w:val="right"/>
              <w:rPr>
                <w:rFonts w:ascii="Times New Roman" w:eastAsia="ＭＳ 明朝"/>
                <w:sz w:val="18"/>
              </w:rPr>
            </w:pPr>
            <w:r>
              <w:rPr>
                <w:rFonts w:ascii="Times New Roman" w:hAnsi="Times New Roman" w:eastAsia="ＭＳ 明朝"/>
                <w:sz w:val="18"/>
              </w:rPr>
              <w:t>−0.02</w:t>
            </w:r>
          </w:p>
        </w:tc>
      </w:tr>
    </w:tbl>
    <w:p w14:paraId="320382C9">
      <w:pPr>
        <w:spacing w:after="40"/>
      </w:pPr>
    </w:p>
    <w:p w14:paraId="4FD03658">
      <w:pPr>
        <w:pStyle w:val="19"/>
        <w:spacing w:after="120" w:line="240" w:lineRule="auto"/>
      </w:pPr>
      <w:r>
        <w:rPr>
          <w:rFonts w:ascii="Times New Roman" w:hAnsi="Times New Roman"/>
          <w:sz w:val="24"/>
        </w:rPr>
        <w:t>The |r|≤0.2 category denotes weak correlation by the chosen magnitude threshold; it is not a statistical non-significance category.</w:t>
      </w:r>
    </w:p>
    <w:p w14:paraId="22F5CF7E">
      <w:pPr>
        <w:pStyle w:val="3"/>
        <w:keepNext/>
        <w:spacing w:before="240" w:after="80"/>
        <w:rPr>
          <w:color w:val="auto"/>
        </w:rPr>
      </w:pPr>
      <w:r>
        <w:rPr>
          <w:rFonts w:ascii="Times New Roman" w:hAnsi="Times New Roman"/>
          <w:color w:val="auto"/>
          <w:sz w:val="24"/>
        </w:rPr>
        <w:t>4. Supplementary Table 3 | Data sources and specifications</w:t>
      </w: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5"/>
        <w:gridCol w:w="2466"/>
        <w:gridCol w:w="1533"/>
        <w:gridCol w:w="1172"/>
        <w:gridCol w:w="2326"/>
      </w:tblGrid>
      <w:tr w14:paraId="4A2E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6" w:type="dxa"/>
            <w:shd w:val="clear" w:color="auto" w:fill="D9E2F3"/>
            <w:tcMar>
              <w:top w:w="80" w:type="dxa"/>
              <w:left w:w="80" w:type="dxa"/>
              <w:bottom w:w="80" w:type="dxa"/>
              <w:right w:w="80" w:type="dxa"/>
            </w:tcMar>
            <w:vAlign w:val="center"/>
          </w:tcPr>
          <w:p w14:paraId="16854A11">
            <w:pPr>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Dataset</w:t>
            </w:r>
          </w:p>
        </w:tc>
        <w:tc>
          <w:tcPr>
            <w:tcW w:w="0" w:type="auto"/>
            <w:shd w:val="clear" w:color="auto" w:fill="D9E2F3"/>
            <w:tcMar>
              <w:top w:w="80" w:type="dxa"/>
              <w:left w:w="80" w:type="dxa"/>
              <w:bottom w:w="80" w:type="dxa"/>
              <w:right w:w="80" w:type="dxa"/>
            </w:tcMar>
            <w:vAlign w:val="center"/>
          </w:tcPr>
          <w:p w14:paraId="481FC572">
            <w:pPr>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Variable</w:t>
            </w:r>
          </w:p>
        </w:tc>
        <w:tc>
          <w:tcPr>
            <w:tcW w:w="1533" w:type="dxa"/>
            <w:shd w:val="clear" w:color="auto" w:fill="D9E2F3"/>
            <w:tcMar>
              <w:top w:w="80" w:type="dxa"/>
              <w:left w:w="80" w:type="dxa"/>
              <w:bottom w:w="80" w:type="dxa"/>
              <w:right w:w="80" w:type="dxa"/>
            </w:tcMar>
            <w:vAlign w:val="center"/>
          </w:tcPr>
          <w:p w14:paraId="10C2587D">
            <w:pPr>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Resolution</w:t>
            </w:r>
          </w:p>
        </w:tc>
        <w:tc>
          <w:tcPr>
            <w:tcW w:w="1172" w:type="dxa"/>
            <w:shd w:val="clear" w:color="auto" w:fill="D9E2F3"/>
            <w:tcMar>
              <w:top w:w="80" w:type="dxa"/>
              <w:left w:w="80" w:type="dxa"/>
              <w:bottom w:w="80" w:type="dxa"/>
              <w:right w:w="80" w:type="dxa"/>
            </w:tcMar>
            <w:vAlign w:val="center"/>
          </w:tcPr>
          <w:p w14:paraId="51EC9B10">
            <w:pPr>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Coverage</w:t>
            </w:r>
          </w:p>
        </w:tc>
        <w:tc>
          <w:tcPr>
            <w:tcW w:w="2326" w:type="dxa"/>
            <w:shd w:val="clear" w:color="auto" w:fill="D9E2F3"/>
            <w:tcMar>
              <w:top w:w="80" w:type="dxa"/>
              <w:left w:w="80" w:type="dxa"/>
              <w:bottom w:w="80" w:type="dxa"/>
              <w:right w:w="80" w:type="dxa"/>
            </w:tcMar>
            <w:vAlign w:val="center"/>
          </w:tcPr>
          <w:p w14:paraId="2876FB1F">
            <w:pPr>
              <w:snapToGrid w:val="0"/>
              <w:spacing w:line="240" w:lineRule="auto"/>
              <w:ind w:left="0" w:leftChars="0" w:right="0" w:rightChars="0" w:firstLine="0" w:firstLineChars="0"/>
              <w:jc w:val="center"/>
              <w:rPr>
                <w:rFonts w:ascii="Arial" w:eastAsia="ＭＳ 明朝"/>
                <w:b/>
                <w:sz w:val="17"/>
              </w:rPr>
            </w:pPr>
            <w:r>
              <w:rPr>
                <w:rFonts w:ascii="Arial" w:hAnsi="Arial" w:eastAsia="ＭＳ 明朝"/>
                <w:b/>
                <w:sz w:val="17"/>
              </w:rPr>
              <w:t>Source</w:t>
            </w:r>
          </w:p>
        </w:tc>
      </w:tr>
      <w:tr w14:paraId="092E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76" w:type="dxa"/>
            <w:tcMar>
              <w:top w:w="80" w:type="dxa"/>
              <w:left w:w="80" w:type="dxa"/>
              <w:bottom w:w="80" w:type="dxa"/>
              <w:right w:w="80" w:type="dxa"/>
            </w:tcMar>
            <w:vAlign w:val="center"/>
          </w:tcPr>
          <w:p w14:paraId="644C7265">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CHELSA v2.1</w:t>
            </w:r>
          </w:p>
        </w:tc>
        <w:tc>
          <w:tcPr>
            <w:tcW w:w="0" w:type="auto"/>
            <w:tcMar>
              <w:top w:w="80" w:type="dxa"/>
              <w:left w:w="80" w:type="dxa"/>
              <w:bottom w:w="80" w:type="dxa"/>
              <w:right w:w="80" w:type="dxa"/>
            </w:tcMar>
            <w:vAlign w:val="center"/>
          </w:tcPr>
          <w:p w14:paraId="09AA22FE">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Near-surface air temperature</w:t>
            </w:r>
          </w:p>
        </w:tc>
        <w:tc>
          <w:tcPr>
            <w:tcW w:w="1533" w:type="dxa"/>
            <w:tcMar>
              <w:top w:w="80" w:type="dxa"/>
              <w:left w:w="80" w:type="dxa"/>
              <w:bottom w:w="80" w:type="dxa"/>
              <w:right w:w="80" w:type="dxa"/>
            </w:tcMar>
            <w:vAlign w:val="center"/>
          </w:tcPr>
          <w:p w14:paraId="3AF9141C">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30 arc-second (~1 km)</w:t>
            </w:r>
          </w:p>
        </w:tc>
        <w:tc>
          <w:tcPr>
            <w:tcW w:w="1172" w:type="dxa"/>
            <w:tcMar>
              <w:top w:w="80" w:type="dxa"/>
              <w:left w:w="80" w:type="dxa"/>
              <w:bottom w:w="80" w:type="dxa"/>
              <w:right w:w="80" w:type="dxa"/>
            </w:tcMar>
            <w:vAlign w:val="center"/>
          </w:tcPr>
          <w:p w14:paraId="1F831DA7">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2000–2021</w:t>
            </w:r>
          </w:p>
        </w:tc>
        <w:tc>
          <w:tcPr>
            <w:tcW w:w="2326" w:type="dxa"/>
            <w:tcMar>
              <w:top w:w="80" w:type="dxa"/>
              <w:left w:w="80" w:type="dxa"/>
              <w:bottom w:w="80" w:type="dxa"/>
              <w:right w:w="80" w:type="dxa"/>
            </w:tcMar>
            <w:vAlign w:val="center"/>
          </w:tcPr>
          <w:p w14:paraId="4F9334AB">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Karger et al. (2017)</w:t>
            </w:r>
          </w:p>
        </w:tc>
      </w:tr>
      <w:tr w14:paraId="2408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76" w:type="dxa"/>
            <w:tcMar>
              <w:top w:w="80" w:type="dxa"/>
              <w:left w:w="80" w:type="dxa"/>
              <w:bottom w:w="80" w:type="dxa"/>
              <w:right w:w="80" w:type="dxa"/>
            </w:tcMar>
            <w:vAlign w:val="center"/>
          </w:tcPr>
          <w:p w14:paraId="507F2FA1">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CHELSA v2.1 CMIP6</w:t>
            </w:r>
          </w:p>
        </w:tc>
        <w:tc>
          <w:tcPr>
            <w:tcW w:w="0" w:type="auto"/>
            <w:tcMar>
              <w:top w:w="80" w:type="dxa"/>
              <w:left w:w="80" w:type="dxa"/>
              <w:bottom w:w="80" w:type="dxa"/>
              <w:right w:w="80" w:type="dxa"/>
            </w:tcMar>
            <w:vAlign w:val="center"/>
          </w:tcPr>
          <w:p w14:paraId="4101A356">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Future MAT, SSP1-2.6 and SSP5-8.5</w:t>
            </w:r>
          </w:p>
        </w:tc>
        <w:tc>
          <w:tcPr>
            <w:tcW w:w="1533" w:type="dxa"/>
            <w:tcMar>
              <w:top w:w="80" w:type="dxa"/>
              <w:left w:w="80" w:type="dxa"/>
              <w:bottom w:w="80" w:type="dxa"/>
              <w:right w:w="80" w:type="dxa"/>
            </w:tcMar>
            <w:vAlign w:val="center"/>
          </w:tcPr>
          <w:p w14:paraId="2877C7C8">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30 arc-second (~1 km)</w:t>
            </w:r>
          </w:p>
        </w:tc>
        <w:tc>
          <w:tcPr>
            <w:tcW w:w="1172" w:type="dxa"/>
            <w:tcMar>
              <w:top w:w="80" w:type="dxa"/>
              <w:left w:w="80" w:type="dxa"/>
              <w:bottom w:w="80" w:type="dxa"/>
              <w:right w:w="80" w:type="dxa"/>
            </w:tcMar>
            <w:vAlign w:val="center"/>
          </w:tcPr>
          <w:p w14:paraId="5B7AA950">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2071–2100</w:t>
            </w:r>
          </w:p>
        </w:tc>
        <w:tc>
          <w:tcPr>
            <w:tcW w:w="2326" w:type="dxa"/>
            <w:tcMar>
              <w:top w:w="80" w:type="dxa"/>
              <w:left w:w="80" w:type="dxa"/>
              <w:bottom w:w="80" w:type="dxa"/>
              <w:right w:w="80" w:type="dxa"/>
            </w:tcMar>
            <w:vAlign w:val="center"/>
          </w:tcPr>
          <w:p w14:paraId="35D0DD30">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CHELSA</w:t>
            </w:r>
          </w:p>
        </w:tc>
      </w:tr>
      <w:tr w14:paraId="6342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76" w:type="dxa"/>
            <w:tcMar>
              <w:top w:w="80" w:type="dxa"/>
              <w:left w:w="80" w:type="dxa"/>
              <w:bottom w:w="80" w:type="dxa"/>
              <w:right w:w="80" w:type="dxa"/>
            </w:tcMar>
            <w:vAlign w:val="center"/>
          </w:tcPr>
          <w:p w14:paraId="36FB204B">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DeepNTL</w:t>
            </w:r>
          </w:p>
        </w:tc>
        <w:tc>
          <w:tcPr>
            <w:tcW w:w="0" w:type="auto"/>
            <w:tcMar>
              <w:top w:w="80" w:type="dxa"/>
              <w:left w:w="80" w:type="dxa"/>
              <w:bottom w:w="80" w:type="dxa"/>
              <w:right w:w="80" w:type="dxa"/>
            </w:tcMar>
            <w:vAlign w:val="center"/>
          </w:tcPr>
          <w:p w14:paraId="06CA0F40">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Nighttime-light intensity</w:t>
            </w:r>
          </w:p>
        </w:tc>
        <w:tc>
          <w:tcPr>
            <w:tcW w:w="1533" w:type="dxa"/>
            <w:tcMar>
              <w:top w:w="80" w:type="dxa"/>
              <w:left w:w="80" w:type="dxa"/>
              <w:bottom w:w="80" w:type="dxa"/>
              <w:right w:w="80" w:type="dxa"/>
            </w:tcMar>
            <w:vAlign w:val="center"/>
          </w:tcPr>
          <w:p w14:paraId="6D8A5EAC">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~1 km</w:t>
            </w:r>
          </w:p>
        </w:tc>
        <w:tc>
          <w:tcPr>
            <w:tcW w:w="1172" w:type="dxa"/>
            <w:tcMar>
              <w:top w:w="80" w:type="dxa"/>
              <w:left w:w="80" w:type="dxa"/>
              <w:bottom w:w="80" w:type="dxa"/>
              <w:right w:w="80" w:type="dxa"/>
            </w:tcMar>
            <w:vAlign w:val="center"/>
          </w:tcPr>
          <w:p w14:paraId="24F65A77">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2000–2021</w:t>
            </w:r>
          </w:p>
        </w:tc>
        <w:tc>
          <w:tcPr>
            <w:tcW w:w="2326" w:type="dxa"/>
            <w:tcMar>
              <w:top w:w="80" w:type="dxa"/>
              <w:left w:w="80" w:type="dxa"/>
              <w:bottom w:w="80" w:type="dxa"/>
              <w:right w:w="80" w:type="dxa"/>
            </w:tcMar>
            <w:vAlign w:val="center"/>
          </w:tcPr>
          <w:p w14:paraId="2A7BF7C3">
            <w:pPr>
              <w:snapToGrid w:val="0"/>
              <w:spacing w:line="240" w:lineRule="auto"/>
              <w:ind w:left="0" w:leftChars="0" w:right="0" w:rightChars="0" w:firstLine="0" w:firstLineChars="0"/>
              <w:jc w:val="center"/>
              <w:rPr>
                <w:rFonts w:ascii="Times New Roman" w:eastAsia="ＭＳ 明朝"/>
                <w:sz w:val="17"/>
              </w:rPr>
            </w:pPr>
            <w:r>
              <w:rPr>
                <w:rFonts w:ascii="Times New Roman" w:eastAsia="ＭＳ 明朝"/>
                <w:sz w:val="17"/>
              </w:rPr>
              <w:t>Guo et al. (2023), Zenodo</w:t>
            </w:r>
          </w:p>
        </w:tc>
      </w:tr>
      <w:tr w14:paraId="2242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76" w:type="dxa"/>
            <w:tcMar>
              <w:top w:w="80" w:type="dxa"/>
              <w:left w:w="80" w:type="dxa"/>
              <w:bottom w:w="80" w:type="dxa"/>
              <w:right w:w="80" w:type="dxa"/>
            </w:tcMar>
            <w:vAlign w:val="center"/>
          </w:tcPr>
          <w:p w14:paraId="09DDDDCE">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GLC_FCS30D</w:t>
            </w:r>
          </w:p>
        </w:tc>
        <w:tc>
          <w:tcPr>
            <w:tcW w:w="0" w:type="auto"/>
            <w:tcMar>
              <w:top w:w="80" w:type="dxa"/>
              <w:left w:w="80" w:type="dxa"/>
              <w:bottom w:w="80" w:type="dxa"/>
              <w:right w:w="80" w:type="dxa"/>
            </w:tcMar>
            <w:vAlign w:val="center"/>
          </w:tcPr>
          <w:p w14:paraId="21D0E276">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Cropland and impervious surface</w:t>
            </w:r>
          </w:p>
        </w:tc>
        <w:tc>
          <w:tcPr>
            <w:tcW w:w="1533" w:type="dxa"/>
            <w:tcMar>
              <w:top w:w="80" w:type="dxa"/>
              <w:left w:w="80" w:type="dxa"/>
              <w:bottom w:w="80" w:type="dxa"/>
              <w:right w:w="80" w:type="dxa"/>
            </w:tcMar>
            <w:vAlign w:val="center"/>
          </w:tcPr>
          <w:p w14:paraId="3CFCBF1C">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30 m</w:t>
            </w:r>
          </w:p>
        </w:tc>
        <w:tc>
          <w:tcPr>
            <w:tcW w:w="1172" w:type="dxa"/>
            <w:tcMar>
              <w:top w:w="80" w:type="dxa"/>
              <w:left w:w="80" w:type="dxa"/>
              <w:bottom w:w="80" w:type="dxa"/>
              <w:right w:w="80" w:type="dxa"/>
            </w:tcMar>
            <w:vAlign w:val="center"/>
          </w:tcPr>
          <w:p w14:paraId="746541E1">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2000–2021</w:t>
            </w:r>
          </w:p>
        </w:tc>
        <w:tc>
          <w:tcPr>
            <w:tcW w:w="2326" w:type="dxa"/>
            <w:tcMar>
              <w:top w:w="80" w:type="dxa"/>
              <w:left w:w="80" w:type="dxa"/>
              <w:bottom w:w="80" w:type="dxa"/>
              <w:right w:w="80" w:type="dxa"/>
            </w:tcMar>
            <w:vAlign w:val="center"/>
          </w:tcPr>
          <w:p w14:paraId="3C20C536">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Zhang et al. (2024)</w:t>
            </w:r>
          </w:p>
        </w:tc>
      </w:tr>
      <w:tr w14:paraId="6CD1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76" w:type="dxa"/>
            <w:tcMar>
              <w:top w:w="80" w:type="dxa"/>
              <w:left w:w="80" w:type="dxa"/>
              <w:bottom w:w="80" w:type="dxa"/>
              <w:right w:w="80" w:type="dxa"/>
            </w:tcMar>
            <w:vAlign w:val="center"/>
          </w:tcPr>
          <w:p w14:paraId="3B3E5B29">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Obu MAGT</w:t>
            </w:r>
          </w:p>
        </w:tc>
        <w:tc>
          <w:tcPr>
            <w:tcW w:w="0" w:type="auto"/>
            <w:tcMar>
              <w:top w:w="80" w:type="dxa"/>
              <w:left w:w="80" w:type="dxa"/>
              <w:bottom w:w="80" w:type="dxa"/>
              <w:right w:w="80" w:type="dxa"/>
            </w:tcMar>
            <w:vAlign w:val="center"/>
          </w:tcPr>
          <w:p w14:paraId="6608E5FB">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Mean annual ground temperature</w:t>
            </w:r>
          </w:p>
        </w:tc>
        <w:tc>
          <w:tcPr>
            <w:tcW w:w="1533" w:type="dxa"/>
            <w:tcMar>
              <w:top w:w="80" w:type="dxa"/>
              <w:left w:w="80" w:type="dxa"/>
              <w:bottom w:w="80" w:type="dxa"/>
              <w:right w:w="80" w:type="dxa"/>
            </w:tcMar>
            <w:vAlign w:val="center"/>
          </w:tcPr>
          <w:p w14:paraId="63078E12">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1 km</w:t>
            </w:r>
          </w:p>
        </w:tc>
        <w:tc>
          <w:tcPr>
            <w:tcW w:w="1172" w:type="dxa"/>
            <w:tcMar>
              <w:top w:w="80" w:type="dxa"/>
              <w:left w:w="80" w:type="dxa"/>
              <w:bottom w:w="80" w:type="dxa"/>
              <w:right w:w="80" w:type="dxa"/>
            </w:tcMar>
            <w:vAlign w:val="center"/>
          </w:tcPr>
          <w:p w14:paraId="417F4B02">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2000–2016</w:t>
            </w:r>
          </w:p>
        </w:tc>
        <w:tc>
          <w:tcPr>
            <w:tcW w:w="2326" w:type="dxa"/>
            <w:tcMar>
              <w:top w:w="80" w:type="dxa"/>
              <w:left w:w="80" w:type="dxa"/>
              <w:bottom w:w="80" w:type="dxa"/>
              <w:right w:w="80" w:type="dxa"/>
            </w:tcMar>
            <w:vAlign w:val="center"/>
          </w:tcPr>
          <w:p w14:paraId="59A70704">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Obu et al. (2019)</w:t>
            </w:r>
          </w:p>
        </w:tc>
      </w:tr>
      <w:tr w14:paraId="1A52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76" w:type="dxa"/>
            <w:tcMar>
              <w:top w:w="80" w:type="dxa"/>
              <w:left w:w="80" w:type="dxa"/>
              <w:bottom w:w="80" w:type="dxa"/>
              <w:right w:w="80" w:type="dxa"/>
            </w:tcMar>
            <w:vAlign w:val="center"/>
          </w:tcPr>
          <w:p w14:paraId="3E94B3B4">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FAO GAUL</w:t>
            </w:r>
          </w:p>
        </w:tc>
        <w:tc>
          <w:tcPr>
            <w:tcW w:w="2466" w:type="dxa"/>
            <w:tcMar>
              <w:top w:w="80" w:type="dxa"/>
              <w:left w:w="80" w:type="dxa"/>
              <w:bottom w:w="80" w:type="dxa"/>
              <w:right w:w="80" w:type="dxa"/>
            </w:tcMar>
            <w:vAlign w:val="center"/>
          </w:tcPr>
          <w:p w14:paraId="57A50A54">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Administrative boundaries</w:t>
            </w:r>
          </w:p>
        </w:tc>
        <w:tc>
          <w:tcPr>
            <w:tcW w:w="1533" w:type="dxa"/>
            <w:tcMar>
              <w:top w:w="80" w:type="dxa"/>
              <w:left w:w="80" w:type="dxa"/>
              <w:bottom w:w="80" w:type="dxa"/>
              <w:right w:w="80" w:type="dxa"/>
            </w:tcMar>
            <w:vAlign w:val="center"/>
          </w:tcPr>
          <w:p w14:paraId="750B69A2">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Vector</w:t>
            </w:r>
          </w:p>
        </w:tc>
        <w:tc>
          <w:tcPr>
            <w:tcW w:w="1172" w:type="dxa"/>
            <w:tcMar>
              <w:top w:w="80" w:type="dxa"/>
              <w:left w:w="80" w:type="dxa"/>
              <w:bottom w:w="80" w:type="dxa"/>
              <w:right w:w="80" w:type="dxa"/>
            </w:tcMar>
            <w:vAlign w:val="center"/>
          </w:tcPr>
          <w:p w14:paraId="496FADA8">
            <w:pPr>
              <w:snapToGrid w:val="0"/>
              <w:spacing w:after="0" w:line="240" w:lineRule="auto"/>
              <w:ind w:left="0" w:leftChars="0" w:right="0" w:rightChars="0" w:firstLine="0" w:firstLineChars="0"/>
              <w:jc w:val="left"/>
              <w:rPr>
                <w:rFonts w:ascii="Times New Roman" w:eastAsia="ＭＳ 明朝"/>
                <w:sz w:val="17"/>
              </w:rPr>
            </w:pPr>
            <w:r>
              <w:rPr>
                <w:rFonts w:ascii="Times New Roman" w:hAnsi="Times New Roman" w:eastAsia="ＭＳ 明朝"/>
                <w:sz w:val="17"/>
              </w:rPr>
              <w:t>Reference layer</w:t>
            </w:r>
          </w:p>
        </w:tc>
        <w:tc>
          <w:tcPr>
            <w:tcW w:w="2326" w:type="dxa"/>
            <w:tcMar>
              <w:top w:w="80" w:type="dxa"/>
              <w:left w:w="80" w:type="dxa"/>
              <w:bottom w:w="80" w:type="dxa"/>
              <w:right w:w="80" w:type="dxa"/>
            </w:tcMar>
            <w:vAlign w:val="center"/>
          </w:tcPr>
          <w:p w14:paraId="2EE1873C">
            <w:pPr>
              <w:snapToGrid w:val="0"/>
              <w:spacing w:after="0" w:line="240" w:lineRule="auto"/>
              <w:ind w:left="0" w:leftChars="0" w:right="0" w:rightChars="0" w:firstLine="0" w:firstLineChars="0"/>
              <w:jc w:val="center"/>
              <w:rPr>
                <w:rFonts w:ascii="Times New Roman" w:eastAsia="ＭＳ 明朝"/>
                <w:sz w:val="17"/>
              </w:rPr>
            </w:pPr>
            <w:r>
              <w:rPr>
                <w:rFonts w:ascii="Times New Roman" w:hAnsi="Times New Roman" w:eastAsia="ＭＳ 明朝"/>
                <w:sz w:val="17"/>
              </w:rPr>
              <w:t>FAO (2015)</w:t>
            </w:r>
          </w:p>
        </w:tc>
      </w:tr>
    </w:tbl>
    <w:p w14:paraId="59E9728A">
      <w:pPr>
        <w:spacing w:after="40"/>
      </w:pPr>
    </w:p>
    <w:p w14:paraId="76432D96">
      <w:pPr>
        <w:pStyle w:val="3"/>
        <w:keepNext/>
        <w:spacing w:before="240" w:after="80"/>
        <w:rPr>
          <w:color w:val="auto"/>
        </w:rPr>
      </w:pPr>
      <w:r>
        <w:rPr>
          <w:rFonts w:ascii="Times New Roman" w:hAnsi="Times New Roman"/>
          <w:color w:val="auto"/>
          <w:sz w:val="24"/>
        </w:rPr>
        <w:t>5. Supplementary Notes</w:t>
      </w:r>
    </w:p>
    <w:p w14:paraId="772A940E">
      <w:pPr>
        <w:pStyle w:val="4"/>
        <w:keepNext/>
        <w:spacing w:before="160" w:after="80"/>
        <w:rPr>
          <w:color w:val="auto"/>
        </w:rPr>
      </w:pPr>
      <w:r>
        <w:rPr>
          <w:rFonts w:ascii="Times New Roman" w:hAnsi="Times New Roman"/>
          <w:color w:val="auto"/>
          <w:sz w:val="22"/>
        </w:rPr>
        <w:t>5.1 Interpretation of the three indicators</w:t>
      </w:r>
    </w:p>
    <w:p w14:paraId="0EC9B489">
      <w:pPr>
        <w:pStyle w:val="19"/>
        <w:spacing w:after="120" w:line="360" w:lineRule="auto"/>
      </w:pPr>
      <w:r>
        <w:rPr>
          <w:rFonts w:ascii="Times New Roman" w:hAnsi="Times New Roman"/>
          <w:b/>
          <w:sz w:val="24"/>
        </w:rPr>
        <w:t>Nighttime lights.</w:t>
      </w:r>
      <w:r>
        <w:rPr>
          <w:rFonts w:ascii="Times New Roman" w:hAnsi="Times New Roman"/>
          <w:sz w:val="24"/>
        </w:rPr>
        <w:t xml:space="preserve"> NTL is used as a broad indicator of illuminated economic and settlement activity. It can respond to industrial operations, urban growth, energy infrastructure and sensor or lighting changes; it is not a direct measure of income or welfare.</w:t>
      </w:r>
    </w:p>
    <w:p w14:paraId="30A79785">
      <w:pPr>
        <w:pStyle w:val="19"/>
        <w:spacing w:after="120" w:line="360" w:lineRule="auto"/>
      </w:pPr>
      <w:r>
        <w:rPr>
          <w:rFonts w:ascii="Times New Roman" w:hAnsi="Times New Roman"/>
          <w:b/>
          <w:sz w:val="24"/>
        </w:rPr>
        <w:t>Cropland.</w:t>
      </w:r>
      <w:r>
        <w:rPr>
          <w:rFonts w:ascii="Times New Roman" w:hAnsi="Times New Roman"/>
          <w:sz w:val="24"/>
        </w:rPr>
        <w:t xml:space="preserve"> Cropland extent is expected to respond to thermal suitability, but also depends on soils, moisture, policy, accessibility, commodity demand and classification. It is not treated as a pure beneficiary of warming and does not measure yield or food security.</w:t>
      </w:r>
    </w:p>
    <w:p w14:paraId="46BDE73B">
      <w:pPr>
        <w:pStyle w:val="19"/>
        <w:spacing w:after="120" w:line="360" w:lineRule="auto"/>
      </w:pPr>
      <w:r>
        <w:rPr>
          <w:rFonts w:ascii="Times New Roman" w:hAnsi="Times New Roman"/>
          <w:b/>
          <w:sz w:val="24"/>
        </w:rPr>
        <w:t>Impervious surface area.</w:t>
      </w:r>
      <w:r>
        <w:rPr>
          <w:rFonts w:ascii="Times New Roman" w:hAnsi="Times New Roman"/>
          <w:sz w:val="24"/>
        </w:rPr>
        <w:t xml:space="preserve"> ISA represents mapped built and impervious surfaces. It can reflect construction, removal, land loss and classification change. It is used as an indicator of built-surface accumulation, not as a direct measure of infrastructure condition or resilience.</w:t>
      </w:r>
    </w:p>
    <w:p w14:paraId="69A6B9CC">
      <w:pPr>
        <w:pStyle w:val="4"/>
        <w:keepNext/>
        <w:spacing w:before="160" w:after="80"/>
        <w:rPr>
          <w:color w:val="auto"/>
        </w:rPr>
      </w:pPr>
      <w:r>
        <w:rPr>
          <w:rFonts w:ascii="Times New Roman" w:hAnsi="Times New Roman"/>
          <w:color w:val="auto"/>
          <w:sz w:val="22"/>
        </w:rPr>
        <w:t>5.2 Treatment of Greenland and the pooled estimate</w:t>
      </w:r>
    </w:p>
    <w:p w14:paraId="41F4C97E">
      <w:pPr>
        <w:pStyle w:val="19"/>
        <w:spacing w:after="120" w:line="360" w:lineRule="auto"/>
        <w:ind w:firstLine="420"/>
      </w:pPr>
      <w:r>
        <w:rPr>
          <w:rFonts w:ascii="Times New Roman" w:hAnsi="Times New Roman"/>
          <w:sz w:val="24"/>
        </w:rPr>
        <w:t>Greenland was excluded from the main quadratic ISA panel because near-zero annual values generated unstable log differences. Its −3.7% estimate was obtained from a reduced linear-temperature model. The pooled Alaska–Greenland estimate of −4.0% combines the two series to summarize a shared directional pattern; it should not be labelled a “North American permafrost region” estimate because Greenland is geographically distinct and Canada is not included.</w:t>
      </w:r>
    </w:p>
    <w:p w14:paraId="02B088BE">
      <w:pPr>
        <w:pStyle w:val="4"/>
        <w:keepNext/>
        <w:spacing w:before="160" w:after="80"/>
        <w:rPr>
          <w:color w:val="auto"/>
        </w:rPr>
      </w:pPr>
      <w:r>
        <w:rPr>
          <w:rFonts w:ascii="Times New Roman" w:hAnsi="Times New Roman"/>
          <w:color w:val="auto"/>
          <w:sz w:val="22"/>
        </w:rPr>
        <w:t>5.3 Validation of negative ISA pixels</w:t>
      </w:r>
    </w:p>
    <w:p w14:paraId="5A26CA75">
      <w:pPr>
        <w:pStyle w:val="19"/>
        <w:spacing w:after="120" w:line="360" w:lineRule="auto"/>
        <w:ind w:firstLine="420"/>
      </w:pPr>
      <w:r>
        <w:rPr>
          <w:sz w:val="24"/>
        </w:rPr>
        <w:t>One hundred negative-change pixels from Alaska and Greenland were visually reviewed using growing-season Landsat imagery and the World Settlement Footprint 2015 (WSF2015).12 Approximately 72% were consistent with built-surface removal, settlement disturbance or land loss; 18% were likely classification errors; and 10% were indeterminate. The exercise indicates that the negative signal is not entirely a product artefact, but it does not attribute each change to permafrost degradation.</w:t>
      </w:r>
    </w:p>
    <w:p w14:paraId="0AF106CA">
      <w:pPr>
        <w:pStyle w:val="4"/>
        <w:keepNext/>
        <w:spacing w:before="160" w:after="80"/>
        <w:rPr>
          <w:color w:val="auto"/>
        </w:rPr>
      </w:pPr>
      <w:r>
        <w:rPr>
          <w:rFonts w:ascii="Times New Roman" w:hAnsi="Times New Roman"/>
          <w:color w:val="auto"/>
          <w:sz w:val="22"/>
        </w:rPr>
        <w:t>5.4 Interpretation of the adaptation paradox</w:t>
      </w:r>
    </w:p>
    <w:p w14:paraId="60AD913B">
      <w:pPr>
        <w:pStyle w:val="19"/>
        <w:spacing w:after="120" w:line="360" w:lineRule="auto"/>
        <w:ind w:firstLine="420"/>
      </w:pPr>
      <w:r>
        <w:rPr>
          <w:rFonts w:ascii="Times New Roman" w:hAnsi="Times New Roman"/>
          <w:sz w:val="24"/>
        </w:rPr>
        <w:t>“Adaptation paradox” is used as a conceptual synthesis: warming may increase climatic suitability for some land uses while placing built surfaces in more challenging thermal environments. It is not presented as a single formally identified causal parameter. The manuscript therefore emphasizes divergent trajectories, counterfactual point estimates and thermal exposure rather than proven benefits, penalties or asset stranding.</w:t>
      </w:r>
    </w:p>
    <w:p w14:paraId="2988B83F">
      <w:pPr>
        <w:pStyle w:val="4"/>
        <w:keepNext/>
        <w:spacing w:before="160" w:after="80"/>
        <w:rPr>
          <w:color w:val="auto"/>
        </w:rPr>
      </w:pPr>
      <w:r>
        <w:rPr>
          <w:rFonts w:ascii="Times New Roman" w:hAnsi="Times New Roman"/>
          <w:color w:val="auto"/>
          <w:sz w:val="22"/>
        </w:rPr>
        <w:t>5.5 Scenario-projection assumptions</w:t>
      </w:r>
    </w:p>
    <w:p w14:paraId="51CFAF27">
      <w:pPr>
        <w:pStyle w:val="19"/>
        <w:spacing w:after="120" w:line="360" w:lineRule="auto"/>
        <w:ind w:firstLine="420"/>
      </w:pPr>
      <w:r>
        <w:rPr>
          <w:rFonts w:ascii="Times New Roman" w:hAnsi="Times New Roman"/>
          <w:sz w:val="24"/>
        </w:rPr>
        <w:t>The scenario overlay holds 2021 ISA fixed and does not model relocation, new construction, engineering reinforcement or asset retirement. It maps current ISA into future MAT classes associated historically with different MAGT conditions. The result is an upper-bound-style exposure screen only in the sense that no adaptive movement is represented; it is not an estimate of physical failure, economic loss or stranded assets.</w:t>
      </w:r>
    </w:p>
    <w:p w14:paraId="7979A6F4">
      <w:pPr>
        <w:pStyle w:val="19"/>
        <w:spacing w:after="120" w:line="360" w:lineRule="auto"/>
        <w:ind w:firstLine="420"/>
      </w:pPr>
      <w:r>
        <w:rPr>
          <w:rFonts w:ascii="Times New Roman" w:hAnsi="Times New Roman"/>
          <w:sz w:val="24"/>
        </w:rPr>
        <w:t>The MAT–MAGT relationship is empirical and static. Future snow, vegetation, hydrology and soil thermal properties may alter the air–ground offset, and transient ground-temperature lag is not represented. Process-based permafrost models and ground-ice information are required for engineering risk assessment.</w:t>
      </w:r>
    </w:p>
    <w:p w14:paraId="170F81B6">
      <w:pPr>
        <w:pStyle w:val="3"/>
        <w:keepNext/>
        <w:spacing w:before="240" w:after="80"/>
        <w:rPr>
          <w:color w:val="auto"/>
        </w:rPr>
      </w:pPr>
      <w:r>
        <w:rPr>
          <w:rFonts w:ascii="Times New Roman" w:hAnsi="Times New Roman"/>
          <w:color w:val="auto"/>
          <w:sz w:val="24"/>
        </w:rPr>
        <w:t>6. Supplementary References</w:t>
      </w:r>
    </w:p>
    <w:p w14:paraId="48D833EE">
      <w:pPr>
        <w:spacing w:after="40" w:line="240" w:lineRule="auto"/>
        <w:ind w:left="397" w:hanging="397"/>
      </w:pPr>
      <w:r>
        <w:rPr>
          <w:rFonts w:ascii="Times New Roman" w:hAnsi="Times New Roman" w:eastAsia="Times New Roman"/>
          <w:b/>
          <w:sz w:val="19"/>
        </w:rPr>
        <w:t xml:space="preserve">1. </w:t>
      </w:r>
      <w:r>
        <w:rPr>
          <w:rFonts w:ascii="Times New Roman" w:hAnsi="Times New Roman" w:eastAsia="Times New Roman"/>
          <w:sz w:val="19"/>
        </w:rPr>
        <w:t xml:space="preserve">Dell, M., Jones, B. F. &amp; Olken, B. A. What do we learn from the weather? The new climate–economy literature. </w:t>
      </w:r>
      <w:r>
        <w:rPr>
          <w:rFonts w:ascii="Times New Roman" w:hAnsi="Times New Roman" w:eastAsia="Times New Roman"/>
          <w:i/>
          <w:sz w:val="19"/>
        </w:rPr>
        <w:t>J. Econ. Lit.</w:t>
      </w:r>
      <w:r>
        <w:rPr>
          <w:rFonts w:ascii="Times New Roman" w:hAnsi="Times New Roman" w:eastAsia="Times New Roman"/>
          <w:sz w:val="19"/>
        </w:rPr>
        <w:t xml:space="preserve"> </w:t>
      </w:r>
      <w:r>
        <w:rPr>
          <w:rFonts w:ascii="Times New Roman" w:hAnsi="Times New Roman" w:eastAsia="Times New Roman"/>
          <w:b/>
          <w:sz w:val="19"/>
        </w:rPr>
        <w:t>52</w:t>
      </w:r>
      <w:r>
        <w:rPr>
          <w:rFonts w:ascii="Times New Roman" w:hAnsi="Times New Roman" w:eastAsia="Times New Roman"/>
          <w:sz w:val="19"/>
        </w:rPr>
        <w:t>, 740–798 (2014).</w:t>
      </w:r>
    </w:p>
    <w:p w14:paraId="266C59B4">
      <w:pPr>
        <w:spacing w:after="40" w:line="240" w:lineRule="auto"/>
        <w:ind w:left="397" w:hanging="397"/>
      </w:pPr>
      <w:r>
        <w:rPr>
          <w:rFonts w:ascii="Times New Roman" w:hAnsi="Times New Roman" w:eastAsia="Times New Roman"/>
          <w:b/>
          <w:sz w:val="19"/>
        </w:rPr>
        <w:t xml:space="preserve">2. </w:t>
      </w:r>
      <w:r>
        <w:rPr>
          <w:rFonts w:ascii="Times New Roman" w:hAnsi="Times New Roman" w:eastAsia="Times New Roman"/>
          <w:sz w:val="19"/>
        </w:rPr>
        <w:t xml:space="preserve">Hsiang, S. Climate econometrics. </w:t>
      </w:r>
      <w:r>
        <w:rPr>
          <w:rFonts w:ascii="Times New Roman" w:hAnsi="Times New Roman" w:eastAsia="Times New Roman"/>
          <w:i/>
          <w:sz w:val="19"/>
        </w:rPr>
        <w:t>Annu. Rev. Resour. Econ.</w:t>
      </w:r>
      <w:r>
        <w:rPr>
          <w:rFonts w:ascii="Times New Roman" w:hAnsi="Times New Roman" w:eastAsia="Times New Roman"/>
          <w:sz w:val="19"/>
        </w:rPr>
        <w:t xml:space="preserve"> </w:t>
      </w:r>
      <w:r>
        <w:rPr>
          <w:rFonts w:ascii="Times New Roman" w:hAnsi="Times New Roman" w:eastAsia="Times New Roman"/>
          <w:b/>
          <w:sz w:val="19"/>
        </w:rPr>
        <w:t>8</w:t>
      </w:r>
      <w:r>
        <w:rPr>
          <w:rFonts w:ascii="Times New Roman" w:hAnsi="Times New Roman" w:eastAsia="Times New Roman"/>
          <w:sz w:val="19"/>
        </w:rPr>
        <w:t>, 43–75 (2016).</w:t>
      </w:r>
    </w:p>
    <w:p w14:paraId="78A6D281">
      <w:pPr>
        <w:spacing w:after="40" w:line="240" w:lineRule="auto"/>
        <w:ind w:left="397" w:hanging="397"/>
      </w:pPr>
      <w:r>
        <w:rPr>
          <w:rFonts w:ascii="Times New Roman" w:hAnsi="Times New Roman" w:eastAsia="Times New Roman"/>
          <w:b/>
          <w:sz w:val="19"/>
        </w:rPr>
        <w:t xml:space="preserve">3. </w:t>
      </w:r>
      <w:r>
        <w:rPr>
          <w:rFonts w:ascii="Times New Roman" w:hAnsi="Times New Roman" w:eastAsia="Times New Roman"/>
          <w:sz w:val="19"/>
        </w:rPr>
        <w:t xml:space="preserve">Frisch, R. &amp; Waugh, F. V. Partial time regressions as compared with individual trends. </w:t>
      </w:r>
      <w:r>
        <w:rPr>
          <w:rFonts w:ascii="Times New Roman" w:hAnsi="Times New Roman" w:eastAsia="Times New Roman"/>
          <w:i/>
          <w:sz w:val="19"/>
        </w:rPr>
        <w:t>Econometrica</w:t>
      </w:r>
      <w:r>
        <w:rPr>
          <w:rFonts w:ascii="Times New Roman" w:hAnsi="Times New Roman" w:eastAsia="Times New Roman"/>
          <w:sz w:val="19"/>
        </w:rPr>
        <w:t xml:space="preserve"> </w:t>
      </w:r>
      <w:r>
        <w:rPr>
          <w:rFonts w:ascii="Times New Roman" w:hAnsi="Times New Roman" w:eastAsia="Times New Roman"/>
          <w:b/>
          <w:sz w:val="19"/>
        </w:rPr>
        <w:t>1</w:t>
      </w:r>
      <w:r>
        <w:rPr>
          <w:rFonts w:ascii="Times New Roman" w:hAnsi="Times New Roman" w:eastAsia="Times New Roman"/>
          <w:sz w:val="19"/>
        </w:rPr>
        <w:t>, 387–401 (1933).</w:t>
      </w:r>
    </w:p>
    <w:p w14:paraId="0B555D8D">
      <w:pPr>
        <w:spacing w:after="40" w:line="240" w:lineRule="auto"/>
        <w:ind w:left="397" w:hanging="397"/>
      </w:pPr>
      <w:r>
        <w:rPr>
          <w:rFonts w:ascii="Times New Roman" w:hAnsi="Times New Roman" w:eastAsia="Times New Roman"/>
          <w:b/>
          <w:sz w:val="19"/>
        </w:rPr>
        <w:t xml:space="preserve">4. </w:t>
      </w:r>
      <w:r>
        <w:rPr>
          <w:rFonts w:ascii="Times New Roman" w:hAnsi="Times New Roman" w:eastAsia="Times New Roman"/>
          <w:sz w:val="19"/>
        </w:rPr>
        <w:t xml:space="preserve">Lovell, M. C. Seasonal adjustment and linear models of economic time series. </w:t>
      </w:r>
      <w:r>
        <w:rPr>
          <w:rFonts w:ascii="Times New Roman" w:hAnsi="Times New Roman" w:eastAsia="Times New Roman"/>
          <w:i/>
          <w:sz w:val="19"/>
        </w:rPr>
        <w:t>J. Am. Stat. Assoc.</w:t>
      </w:r>
      <w:r>
        <w:rPr>
          <w:rFonts w:ascii="Times New Roman" w:hAnsi="Times New Roman" w:eastAsia="Times New Roman"/>
          <w:sz w:val="19"/>
        </w:rPr>
        <w:t xml:space="preserve"> </w:t>
      </w:r>
      <w:r>
        <w:rPr>
          <w:rFonts w:ascii="Times New Roman" w:hAnsi="Times New Roman" w:eastAsia="Times New Roman"/>
          <w:b/>
          <w:sz w:val="19"/>
        </w:rPr>
        <w:t>58</w:t>
      </w:r>
      <w:r>
        <w:rPr>
          <w:rFonts w:ascii="Times New Roman" w:hAnsi="Times New Roman" w:eastAsia="Times New Roman"/>
          <w:sz w:val="19"/>
        </w:rPr>
        <w:t>, 993–1010 (1963).</w:t>
      </w:r>
    </w:p>
    <w:p w14:paraId="5EE2DD3C">
      <w:pPr>
        <w:spacing w:after="40" w:line="240" w:lineRule="auto"/>
        <w:ind w:left="397" w:hanging="397"/>
      </w:pPr>
      <w:r>
        <w:rPr>
          <w:rFonts w:ascii="Times New Roman" w:hAnsi="Times New Roman" w:eastAsia="Times New Roman"/>
          <w:b/>
          <w:sz w:val="19"/>
        </w:rPr>
        <w:t xml:space="preserve">5. </w:t>
      </w:r>
      <w:r>
        <w:rPr>
          <w:rFonts w:ascii="Times New Roman" w:hAnsi="Times New Roman" w:eastAsia="Times New Roman"/>
          <w:sz w:val="19"/>
        </w:rPr>
        <w:t xml:space="preserve">Hjort, J. et al. Impacts of permafrost degradation on infrastructure. </w:t>
      </w:r>
      <w:r>
        <w:rPr>
          <w:rFonts w:ascii="Times New Roman" w:hAnsi="Times New Roman" w:eastAsia="Times New Roman"/>
          <w:i/>
          <w:sz w:val="19"/>
        </w:rPr>
        <w:t>Nat. Rev. Earth Environ.</w:t>
      </w:r>
      <w:r>
        <w:rPr>
          <w:rFonts w:ascii="Times New Roman" w:hAnsi="Times New Roman" w:eastAsia="Times New Roman"/>
          <w:sz w:val="19"/>
        </w:rPr>
        <w:t xml:space="preserve"> </w:t>
      </w:r>
      <w:r>
        <w:rPr>
          <w:rFonts w:ascii="Times New Roman" w:hAnsi="Times New Roman" w:eastAsia="Times New Roman"/>
          <w:b/>
          <w:sz w:val="19"/>
        </w:rPr>
        <w:t>3</w:t>
      </w:r>
      <w:r>
        <w:rPr>
          <w:rFonts w:ascii="Times New Roman" w:hAnsi="Times New Roman" w:eastAsia="Times New Roman"/>
          <w:sz w:val="19"/>
        </w:rPr>
        <w:t>, 24–38 (2022).</w:t>
      </w:r>
    </w:p>
    <w:p w14:paraId="36ACBF5B">
      <w:pPr>
        <w:spacing w:after="40" w:line="240" w:lineRule="auto"/>
        <w:ind w:left="397" w:hanging="397"/>
      </w:pPr>
      <w:r>
        <w:rPr>
          <w:rFonts w:ascii="Times New Roman" w:hAnsi="Times New Roman" w:eastAsia="Times New Roman"/>
          <w:b/>
          <w:sz w:val="19"/>
        </w:rPr>
        <w:t xml:space="preserve">6. </w:t>
      </w:r>
      <w:r>
        <w:rPr>
          <w:rFonts w:ascii="Times New Roman" w:hAnsi="Times New Roman" w:eastAsia="Times New Roman"/>
          <w:sz w:val="19"/>
        </w:rPr>
        <w:t xml:space="preserve">Jin, H. et al. The infrastructure cost of permafrost degradation for the Northern Hemisphere. </w:t>
      </w:r>
      <w:r>
        <w:rPr>
          <w:rFonts w:ascii="Times New Roman" w:hAnsi="Times New Roman" w:eastAsia="Times New Roman"/>
          <w:i/>
          <w:sz w:val="19"/>
        </w:rPr>
        <w:t>Glob. Environ. Change</w:t>
      </w:r>
      <w:r>
        <w:rPr>
          <w:rFonts w:ascii="Times New Roman" w:hAnsi="Times New Roman" w:eastAsia="Times New Roman"/>
          <w:sz w:val="19"/>
        </w:rPr>
        <w:t xml:space="preserve"> </w:t>
      </w:r>
      <w:r>
        <w:rPr>
          <w:rFonts w:ascii="Times New Roman" w:hAnsi="Times New Roman" w:eastAsia="Times New Roman"/>
          <w:b/>
          <w:sz w:val="19"/>
        </w:rPr>
        <w:t>84</w:t>
      </w:r>
      <w:r>
        <w:rPr>
          <w:rFonts w:ascii="Times New Roman" w:hAnsi="Times New Roman" w:eastAsia="Times New Roman"/>
          <w:sz w:val="19"/>
        </w:rPr>
        <w:t>, 102791 (2024).</w:t>
      </w:r>
    </w:p>
    <w:p w14:paraId="5103E917">
      <w:pPr>
        <w:spacing w:after="40" w:line="240" w:lineRule="auto"/>
        <w:ind w:left="397" w:hanging="397"/>
      </w:pPr>
      <w:r>
        <w:rPr>
          <w:rFonts w:ascii="Times New Roman" w:hAnsi="Times New Roman" w:eastAsia="Times New Roman"/>
          <w:b/>
          <w:sz w:val="19"/>
        </w:rPr>
        <w:t xml:space="preserve">7. </w:t>
      </w:r>
      <w:r>
        <w:rPr>
          <w:rFonts w:ascii="Times New Roman" w:hAnsi="Times New Roman" w:eastAsia="Times New Roman"/>
          <w:sz w:val="19"/>
        </w:rPr>
        <w:t>Wood, S. N. Generalized Additive Models: An Introduction with R, 2nd edn. Chapman &amp; Hall/CRC (2017).</w:t>
      </w:r>
    </w:p>
    <w:p w14:paraId="3A79D7FC">
      <w:pPr>
        <w:spacing w:after="40" w:line="240" w:lineRule="auto"/>
        <w:ind w:left="397" w:hanging="397"/>
      </w:pPr>
      <w:r>
        <w:rPr>
          <w:rFonts w:ascii="Times New Roman" w:hAnsi="Times New Roman" w:eastAsia="Times New Roman"/>
          <w:b/>
          <w:sz w:val="19"/>
        </w:rPr>
        <w:t xml:space="preserve">8. </w:t>
      </w:r>
      <w:r>
        <w:rPr>
          <w:rFonts w:ascii="Times New Roman" w:hAnsi="Times New Roman" w:eastAsia="Times New Roman"/>
          <w:sz w:val="19"/>
        </w:rPr>
        <w:t xml:space="preserve">Karger, D. N. et al. Climatologies at high resolution for the Earth’s land surface areas. </w:t>
      </w:r>
      <w:r>
        <w:rPr>
          <w:rFonts w:ascii="Times New Roman" w:hAnsi="Times New Roman" w:eastAsia="Times New Roman"/>
          <w:i/>
          <w:sz w:val="19"/>
        </w:rPr>
        <w:t>Sci. Data</w:t>
      </w:r>
      <w:r>
        <w:rPr>
          <w:rFonts w:ascii="Times New Roman" w:hAnsi="Times New Roman" w:eastAsia="Times New Roman"/>
          <w:sz w:val="19"/>
        </w:rPr>
        <w:t xml:space="preserve"> </w:t>
      </w:r>
      <w:r>
        <w:rPr>
          <w:rFonts w:ascii="Times New Roman" w:hAnsi="Times New Roman" w:eastAsia="Times New Roman"/>
          <w:b/>
          <w:sz w:val="19"/>
        </w:rPr>
        <w:t>4</w:t>
      </w:r>
      <w:r>
        <w:rPr>
          <w:rFonts w:ascii="Times New Roman" w:hAnsi="Times New Roman" w:eastAsia="Times New Roman"/>
          <w:sz w:val="19"/>
        </w:rPr>
        <w:t>, 170122 (2017).</w:t>
      </w:r>
    </w:p>
    <w:p w14:paraId="16F6997F">
      <w:pPr>
        <w:spacing w:after="40" w:line="240" w:lineRule="auto"/>
        <w:ind w:left="397" w:hanging="397"/>
      </w:pPr>
      <w:r>
        <w:rPr>
          <w:rFonts w:ascii="Times New Roman" w:hAnsi="Times New Roman" w:eastAsia="Times New Roman"/>
          <w:b/>
          <w:sz w:val="19"/>
        </w:rPr>
        <w:t xml:space="preserve">9. </w:t>
      </w:r>
      <w:r>
        <w:rPr>
          <w:rFonts w:ascii="Times New Roman" w:hAnsi="Times New Roman" w:eastAsia="Times New Roman"/>
          <w:sz w:val="19"/>
        </w:rPr>
        <w:t>Guo, J., Zhang, F., Zhao, H., Pan, B. &amp; Mei, L. Reconstructed Three-decade Global Fine-Grained Nighttime Light Dataset. Zenodo https://doi.org/10.5281/zenodo.15845676 (2023).</w:t>
      </w:r>
    </w:p>
    <w:p w14:paraId="0C03D794">
      <w:pPr>
        <w:spacing w:after="40" w:line="240" w:lineRule="auto"/>
        <w:ind w:left="397" w:hanging="397"/>
      </w:pPr>
      <w:r>
        <w:rPr>
          <w:rFonts w:ascii="Times New Roman" w:hAnsi="Times New Roman" w:eastAsia="Times New Roman"/>
          <w:b/>
          <w:sz w:val="19"/>
        </w:rPr>
        <w:t xml:space="preserve">10. </w:t>
      </w:r>
      <w:r>
        <w:rPr>
          <w:rFonts w:ascii="Times New Roman" w:hAnsi="Times New Roman" w:eastAsia="Times New Roman"/>
          <w:sz w:val="19"/>
        </w:rPr>
        <w:t xml:space="preserve">Zhang, X. et al. GLC_FCS30D: the first global 30 m land-cover dynamics monitoring product with a fine classification system for the period from 1985 to 2022 generated using dense-time-series Landsat imagery and the continuous change-detection method. </w:t>
      </w:r>
      <w:r>
        <w:rPr>
          <w:rFonts w:ascii="Times New Roman" w:hAnsi="Times New Roman" w:eastAsia="Times New Roman"/>
          <w:i/>
          <w:sz w:val="19"/>
        </w:rPr>
        <w:t>Earth Syst. Sci. Data</w:t>
      </w:r>
      <w:r>
        <w:rPr>
          <w:rFonts w:ascii="Times New Roman" w:hAnsi="Times New Roman" w:eastAsia="Times New Roman"/>
          <w:sz w:val="19"/>
        </w:rPr>
        <w:t xml:space="preserve"> </w:t>
      </w:r>
      <w:r>
        <w:rPr>
          <w:rFonts w:ascii="Times New Roman" w:hAnsi="Times New Roman" w:eastAsia="Times New Roman"/>
          <w:b/>
          <w:sz w:val="19"/>
        </w:rPr>
        <w:t>16</w:t>
      </w:r>
      <w:r>
        <w:rPr>
          <w:rFonts w:ascii="Times New Roman" w:hAnsi="Times New Roman" w:eastAsia="Times New Roman"/>
          <w:sz w:val="19"/>
        </w:rPr>
        <w:t>, 1353–1381 (2024).</w:t>
      </w:r>
    </w:p>
    <w:p w14:paraId="766081EA">
      <w:pPr>
        <w:spacing w:after="40" w:line="240" w:lineRule="auto"/>
        <w:ind w:left="397" w:hanging="397"/>
      </w:pPr>
      <w:r>
        <w:rPr>
          <w:rFonts w:ascii="Times New Roman" w:hAnsi="Times New Roman" w:eastAsia="Times New Roman"/>
          <w:b/>
          <w:sz w:val="19"/>
        </w:rPr>
        <w:t xml:space="preserve">11. </w:t>
      </w:r>
      <w:r>
        <w:rPr>
          <w:rFonts w:ascii="Times New Roman" w:hAnsi="Times New Roman" w:eastAsia="Times New Roman"/>
          <w:sz w:val="19"/>
        </w:rPr>
        <w:t xml:space="preserve">Obu, J. et al. Northern Hemisphere permafrost map based on TTOP modelling for 2000–2016 at 1 km² scale. </w:t>
      </w:r>
      <w:r>
        <w:rPr>
          <w:rFonts w:ascii="Times New Roman" w:hAnsi="Times New Roman" w:eastAsia="Times New Roman"/>
          <w:i/>
          <w:sz w:val="19"/>
        </w:rPr>
        <w:t>Earth-Sci. Rev.</w:t>
      </w:r>
      <w:r>
        <w:rPr>
          <w:rFonts w:ascii="Times New Roman" w:hAnsi="Times New Roman" w:eastAsia="Times New Roman"/>
          <w:sz w:val="19"/>
        </w:rPr>
        <w:t xml:space="preserve"> </w:t>
      </w:r>
      <w:r>
        <w:rPr>
          <w:rFonts w:ascii="Times New Roman" w:hAnsi="Times New Roman" w:eastAsia="Times New Roman"/>
          <w:b/>
          <w:sz w:val="19"/>
        </w:rPr>
        <w:t>193</w:t>
      </w:r>
      <w:r>
        <w:rPr>
          <w:rFonts w:ascii="Times New Roman" w:hAnsi="Times New Roman" w:eastAsia="Times New Roman"/>
          <w:sz w:val="19"/>
        </w:rPr>
        <w:t>, 299–316 (2019).</w:t>
      </w:r>
    </w:p>
    <w:p w14:paraId="37F627B5">
      <w:pPr>
        <w:spacing w:after="40" w:line="240" w:lineRule="auto"/>
        <w:ind w:left="397" w:hanging="397"/>
      </w:pPr>
      <w:r>
        <w:rPr>
          <w:rFonts w:ascii="Times New Roman" w:hAnsi="Times New Roman" w:eastAsia="Times New Roman"/>
          <w:b/>
          <w:sz w:val="19"/>
        </w:rPr>
        <w:t xml:space="preserve">12. </w:t>
      </w:r>
      <w:r>
        <w:rPr>
          <w:rFonts w:ascii="Times New Roman" w:hAnsi="Times New Roman" w:eastAsia="Times New Roman"/>
          <w:sz w:val="19"/>
        </w:rPr>
        <w:t xml:space="preserve">Marconcini, M. et al. Outlining where humans live, the World Settlement Footprint 2015. </w:t>
      </w:r>
      <w:r>
        <w:rPr>
          <w:rFonts w:ascii="Times New Roman" w:hAnsi="Times New Roman" w:eastAsia="Times New Roman"/>
          <w:i/>
          <w:sz w:val="19"/>
        </w:rPr>
        <w:t>Sci. Data</w:t>
      </w:r>
      <w:r>
        <w:rPr>
          <w:rFonts w:ascii="Times New Roman" w:hAnsi="Times New Roman" w:eastAsia="Times New Roman"/>
          <w:sz w:val="19"/>
        </w:rPr>
        <w:t xml:space="preserve"> </w:t>
      </w:r>
      <w:r>
        <w:rPr>
          <w:rFonts w:ascii="Times New Roman" w:hAnsi="Times New Roman" w:eastAsia="Times New Roman"/>
          <w:b/>
          <w:sz w:val="19"/>
        </w:rPr>
        <w:t>7</w:t>
      </w:r>
      <w:r>
        <w:rPr>
          <w:rFonts w:ascii="Times New Roman" w:hAnsi="Times New Roman" w:eastAsia="Times New Roman"/>
          <w:sz w:val="19"/>
        </w:rPr>
        <w:t>, 242 (2020).</w:t>
      </w:r>
    </w:p>
    <w:sectPr>
      <w:headerReference r:id="rId7" w:type="first"/>
      <w:footerReference r:id="rId10" w:type="first"/>
      <w:headerReference r:id="rId5" w:type="default"/>
      <w:footerReference r:id="rId8" w:type="default"/>
      <w:headerReference r:id="rId6" w:type="even"/>
      <w:footerReference r:id="rId9" w:type="even"/>
      <w:pgSz w:w="11906" w:h="16838"/>
      <w:pgMar w:top="1304" w:right="1361" w:bottom="1247" w:left="1474" w:header="720" w:footer="720" w:gutter="0"/>
      <w:lnNumType w:countBy="1" w:start="1" w:distance="360" w:restart="continuou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Math">
    <w:panose1 w:val="02040503050406030204"/>
    <w:charset w:val="00"/>
    <w:family w:val="auto"/>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4B818">
    <w:pPr>
      <w:pStyle w:val="24"/>
      <w:jc w:val="center"/>
    </w:pPr>
    <w:r>
      <w:fldChar w:fldCharType="begin"/>
    </w:r>
    <w:r>
      <w:instrText xml:space="preserve"> PAGE </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6371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C47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86BFC">
    <w:pPr>
      <w:pStyle w:val="25"/>
      <w:jc w:val="right"/>
    </w:pPr>
    <w:r>
      <w:rPr>
        <w:rFonts w:ascii="Times New Roman" w:hAnsi="Times New Roman"/>
        <w:i/>
        <w:sz w:val="18"/>
      </w:rPr>
      <w:t>Supplementary Information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B987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2A6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3BF63EF"/>
    <w:rsid w:val="356F795A"/>
    <w:rsid w:val="580D20C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360" w:lineRule="auto"/>
    </w:pPr>
    <w:rPr>
      <w:rFonts w:ascii="Times New Roman" w:hAnsi="Times New Roman" w:eastAsiaTheme="minorEastAsia"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4"/>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2"/>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sz w:val="22"/>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after="100" w:line="240" w:lineRule="auto"/>
    </w:pPr>
    <w:rPr>
      <w:rFonts w:ascii="Times New Roman" w:hAnsi="Times New Roman"/>
      <w:b/>
      <w:bCs/>
      <w:color w:val="4F81BD" w:themeColor="accent1"/>
      <w:sz w:val="20"/>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line="360" w:lineRule="auto"/>
    </w:pPr>
    <w:rPr>
      <w:rFonts w:ascii="Times New Roman" w:hAnsi="Times New Roman"/>
      <w:sz w:val="24"/>
    </w:r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2125</Words>
  <Characters>12751</Characters>
  <Lines>0</Lines>
  <Paragraphs>0</Paragraphs>
  <TotalTime>0</TotalTime>
  <ScaleCrop>false</ScaleCrop>
  <LinksUpToDate>false</LinksUpToDate>
  <CharactersWithSpaces>14627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小和</dc:creator>
  <cp:lastModifiedBy>小和</cp:lastModifiedBy>
  <dcterms:modified xsi:type="dcterms:W3CDTF">2026-07-18T13:47:10Z</dcterms:modified>
  <dc:subject>Nature Climate Change submission draft</dc:subject>
  <dc:title>Supplementary Information: The Arctic development frontier diverges at the permafrost transition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eyJoZGlkIjoiOWJiNDY4ZDk2OTMyNjQyYjIyNGFjZGY5YmVlZTg5MzAiLCJ1c2VySWQiOiIxNDE3NDU4MTgzIn0=</vt:lpwstr>
  </property>
  <property fmtid="{D5CDD505-2E9C-101B-9397-08002B2CF9AE}" pid="3" name="KSOProductBuildVer">
    <vt:lpwstr>2052-12.1.0.26375</vt:lpwstr>
  </property>
  <property fmtid="{D5CDD505-2E9C-101B-9397-08002B2CF9AE}" pid="4" name="ICV">
    <vt:lpwstr>21F2E52170DF46EC9736A1F22B27A075_12</vt:lpwstr>
  </property>
</Properties>
</file>