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5E67" w14:textId="45FD43E1" w:rsidR="005E2ED5" w:rsidRPr="00FC60D5" w:rsidRDefault="0003373D" w:rsidP="0003373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FC60D5">
        <w:rPr>
          <w:rFonts w:ascii="Times New Roman" w:hAnsi="Times New Roman" w:cs="Times New Roman"/>
          <w:b/>
          <w:bCs/>
          <w:sz w:val="24"/>
          <w:szCs w:val="24"/>
          <w:lang w:val="sv-SE"/>
        </w:rPr>
        <w:t>Supporting Information</w:t>
      </w:r>
    </w:p>
    <w:p w14:paraId="353D5BC4" w14:textId="77777777" w:rsidR="0003373D" w:rsidRPr="00FC60D5" w:rsidRDefault="0003373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A60FE02" w14:textId="77777777" w:rsidR="0003373D" w:rsidRPr="00FC60D5" w:rsidRDefault="0003373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50CA3D17" w14:textId="77777777" w:rsidR="0003373D" w:rsidRPr="00FC60D5" w:rsidRDefault="0003373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1E5F76B7" w14:textId="4CA2CCD9" w:rsidR="0003373D" w:rsidRPr="00FC60D5" w:rsidRDefault="0003373D" w:rsidP="000B57DF">
      <w:pPr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FC60D5">
        <w:rPr>
          <w:rFonts w:ascii="Times New Roman" w:hAnsi="Times New Roman" w:cs="Times New Roman"/>
          <w:noProof/>
          <w:sz w:val="24"/>
          <w:szCs w:val="24"/>
          <w:lang w:val="sv-SE"/>
        </w:rPr>
        <w:drawing>
          <wp:inline distT="0" distB="0" distL="0" distR="0" wp14:anchorId="4C19DE89" wp14:editId="1ADB108D">
            <wp:extent cx="4377917" cy="2010507"/>
            <wp:effectExtent l="0" t="0" r="3810" b="8890"/>
            <wp:docPr id="779114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120" cy="202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B8255C" w14:textId="2845E87A" w:rsidR="0003373D" w:rsidRDefault="0003373D">
      <w:pPr>
        <w:rPr>
          <w:rFonts w:ascii="Times New Roman" w:hAnsi="Times New Roman" w:cs="Times New Roman"/>
          <w:sz w:val="24"/>
          <w:szCs w:val="24"/>
        </w:rPr>
      </w:pPr>
      <w:r w:rsidRPr="00FC60D5">
        <w:rPr>
          <w:rFonts w:ascii="Times New Roman" w:hAnsi="Times New Roman" w:cs="Times New Roman"/>
          <w:sz w:val="24"/>
          <w:szCs w:val="24"/>
        </w:rPr>
        <w:t xml:space="preserve">Figure S1. Illustration of the details of the TGC used in this study. a) Cross section structure of the TGC </w:t>
      </w:r>
      <w:r w:rsidR="00490E8A">
        <w:rPr>
          <w:rFonts w:ascii="Times New Roman" w:hAnsi="Times New Roman" w:cs="Times New Roman"/>
          <w:sz w:val="24"/>
          <w:szCs w:val="24"/>
        </w:rPr>
        <w:t xml:space="preserve">with dimensions </w:t>
      </w:r>
      <w:r w:rsidRPr="00FC60D5">
        <w:rPr>
          <w:rFonts w:ascii="Times New Roman" w:hAnsi="Times New Roman" w:cs="Times New Roman"/>
          <w:sz w:val="24"/>
          <w:szCs w:val="24"/>
        </w:rPr>
        <w:t>and b) top view of the TGC.</w:t>
      </w:r>
    </w:p>
    <w:p w14:paraId="73C7AF28" w14:textId="77777777" w:rsidR="00ED688A" w:rsidRDefault="00ED688A">
      <w:pPr>
        <w:rPr>
          <w:rFonts w:ascii="Times New Roman" w:hAnsi="Times New Roman" w:cs="Times New Roman"/>
          <w:sz w:val="24"/>
          <w:szCs w:val="24"/>
        </w:rPr>
      </w:pPr>
    </w:p>
    <w:p w14:paraId="276E2EAB" w14:textId="545736F9" w:rsidR="00ED688A" w:rsidRDefault="00ED68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E2A956" wp14:editId="7AD6788A">
            <wp:extent cx="5586095" cy="1776417"/>
            <wp:effectExtent l="0" t="0" r="0" b="0"/>
            <wp:docPr id="20134988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174" cy="1783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963E05" w14:textId="2830E88F" w:rsidR="00ED688A" w:rsidRDefault="00ED688A" w:rsidP="00ED688A">
      <w:pPr>
        <w:rPr>
          <w:rFonts w:ascii="Times New Roman" w:hAnsi="Times New Roman" w:cs="Times New Roman"/>
          <w:sz w:val="24"/>
          <w:szCs w:val="24"/>
        </w:rPr>
      </w:pPr>
      <w:r w:rsidRPr="00FC60D5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C60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SEM images of activated carbon</w:t>
      </w:r>
      <w:r w:rsidR="001D5AF0">
        <w:rPr>
          <w:rFonts w:ascii="Times New Roman" w:hAnsi="Times New Roman" w:cs="Times New Roman"/>
          <w:sz w:val="24"/>
          <w:szCs w:val="24"/>
        </w:rPr>
        <w:t xml:space="preserve"> (AC)</w:t>
      </w:r>
      <w:r>
        <w:rPr>
          <w:rFonts w:ascii="Times New Roman" w:hAnsi="Times New Roman" w:cs="Times New Roman"/>
          <w:sz w:val="24"/>
          <w:szCs w:val="24"/>
        </w:rPr>
        <w:t xml:space="preserve"> printed on substrate</w:t>
      </w:r>
      <w:r w:rsidRPr="00FC60D5">
        <w:rPr>
          <w:rFonts w:ascii="Times New Roman" w:hAnsi="Times New Roman" w:cs="Times New Roman"/>
          <w:sz w:val="24"/>
          <w:szCs w:val="24"/>
        </w:rPr>
        <w:t xml:space="preserve">. a) </w:t>
      </w:r>
      <w:r>
        <w:rPr>
          <w:rFonts w:ascii="Times New Roman" w:hAnsi="Times New Roman" w:cs="Times New Roman"/>
          <w:sz w:val="24"/>
          <w:szCs w:val="24"/>
        </w:rPr>
        <w:t>1-layer</w:t>
      </w:r>
      <w:r w:rsidR="001D5AF0">
        <w:rPr>
          <w:rFonts w:ascii="Times New Roman" w:hAnsi="Times New Roman" w:cs="Times New Roman"/>
          <w:sz w:val="24"/>
          <w:szCs w:val="24"/>
        </w:rPr>
        <w:t xml:space="preserve"> printed </w:t>
      </w:r>
      <w:r w:rsidRPr="00FC60D5">
        <w:rPr>
          <w:rFonts w:ascii="Times New Roman" w:hAnsi="Times New Roman" w:cs="Times New Roman"/>
          <w:sz w:val="24"/>
          <w:szCs w:val="24"/>
        </w:rPr>
        <w:t xml:space="preserve">and b) </w:t>
      </w:r>
      <w:r w:rsidR="001D5AF0">
        <w:rPr>
          <w:rFonts w:ascii="Times New Roman" w:hAnsi="Times New Roman" w:cs="Times New Roman"/>
          <w:sz w:val="24"/>
          <w:szCs w:val="24"/>
        </w:rPr>
        <w:t>3-layer printed</w:t>
      </w:r>
      <w:r w:rsidRPr="00FC60D5">
        <w:rPr>
          <w:rFonts w:ascii="Times New Roman" w:hAnsi="Times New Roman" w:cs="Times New Roman"/>
          <w:sz w:val="24"/>
          <w:szCs w:val="24"/>
        </w:rPr>
        <w:t>.</w:t>
      </w:r>
    </w:p>
    <w:p w14:paraId="5F420931" w14:textId="77777777" w:rsidR="00B8133C" w:rsidRDefault="00B8133C" w:rsidP="00ED688A">
      <w:pPr>
        <w:rPr>
          <w:rFonts w:ascii="Times New Roman" w:hAnsi="Times New Roman" w:cs="Times New Roman"/>
          <w:sz w:val="24"/>
          <w:szCs w:val="24"/>
        </w:rPr>
      </w:pPr>
    </w:p>
    <w:p w14:paraId="356CEA29" w14:textId="018768C6" w:rsidR="00B8133C" w:rsidRDefault="00810F78" w:rsidP="00ED68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B83863" wp14:editId="6071D518">
            <wp:extent cx="5764276" cy="2334985"/>
            <wp:effectExtent l="0" t="0" r="0" b="8255"/>
            <wp:docPr id="1037429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4" t="3792" r="5660" b="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483" cy="235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F45E77" w14:textId="118BD0E6" w:rsidR="00B8133C" w:rsidRPr="00FC60D5" w:rsidRDefault="00B8133C" w:rsidP="00B8133C">
      <w:pPr>
        <w:rPr>
          <w:rFonts w:ascii="Times New Roman" w:hAnsi="Times New Roman" w:cs="Times New Roman"/>
          <w:sz w:val="24"/>
          <w:szCs w:val="24"/>
        </w:rPr>
      </w:pPr>
      <w:r w:rsidRPr="00FC60D5"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C60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electrical characterization of the TGCs with different electrode thickness. a) The impedance spectroscopy of 1-layer and 3</w:t>
      </w:r>
      <w:r w:rsidR="001C73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layer printed AC electrode. b) </w:t>
      </w:r>
      <w:r w:rsidR="00810F7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eparate resistance </w:t>
      </w:r>
      <w:r w:rsidR="00122F39">
        <w:rPr>
          <w:rFonts w:ascii="Times New Roman" w:hAnsi="Times New Roman" w:cs="Times New Roman"/>
          <w:sz w:val="24"/>
          <w:szCs w:val="24"/>
        </w:rPr>
        <w:t>obtained from</w:t>
      </w:r>
      <w:r w:rsidR="00810F78">
        <w:rPr>
          <w:rFonts w:ascii="Times New Roman" w:hAnsi="Times New Roman" w:cs="Times New Roman"/>
          <w:sz w:val="24"/>
          <w:szCs w:val="24"/>
        </w:rPr>
        <w:t xml:space="preserve"> the impedance results</w:t>
      </w:r>
      <w:r w:rsidR="00122F39">
        <w:rPr>
          <w:rFonts w:ascii="Times New Roman" w:hAnsi="Times New Roman" w:cs="Times New Roman"/>
          <w:sz w:val="24"/>
          <w:szCs w:val="24"/>
        </w:rPr>
        <w:t xml:space="preserve">. </w:t>
      </w:r>
      <w:r w:rsidR="00810F78">
        <w:rPr>
          <w:rFonts w:ascii="Times New Roman" w:hAnsi="Times New Roman" w:cs="Times New Roman"/>
          <w:sz w:val="24"/>
          <w:szCs w:val="24"/>
        </w:rPr>
        <w:t xml:space="preserve"> </w:t>
      </w:r>
      <w:r w:rsidR="00810F78" w:rsidRPr="001D5AF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0F78" w:rsidRPr="00810F78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810F78" w:rsidRPr="00810F78">
        <w:rPr>
          <w:rFonts w:ascii="Times New Roman" w:hAnsi="Times New Roman" w:cs="Times New Roman"/>
          <w:sz w:val="24"/>
          <w:szCs w:val="24"/>
        </w:rPr>
        <w:t xml:space="preserve"> </w:t>
      </w:r>
      <w:r w:rsidR="00810F78">
        <w:rPr>
          <w:rFonts w:ascii="Times New Roman" w:hAnsi="Times New Roman" w:cs="Times New Roman"/>
          <w:sz w:val="24"/>
          <w:szCs w:val="24"/>
        </w:rPr>
        <w:t>is the</w:t>
      </w:r>
      <w:r w:rsidR="00810F78" w:rsidRPr="00810F78">
        <w:rPr>
          <w:rFonts w:ascii="Times New Roman" w:hAnsi="Times New Roman" w:cs="Times New Roman"/>
          <w:sz w:val="24"/>
          <w:szCs w:val="24"/>
        </w:rPr>
        <w:t xml:space="preserve"> series resistance includes the electronic resistance in the electrode, ionic resistance in the electrolyte and contact resistance at electrode/electrolyte interface; </w:t>
      </w:r>
      <w:proofErr w:type="spellStart"/>
      <w:r w:rsidR="00810F78" w:rsidRPr="001D5AF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0F78" w:rsidRPr="00810F78">
        <w:rPr>
          <w:rFonts w:ascii="Times New Roman" w:hAnsi="Times New Roman" w:cs="Times New Roman"/>
          <w:sz w:val="24"/>
          <w:szCs w:val="24"/>
          <w:vertAlign w:val="subscript"/>
        </w:rPr>
        <w:t>ct</w:t>
      </w:r>
      <w:proofErr w:type="spellEnd"/>
      <w:r w:rsidR="00810F78" w:rsidRPr="00810F78">
        <w:rPr>
          <w:rFonts w:ascii="Times New Roman" w:hAnsi="Times New Roman" w:cs="Times New Roman"/>
          <w:sz w:val="24"/>
          <w:szCs w:val="24"/>
        </w:rPr>
        <w:t xml:space="preserve"> </w:t>
      </w:r>
      <w:r w:rsidR="00810F78">
        <w:rPr>
          <w:rFonts w:ascii="Times New Roman" w:hAnsi="Times New Roman" w:cs="Times New Roman"/>
          <w:sz w:val="24"/>
          <w:szCs w:val="24"/>
        </w:rPr>
        <w:t>is</w:t>
      </w:r>
      <w:r w:rsidR="00810F78" w:rsidRPr="00810F78">
        <w:rPr>
          <w:rFonts w:ascii="Times New Roman" w:hAnsi="Times New Roman" w:cs="Times New Roman"/>
          <w:sz w:val="24"/>
          <w:szCs w:val="24"/>
        </w:rPr>
        <w:t xml:space="preserve"> the charge transfer resistance; </w:t>
      </w:r>
      <w:proofErr w:type="spellStart"/>
      <w:r w:rsidR="00810F78" w:rsidRPr="001D5AF0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0F78" w:rsidRPr="00810F78">
        <w:rPr>
          <w:rFonts w:ascii="Times New Roman" w:hAnsi="Times New Roman" w:cs="Times New Roman"/>
          <w:sz w:val="24"/>
          <w:szCs w:val="24"/>
          <w:vertAlign w:val="subscript"/>
        </w:rPr>
        <w:t>bulk</w:t>
      </w:r>
      <w:proofErr w:type="spellEnd"/>
      <w:r w:rsidR="00810F78" w:rsidRPr="00810F78">
        <w:rPr>
          <w:rFonts w:ascii="Times New Roman" w:hAnsi="Times New Roman" w:cs="Times New Roman"/>
          <w:sz w:val="24"/>
          <w:szCs w:val="24"/>
        </w:rPr>
        <w:t xml:space="preserve"> is related to the ionic transport in the bulk of the electrode material; and Warburg component </w:t>
      </w:r>
      <w:r w:rsidR="00810F78">
        <w:rPr>
          <w:rFonts w:ascii="Times New Roman" w:hAnsi="Times New Roman" w:cs="Times New Roman"/>
          <w:sz w:val="24"/>
          <w:szCs w:val="24"/>
        </w:rPr>
        <w:t>(</w:t>
      </w:r>
      <w:r w:rsidR="00810F78" w:rsidRPr="00810F78">
        <w:rPr>
          <w:rFonts w:ascii="Times New Roman" w:hAnsi="Times New Roman" w:cs="Times New Roman"/>
          <w:sz w:val="24"/>
          <w:szCs w:val="24"/>
        </w:rPr>
        <w:t>W</w:t>
      </w:r>
      <w:r w:rsidR="00810F78">
        <w:rPr>
          <w:rFonts w:ascii="Times New Roman" w:hAnsi="Times New Roman" w:cs="Times New Roman"/>
          <w:sz w:val="24"/>
          <w:szCs w:val="24"/>
        </w:rPr>
        <w:t>)</w:t>
      </w:r>
      <w:r w:rsidR="00810F78" w:rsidRPr="00810F78">
        <w:rPr>
          <w:rFonts w:ascii="Times New Roman" w:hAnsi="Times New Roman" w:cs="Times New Roman"/>
          <w:sz w:val="24"/>
          <w:szCs w:val="24"/>
        </w:rPr>
        <w:t xml:space="preserve"> represents the mass transport limitation phenomena at the low frequency in the impedance measurement. </w:t>
      </w:r>
      <w:r w:rsidR="00810F78">
        <w:rPr>
          <w:rFonts w:ascii="Times New Roman" w:hAnsi="Times New Roman" w:cs="Times New Roman"/>
          <w:sz w:val="24"/>
          <w:szCs w:val="24"/>
        </w:rPr>
        <w:t xml:space="preserve">The </w:t>
      </w:r>
      <w:r w:rsidR="001D5AF0">
        <w:rPr>
          <w:rFonts w:ascii="Times New Roman" w:hAnsi="Times New Roman" w:cs="Times New Roman"/>
          <w:sz w:val="24"/>
          <w:szCs w:val="24"/>
        </w:rPr>
        <w:t>separate</w:t>
      </w:r>
      <w:r w:rsidR="00810F78" w:rsidRPr="00810F78">
        <w:rPr>
          <w:rFonts w:ascii="Times New Roman" w:hAnsi="Times New Roman" w:cs="Times New Roman"/>
          <w:sz w:val="24"/>
          <w:szCs w:val="24"/>
        </w:rPr>
        <w:t xml:space="preserve"> resistances values were simulated from the equivalent circuit</w:t>
      </w:r>
      <w:r w:rsidR="00810F78">
        <w:rPr>
          <w:rFonts w:ascii="Times New Roman" w:hAnsi="Times New Roman" w:cs="Times New Roman"/>
          <w:sz w:val="24"/>
          <w:szCs w:val="24"/>
        </w:rPr>
        <w:t xml:space="preserve"> as shown in the inset</w:t>
      </w:r>
      <w:r w:rsidR="00810F78" w:rsidRPr="00810F78">
        <w:rPr>
          <w:rFonts w:ascii="Times New Roman" w:hAnsi="Times New Roman" w:cs="Times New Roman"/>
          <w:sz w:val="24"/>
          <w:szCs w:val="24"/>
        </w:rPr>
        <w:t xml:space="preserve"> utilizing the software </w:t>
      </w:r>
      <w:proofErr w:type="spellStart"/>
      <w:r w:rsidR="00810F78" w:rsidRPr="00810F78">
        <w:rPr>
          <w:rFonts w:ascii="Times New Roman" w:hAnsi="Times New Roman" w:cs="Times New Roman"/>
          <w:sz w:val="24"/>
          <w:szCs w:val="24"/>
        </w:rPr>
        <w:t>RelaxIS</w:t>
      </w:r>
      <w:proofErr w:type="spellEnd"/>
      <w:r w:rsidR="00810F78" w:rsidRPr="00810F78">
        <w:rPr>
          <w:rFonts w:ascii="Times New Roman" w:hAnsi="Times New Roman" w:cs="Times New Roman"/>
          <w:sz w:val="24"/>
          <w:szCs w:val="24"/>
        </w:rPr>
        <w:t>.</w:t>
      </w:r>
    </w:p>
    <w:p w14:paraId="65A26F32" w14:textId="77777777" w:rsidR="00490E8A" w:rsidRDefault="00490E8A">
      <w:pPr>
        <w:rPr>
          <w:rFonts w:ascii="Times New Roman" w:hAnsi="Times New Roman" w:cs="Times New Roman"/>
          <w:sz w:val="24"/>
          <w:szCs w:val="24"/>
        </w:rPr>
      </w:pPr>
    </w:p>
    <w:p w14:paraId="048382EC" w14:textId="5203CB37" w:rsidR="00490E8A" w:rsidRDefault="00F14D22" w:rsidP="00490E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D10912" wp14:editId="04351474">
            <wp:extent cx="3137008" cy="2440940"/>
            <wp:effectExtent l="0" t="0" r="6350" b="0"/>
            <wp:docPr id="8683289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2" t="7440" r="12730" b="4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115" cy="244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6830F" w14:textId="5CCF0911" w:rsidR="00490E8A" w:rsidRPr="00FC60D5" w:rsidRDefault="00490E8A" w:rsidP="00490E8A">
      <w:pPr>
        <w:rPr>
          <w:rFonts w:ascii="Times New Roman" w:hAnsi="Times New Roman" w:cs="Times New Roman"/>
          <w:sz w:val="24"/>
          <w:szCs w:val="24"/>
        </w:rPr>
      </w:pPr>
      <w:r w:rsidRPr="00FC60D5">
        <w:rPr>
          <w:rFonts w:ascii="Times New Roman" w:hAnsi="Times New Roman" w:cs="Times New Roman"/>
          <w:sz w:val="24"/>
          <w:szCs w:val="24"/>
        </w:rPr>
        <w:t>Figure S</w:t>
      </w:r>
      <w:r w:rsidR="00F14D22">
        <w:rPr>
          <w:rFonts w:ascii="Times New Roman" w:hAnsi="Times New Roman" w:cs="Times New Roman"/>
          <w:sz w:val="24"/>
          <w:szCs w:val="24"/>
        </w:rPr>
        <w:t>4</w:t>
      </w:r>
      <w:r w:rsidRPr="00FC60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internal resistance characterization of the TGCs with different electrode thickness. Stabilized voltage across the device was recorded when applying current between 4 mA to 8 mA, and the slope of the linear fitting was used as the internal resistance.</w:t>
      </w:r>
    </w:p>
    <w:p w14:paraId="2B3AACD4" w14:textId="77777777" w:rsidR="00016677" w:rsidRPr="00FC60D5" w:rsidRDefault="00016677">
      <w:pPr>
        <w:rPr>
          <w:rFonts w:ascii="Times New Roman" w:hAnsi="Times New Roman" w:cs="Times New Roman"/>
          <w:sz w:val="24"/>
          <w:szCs w:val="24"/>
        </w:rPr>
      </w:pPr>
    </w:p>
    <w:p w14:paraId="770372A1" w14:textId="77777777" w:rsidR="00016677" w:rsidRPr="00FC60D5" w:rsidRDefault="00016677">
      <w:pPr>
        <w:rPr>
          <w:rFonts w:ascii="Times New Roman" w:hAnsi="Times New Roman" w:cs="Times New Roman"/>
          <w:sz w:val="24"/>
          <w:szCs w:val="24"/>
        </w:rPr>
      </w:pPr>
    </w:p>
    <w:p w14:paraId="01F84005" w14:textId="77777777" w:rsidR="00016677" w:rsidRPr="00FC60D5" w:rsidRDefault="00016677">
      <w:pPr>
        <w:rPr>
          <w:rFonts w:ascii="Times New Roman" w:hAnsi="Times New Roman" w:cs="Times New Roman"/>
          <w:sz w:val="24"/>
          <w:szCs w:val="24"/>
        </w:rPr>
      </w:pPr>
    </w:p>
    <w:p w14:paraId="0037416F" w14:textId="3BCF7DE9" w:rsidR="00016677" w:rsidRPr="00FC60D5" w:rsidRDefault="00016677">
      <w:pPr>
        <w:rPr>
          <w:rFonts w:ascii="Times New Roman" w:hAnsi="Times New Roman" w:cs="Times New Roman"/>
          <w:sz w:val="24"/>
          <w:szCs w:val="24"/>
        </w:rPr>
      </w:pPr>
      <w:r w:rsidRPr="00FC60D5">
        <w:rPr>
          <w:rFonts w:ascii="Times New Roman" w:hAnsi="Times New Roman" w:cs="Times New Roman"/>
          <w:sz w:val="24"/>
          <w:szCs w:val="24"/>
        </w:rPr>
        <w:lastRenderedPageBreak/>
        <w:t xml:space="preserve">Table S1. Representative performance ranges of different cooling technologies and the present printable </w:t>
      </w:r>
      <w:proofErr w:type="spellStart"/>
      <w:r w:rsidRPr="00FC60D5">
        <w:rPr>
          <w:rFonts w:ascii="Times New Roman" w:hAnsi="Times New Roman" w:cs="Times New Roman"/>
          <w:sz w:val="24"/>
          <w:szCs w:val="24"/>
        </w:rPr>
        <w:t>thermogalvanic</w:t>
      </w:r>
      <w:proofErr w:type="spellEnd"/>
      <w:r w:rsidRPr="00FC60D5">
        <w:rPr>
          <w:rFonts w:ascii="Times New Roman" w:hAnsi="Times New Roman" w:cs="Times New Roman"/>
          <w:sz w:val="24"/>
          <w:szCs w:val="24"/>
        </w:rPr>
        <w:t xml:space="preserve"> cooling device. The reported values are approximate and depend strongly on device configuration and operating conditions. Therefore, the table is intended only to provide a qualitative comparison of typical operating regimes.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789"/>
        <w:gridCol w:w="1746"/>
        <w:gridCol w:w="1138"/>
        <w:gridCol w:w="1137"/>
        <w:gridCol w:w="1426"/>
        <w:gridCol w:w="990"/>
        <w:gridCol w:w="841"/>
      </w:tblGrid>
      <w:tr w:rsidR="00016677" w:rsidRPr="00FC60D5" w14:paraId="268F6B17" w14:textId="165063D4" w:rsidTr="00490E8A">
        <w:tc>
          <w:tcPr>
            <w:tcW w:w="1789" w:type="dxa"/>
          </w:tcPr>
          <w:p w14:paraId="0FDD8394" w14:textId="63D9CFA3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</w:p>
        </w:tc>
        <w:tc>
          <w:tcPr>
            <w:tcW w:w="1746" w:type="dxa"/>
          </w:tcPr>
          <w:p w14:paraId="400D7A91" w14:textId="35FF8CC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Driving mechanism</w:t>
            </w:r>
          </w:p>
        </w:tc>
        <w:tc>
          <w:tcPr>
            <w:tcW w:w="1138" w:type="dxa"/>
          </w:tcPr>
          <w:p w14:paraId="6023D02F" w14:textId="27C8DC6E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Typical voltage</w:t>
            </w:r>
          </w:p>
        </w:tc>
        <w:tc>
          <w:tcPr>
            <w:tcW w:w="1137" w:type="dxa"/>
          </w:tcPr>
          <w:p w14:paraId="58F68E2A" w14:textId="5FBD2088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Typical current</w:t>
            </w:r>
          </w:p>
        </w:tc>
        <w:tc>
          <w:tcPr>
            <w:tcW w:w="1426" w:type="dxa"/>
          </w:tcPr>
          <w:p w14:paraId="05B8BB1A" w14:textId="7595E090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Temperature span (ΔT)</w:t>
            </w:r>
          </w:p>
        </w:tc>
        <w:tc>
          <w:tcPr>
            <w:tcW w:w="990" w:type="dxa"/>
          </w:tcPr>
          <w:p w14:paraId="1AEE7FC2" w14:textId="11D4E861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Cooling power</w:t>
            </w:r>
          </w:p>
        </w:tc>
        <w:tc>
          <w:tcPr>
            <w:tcW w:w="841" w:type="dxa"/>
          </w:tcPr>
          <w:p w14:paraId="4AA7E881" w14:textId="2FE392A7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hAnsi="Times New Roman" w:cs="Times New Roman"/>
                <w:sz w:val="24"/>
                <w:szCs w:val="24"/>
              </w:rPr>
              <w:t>COP</w:t>
            </w:r>
          </w:p>
        </w:tc>
      </w:tr>
      <w:tr w:rsidR="00016677" w:rsidRPr="00FC60D5" w14:paraId="0AC6E8B5" w14:textId="4F128908" w:rsidTr="00490E8A">
        <w:tc>
          <w:tcPr>
            <w:tcW w:w="1789" w:type="dxa"/>
            <w:vAlign w:val="center"/>
          </w:tcPr>
          <w:p w14:paraId="670C1D1B" w14:textId="3AD9CFA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Vapor-compression refrigeration</w:t>
            </w:r>
          </w:p>
        </w:tc>
        <w:tc>
          <w:tcPr>
            <w:tcW w:w="1746" w:type="dxa"/>
            <w:vAlign w:val="center"/>
          </w:tcPr>
          <w:p w14:paraId="56C58726" w14:textId="5100894B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Refrigerant phase transition</w:t>
            </w:r>
          </w:p>
        </w:tc>
        <w:tc>
          <w:tcPr>
            <w:tcW w:w="1138" w:type="dxa"/>
            <w:vAlign w:val="center"/>
          </w:tcPr>
          <w:p w14:paraId="72DE9DAF" w14:textId="1C9FE89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110–240 V AC</w:t>
            </w:r>
          </w:p>
        </w:tc>
        <w:tc>
          <w:tcPr>
            <w:tcW w:w="1137" w:type="dxa"/>
            <w:vAlign w:val="center"/>
          </w:tcPr>
          <w:p w14:paraId="61543D74" w14:textId="3DAB1411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A</w:t>
            </w:r>
          </w:p>
        </w:tc>
        <w:tc>
          <w:tcPr>
            <w:tcW w:w="1426" w:type="dxa"/>
            <w:vAlign w:val="center"/>
          </w:tcPr>
          <w:p w14:paraId="77C68725" w14:textId="672DABE3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20–80 K</w:t>
            </w:r>
          </w:p>
        </w:tc>
        <w:tc>
          <w:tcPr>
            <w:tcW w:w="990" w:type="dxa"/>
            <w:vAlign w:val="center"/>
          </w:tcPr>
          <w:p w14:paraId="163B87E3" w14:textId="5E2809E4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W–kW</w:t>
            </w:r>
          </w:p>
        </w:tc>
        <w:tc>
          <w:tcPr>
            <w:tcW w:w="841" w:type="dxa"/>
            <w:vAlign w:val="center"/>
          </w:tcPr>
          <w:p w14:paraId="04D8C33F" w14:textId="267A98F1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2–6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 xml:space="preserve"> [1</w:t>
            </w:r>
            <w:r w:rsidR="00A820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-2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]</w:t>
            </w:r>
          </w:p>
        </w:tc>
      </w:tr>
      <w:tr w:rsidR="00016677" w:rsidRPr="00FC60D5" w14:paraId="0D3EE542" w14:textId="01879503" w:rsidTr="00490E8A">
        <w:tc>
          <w:tcPr>
            <w:tcW w:w="1789" w:type="dxa"/>
            <w:vAlign w:val="center"/>
          </w:tcPr>
          <w:p w14:paraId="0BDA30AA" w14:textId="0C41A24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Thermoelectric cooling</w:t>
            </w:r>
          </w:p>
        </w:tc>
        <w:tc>
          <w:tcPr>
            <w:tcW w:w="1746" w:type="dxa"/>
            <w:vAlign w:val="center"/>
          </w:tcPr>
          <w:p w14:paraId="4C89931E" w14:textId="4CFB9CA4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Peltier effect</w:t>
            </w:r>
          </w:p>
        </w:tc>
        <w:tc>
          <w:tcPr>
            <w:tcW w:w="1138" w:type="dxa"/>
            <w:vAlign w:val="center"/>
          </w:tcPr>
          <w:p w14:paraId="54DDC9ED" w14:textId="6BB51C6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3–15 V</w:t>
            </w:r>
          </w:p>
        </w:tc>
        <w:tc>
          <w:tcPr>
            <w:tcW w:w="1137" w:type="dxa"/>
            <w:vAlign w:val="center"/>
          </w:tcPr>
          <w:p w14:paraId="5B9875BE" w14:textId="1E0FEA5F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1–10 A</w:t>
            </w:r>
          </w:p>
        </w:tc>
        <w:tc>
          <w:tcPr>
            <w:tcW w:w="1426" w:type="dxa"/>
            <w:vAlign w:val="center"/>
          </w:tcPr>
          <w:p w14:paraId="02E9E267" w14:textId="639F0CA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10–70 K</w:t>
            </w:r>
          </w:p>
        </w:tc>
        <w:tc>
          <w:tcPr>
            <w:tcW w:w="990" w:type="dxa"/>
            <w:vAlign w:val="center"/>
          </w:tcPr>
          <w:p w14:paraId="619F3DDE" w14:textId="67B59A8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1–100 W</w:t>
            </w:r>
          </w:p>
        </w:tc>
        <w:tc>
          <w:tcPr>
            <w:tcW w:w="841" w:type="dxa"/>
            <w:vAlign w:val="center"/>
          </w:tcPr>
          <w:p w14:paraId="35154D2F" w14:textId="7A50B3FC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0.3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-</w:t>
            </w: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1.5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[</w:t>
            </w:r>
            <w:r w:rsidR="00A820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3,4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]</w:t>
            </w:r>
          </w:p>
        </w:tc>
      </w:tr>
      <w:tr w:rsidR="00016677" w:rsidRPr="00FC60D5" w14:paraId="1657ABE0" w14:textId="56F47A86" w:rsidTr="00490E8A">
        <w:tc>
          <w:tcPr>
            <w:tcW w:w="1789" w:type="dxa"/>
            <w:vAlign w:val="center"/>
          </w:tcPr>
          <w:p w14:paraId="40EDDF02" w14:textId="0AA19008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Electrocaloric cooling</w:t>
            </w:r>
          </w:p>
        </w:tc>
        <w:tc>
          <w:tcPr>
            <w:tcW w:w="1746" w:type="dxa"/>
            <w:vAlign w:val="center"/>
          </w:tcPr>
          <w:p w14:paraId="009114E4" w14:textId="731F2C0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Electric-field-induced entropy change</w:t>
            </w:r>
          </w:p>
        </w:tc>
        <w:tc>
          <w:tcPr>
            <w:tcW w:w="1138" w:type="dxa"/>
            <w:vAlign w:val="center"/>
          </w:tcPr>
          <w:p w14:paraId="58DB150A" w14:textId="0DE97120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10²–10⁴ V</w:t>
            </w:r>
          </w:p>
        </w:tc>
        <w:tc>
          <w:tcPr>
            <w:tcW w:w="1137" w:type="dxa"/>
            <w:vAlign w:val="center"/>
          </w:tcPr>
          <w:p w14:paraId="67C312E6" w14:textId="4FA584E8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μA–mA</w:t>
            </w:r>
          </w:p>
        </w:tc>
        <w:tc>
          <w:tcPr>
            <w:tcW w:w="1426" w:type="dxa"/>
            <w:vAlign w:val="center"/>
          </w:tcPr>
          <w:p w14:paraId="41B8E6EF" w14:textId="1BE89F8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5–20 K</w:t>
            </w:r>
          </w:p>
        </w:tc>
        <w:tc>
          <w:tcPr>
            <w:tcW w:w="990" w:type="dxa"/>
            <w:vAlign w:val="center"/>
          </w:tcPr>
          <w:p w14:paraId="6D802F72" w14:textId="463D09C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mW–W</w:t>
            </w:r>
          </w:p>
        </w:tc>
        <w:tc>
          <w:tcPr>
            <w:tcW w:w="841" w:type="dxa"/>
            <w:vAlign w:val="center"/>
          </w:tcPr>
          <w:p w14:paraId="69A91356" w14:textId="0F27EF41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5–10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[</w:t>
            </w:r>
            <w:r w:rsidR="00A820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5,6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]</w:t>
            </w:r>
          </w:p>
        </w:tc>
      </w:tr>
      <w:tr w:rsidR="00016677" w:rsidRPr="00FC60D5" w14:paraId="69A5089A" w14:textId="26597E7F" w:rsidTr="00490E8A">
        <w:tc>
          <w:tcPr>
            <w:tcW w:w="1789" w:type="dxa"/>
            <w:vAlign w:val="center"/>
          </w:tcPr>
          <w:p w14:paraId="3C697DDA" w14:textId="61F1985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Elastocaloric cooling</w:t>
            </w:r>
          </w:p>
        </w:tc>
        <w:tc>
          <w:tcPr>
            <w:tcW w:w="1746" w:type="dxa"/>
            <w:vAlign w:val="center"/>
          </w:tcPr>
          <w:p w14:paraId="360DE6FE" w14:textId="0C6EA684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Stress-induced phase transition</w:t>
            </w:r>
          </w:p>
        </w:tc>
        <w:tc>
          <w:tcPr>
            <w:tcW w:w="1138" w:type="dxa"/>
            <w:vAlign w:val="center"/>
          </w:tcPr>
          <w:p w14:paraId="4E636D19" w14:textId="0BF6C610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Mechanical actuation</w:t>
            </w:r>
          </w:p>
        </w:tc>
        <w:tc>
          <w:tcPr>
            <w:tcW w:w="1137" w:type="dxa"/>
            <w:vAlign w:val="center"/>
          </w:tcPr>
          <w:p w14:paraId="575D3538" w14:textId="1518F875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–</w:t>
            </w:r>
          </w:p>
        </w:tc>
        <w:tc>
          <w:tcPr>
            <w:tcW w:w="1426" w:type="dxa"/>
            <w:vAlign w:val="center"/>
          </w:tcPr>
          <w:p w14:paraId="2DCF76B8" w14:textId="7A004D28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5–20 K</w:t>
            </w:r>
          </w:p>
        </w:tc>
        <w:tc>
          <w:tcPr>
            <w:tcW w:w="990" w:type="dxa"/>
            <w:vAlign w:val="center"/>
          </w:tcPr>
          <w:p w14:paraId="0B0A2E5D" w14:textId="789D019F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W</w:t>
            </w:r>
          </w:p>
        </w:tc>
        <w:tc>
          <w:tcPr>
            <w:tcW w:w="841" w:type="dxa"/>
            <w:vAlign w:val="center"/>
          </w:tcPr>
          <w:p w14:paraId="20A15E22" w14:textId="7B9CA313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3–10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[</w:t>
            </w:r>
            <w:r w:rsidR="00A820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7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]</w:t>
            </w:r>
          </w:p>
        </w:tc>
      </w:tr>
      <w:tr w:rsidR="00016677" w:rsidRPr="00FC60D5" w14:paraId="003CE034" w14:textId="5CAE6A95" w:rsidTr="00490E8A">
        <w:tc>
          <w:tcPr>
            <w:tcW w:w="1789" w:type="dxa"/>
            <w:vAlign w:val="center"/>
          </w:tcPr>
          <w:p w14:paraId="7B47FC5E" w14:textId="79BAAE2B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Thermogalvanic</w:t>
            </w:r>
            <w:proofErr w:type="spellEnd"/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cooling (Zeng et al.)</w:t>
            </w:r>
          </w:p>
        </w:tc>
        <w:tc>
          <w:tcPr>
            <w:tcW w:w="1746" w:type="dxa"/>
            <w:vAlign w:val="center"/>
          </w:tcPr>
          <w:p w14:paraId="13A9AF17" w14:textId="09B8B04B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Redox entropy</w:t>
            </w:r>
          </w:p>
        </w:tc>
        <w:tc>
          <w:tcPr>
            <w:tcW w:w="1138" w:type="dxa"/>
            <w:vAlign w:val="center"/>
          </w:tcPr>
          <w:p w14:paraId="6FAED274" w14:textId="0D4FECB7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&lt;1 V</w:t>
            </w:r>
          </w:p>
        </w:tc>
        <w:tc>
          <w:tcPr>
            <w:tcW w:w="1137" w:type="dxa"/>
            <w:vAlign w:val="center"/>
          </w:tcPr>
          <w:p w14:paraId="20CCA8D3" w14:textId="4E38D630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mA</w:t>
            </w:r>
          </w:p>
        </w:tc>
        <w:tc>
          <w:tcPr>
            <w:tcW w:w="1426" w:type="dxa"/>
            <w:vAlign w:val="center"/>
          </w:tcPr>
          <w:p w14:paraId="667563B8" w14:textId="757DC1A2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~1 K</w:t>
            </w:r>
          </w:p>
        </w:tc>
        <w:tc>
          <w:tcPr>
            <w:tcW w:w="990" w:type="dxa"/>
            <w:vAlign w:val="center"/>
          </w:tcPr>
          <w:p w14:paraId="407F651B" w14:textId="16FA48FA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mW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[</w:t>
            </w:r>
            <w:r w:rsidR="00A8201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8</w:t>
            </w:r>
            <w:r w:rsidR="00490E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]</w:t>
            </w:r>
          </w:p>
        </w:tc>
        <w:tc>
          <w:tcPr>
            <w:tcW w:w="841" w:type="dxa"/>
            <w:vAlign w:val="center"/>
          </w:tcPr>
          <w:p w14:paraId="72569FC9" w14:textId="121BCFC7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—</w:t>
            </w:r>
          </w:p>
        </w:tc>
      </w:tr>
      <w:tr w:rsidR="00016677" w:rsidRPr="00FC60D5" w14:paraId="531483EE" w14:textId="77777777" w:rsidTr="00490E8A">
        <w:tc>
          <w:tcPr>
            <w:tcW w:w="1789" w:type="dxa"/>
            <w:vAlign w:val="center"/>
          </w:tcPr>
          <w:p w14:paraId="37628117" w14:textId="7504A6CC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v-SE"/>
                <w14:ligatures w14:val="none"/>
              </w:rPr>
              <w:t>This work</w:t>
            </w:r>
          </w:p>
        </w:tc>
        <w:tc>
          <w:tcPr>
            <w:tcW w:w="1746" w:type="dxa"/>
            <w:vAlign w:val="center"/>
          </w:tcPr>
          <w:p w14:paraId="58FF1C02" w14:textId="4E7FE3D5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sv-SE"/>
                <w14:ligatures w14:val="none"/>
              </w:rPr>
              <w:t>Redox entropy</w:t>
            </w:r>
          </w:p>
        </w:tc>
        <w:tc>
          <w:tcPr>
            <w:tcW w:w="1138" w:type="dxa"/>
            <w:vAlign w:val="center"/>
          </w:tcPr>
          <w:p w14:paraId="4DE24B99" w14:textId="1B5448CF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v-SE"/>
                <w14:ligatures w14:val="none"/>
              </w:rPr>
              <w:t>&lt;1 V</w:t>
            </w:r>
          </w:p>
        </w:tc>
        <w:tc>
          <w:tcPr>
            <w:tcW w:w="1137" w:type="dxa"/>
            <w:vAlign w:val="center"/>
          </w:tcPr>
          <w:p w14:paraId="7D7B025F" w14:textId="0B79EC4B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v-SE"/>
                <w14:ligatures w14:val="none"/>
              </w:rPr>
              <w:t>mA</w:t>
            </w:r>
          </w:p>
        </w:tc>
        <w:tc>
          <w:tcPr>
            <w:tcW w:w="1426" w:type="dxa"/>
            <w:vAlign w:val="center"/>
          </w:tcPr>
          <w:p w14:paraId="7316F5E3" w14:textId="5F6AAA7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v-SE"/>
                <w14:ligatures w14:val="none"/>
              </w:rPr>
              <w:t>0.1 K</w:t>
            </w:r>
          </w:p>
        </w:tc>
        <w:tc>
          <w:tcPr>
            <w:tcW w:w="990" w:type="dxa"/>
            <w:vAlign w:val="center"/>
          </w:tcPr>
          <w:p w14:paraId="52E3FD93" w14:textId="1A1ACAC3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v-SE"/>
                <w14:ligatures w14:val="none"/>
              </w:rPr>
              <w:t>1–2 mW</w:t>
            </w:r>
          </w:p>
        </w:tc>
        <w:tc>
          <w:tcPr>
            <w:tcW w:w="841" w:type="dxa"/>
            <w:vAlign w:val="center"/>
          </w:tcPr>
          <w:p w14:paraId="0F83D0D7" w14:textId="10E15669" w:rsidR="00016677" w:rsidRPr="00FC60D5" w:rsidRDefault="00016677" w:rsidP="00016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0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sv-SE"/>
                <w14:ligatures w14:val="none"/>
              </w:rPr>
              <w:t>2.5</w:t>
            </w:r>
          </w:p>
        </w:tc>
      </w:tr>
    </w:tbl>
    <w:p w14:paraId="2DA5461A" w14:textId="77777777" w:rsidR="00016677" w:rsidRPr="00FC60D5" w:rsidRDefault="00016677">
      <w:pPr>
        <w:rPr>
          <w:rFonts w:ascii="Times New Roman" w:hAnsi="Times New Roman" w:cs="Times New Roman"/>
          <w:sz w:val="24"/>
          <w:szCs w:val="24"/>
        </w:rPr>
      </w:pPr>
    </w:p>
    <w:p w14:paraId="7DFB3C5C" w14:textId="0A5D456D" w:rsidR="00016677" w:rsidRPr="00056DDE" w:rsidRDefault="000166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6DDE">
        <w:rPr>
          <w:rFonts w:ascii="Times New Roman" w:hAnsi="Times New Roman" w:cs="Times New Roman"/>
          <w:b/>
          <w:bCs/>
          <w:sz w:val="24"/>
          <w:szCs w:val="24"/>
        </w:rPr>
        <w:t>Reference:</w:t>
      </w:r>
    </w:p>
    <w:p w14:paraId="7236B671" w14:textId="03684FF7" w:rsidR="00A8201B" w:rsidRPr="001D5AF0" w:rsidRDefault="00A8201B" w:rsidP="00056DDE">
      <w:pPr>
        <w:rPr>
          <w:rFonts w:ascii="Times New Roman" w:hAnsi="Times New Roman" w:cs="Times New Roman"/>
          <w:sz w:val="28"/>
          <w:szCs w:val="28"/>
        </w:rPr>
      </w:pPr>
      <w:r>
        <w:t>[</w:t>
      </w:r>
      <w:r w:rsidRPr="00056DDE">
        <w:rPr>
          <w:rFonts w:ascii="Times New Roman" w:hAnsi="Times New Roman" w:cs="Times New Roman"/>
          <w:sz w:val="24"/>
          <w:szCs w:val="24"/>
        </w:rPr>
        <w:t>1] D.R. Brown, J.A. Dirks, N. Fernandez, T.E. Stout, The Prospects of Alternatives to Vapor Compression Technology for Space Cooling and Food Refrigeration Applications, Pacific Northwest National Laboratory (PNNL-19259), Richland, WA, USA, 2010. https://doi.org/10.2172/979500.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  <w:t xml:space="preserve">[2] S. Qian, D. Nasuta, A. Rhoads, Y. Wang, Y. Geng, Y. Hwang, R. Radermacher, I. Takeuchi, Not-in-kind cooling technologies: A quantitative comparison of refrigerants and system performance, Int. J. </w:t>
      </w:r>
      <w:proofErr w:type="spellStart"/>
      <w:r w:rsidRPr="00056DDE">
        <w:rPr>
          <w:rFonts w:ascii="Times New Roman" w:hAnsi="Times New Roman" w:cs="Times New Roman"/>
          <w:sz w:val="24"/>
          <w:szCs w:val="24"/>
        </w:rPr>
        <w:t>Refrig</w:t>
      </w:r>
      <w:proofErr w:type="spellEnd"/>
      <w:r w:rsidRPr="00056DDE">
        <w:rPr>
          <w:rFonts w:ascii="Times New Roman" w:hAnsi="Times New Roman" w:cs="Times New Roman"/>
          <w:sz w:val="24"/>
          <w:szCs w:val="24"/>
        </w:rPr>
        <w:t>. 62 (2016) 177–192. https://doi.org/10.1016/j.ijrefrig.2015.09.010.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  <w:t>[3] F.J. DiSalvo, Thermoelectric cooling and power generation, Science 321 (2008) 1457–1461. https://doi.org/10.1126/science.1158899.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  <w:t xml:space="preserve">[4] R.A. Taylor, G.L. Solbrekken, Optimization of thermoelectric refrigeration systems for electronics cooling, IEEE Trans. </w:t>
      </w:r>
      <w:proofErr w:type="spellStart"/>
      <w:r w:rsidRPr="00056DDE">
        <w:rPr>
          <w:rFonts w:ascii="Times New Roman" w:hAnsi="Times New Roman" w:cs="Times New Roman"/>
          <w:sz w:val="24"/>
          <w:szCs w:val="24"/>
        </w:rPr>
        <w:t>Compon</w:t>
      </w:r>
      <w:proofErr w:type="spellEnd"/>
      <w:r w:rsidRPr="00056D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56DDE">
        <w:rPr>
          <w:rFonts w:ascii="Times New Roman" w:hAnsi="Times New Roman" w:cs="Times New Roman"/>
          <w:sz w:val="24"/>
          <w:szCs w:val="24"/>
        </w:rPr>
        <w:t>Packag</w:t>
      </w:r>
      <w:proofErr w:type="spellEnd"/>
      <w:r w:rsidRPr="00056DDE">
        <w:rPr>
          <w:rFonts w:ascii="Times New Roman" w:hAnsi="Times New Roman" w:cs="Times New Roman"/>
          <w:sz w:val="24"/>
          <w:szCs w:val="24"/>
        </w:rPr>
        <w:t>. Technol. 31 (2008) 828–839. https://doi.org/10.1109/TCAPT.2008.2000902.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  <w:t>[5] J. Shi, D. Han, Z. Li, L. Yang, S.-G. Lu, Z. Zhong, J. Chen, Q.M. Zhang, X. Qian, Electrocaloric cooling materials and devices for zero-global-warming-potential, high-efficiency refrigeration, Joule 3 (2019) 1200–1225. https://doi.org/10.1016/j.joule.2019.03.021.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lastRenderedPageBreak/>
        <w:t>[6] Y. Wang, Z. Zhang, D. Shen, M. Behrens, J. Wang, S. Qian, I. Takeuchi, A high-performance solid-state electrocaloric cooling system, Science 370 (2020) 129–133. https://doi.org/10.1126/science.aba2648.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  <w:t xml:space="preserve">[7] S. Qian, Y. Geng, Y. Wang, J. Ling, I. Takeuchi, A review of </w:t>
      </w:r>
      <w:proofErr w:type="spellStart"/>
      <w:r w:rsidRPr="00056DDE">
        <w:rPr>
          <w:rFonts w:ascii="Times New Roman" w:hAnsi="Times New Roman" w:cs="Times New Roman"/>
          <w:sz w:val="24"/>
          <w:szCs w:val="24"/>
        </w:rPr>
        <w:t>elastocaloric</w:t>
      </w:r>
      <w:proofErr w:type="spellEnd"/>
      <w:r w:rsidRPr="00056DDE">
        <w:rPr>
          <w:rFonts w:ascii="Times New Roman" w:hAnsi="Times New Roman" w:cs="Times New Roman"/>
          <w:sz w:val="24"/>
          <w:szCs w:val="24"/>
        </w:rPr>
        <w:t xml:space="preserve"> cooling: Materials, cycles and system integrations, Int. J. </w:t>
      </w:r>
      <w:proofErr w:type="spellStart"/>
      <w:r w:rsidRPr="00056DDE">
        <w:rPr>
          <w:rFonts w:ascii="Times New Roman" w:hAnsi="Times New Roman" w:cs="Times New Roman"/>
          <w:sz w:val="24"/>
          <w:szCs w:val="24"/>
        </w:rPr>
        <w:t>Refrig</w:t>
      </w:r>
      <w:proofErr w:type="spellEnd"/>
      <w:r w:rsidRPr="00056DDE">
        <w:rPr>
          <w:rFonts w:ascii="Times New Roman" w:hAnsi="Times New Roman" w:cs="Times New Roman"/>
          <w:sz w:val="24"/>
          <w:szCs w:val="24"/>
        </w:rPr>
        <w:t>. 56 (2015) 244–252.</w:t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056DDE">
        <w:rPr>
          <w:rFonts w:ascii="Times New Roman" w:hAnsi="Times New Roman" w:cs="Times New Roman"/>
          <w:sz w:val="24"/>
          <w:szCs w:val="24"/>
        </w:rPr>
        <w:br/>
      </w:r>
      <w:r w:rsidRPr="001D5AF0">
        <w:rPr>
          <w:rFonts w:ascii="Times New Roman" w:hAnsi="Times New Roman" w:cs="Times New Roman"/>
          <w:sz w:val="24"/>
          <w:szCs w:val="24"/>
        </w:rPr>
        <w:t xml:space="preserve">[8] Y. Zeng, X. Zhang, J. Wang, et al., Solvation entropy engineering of </w:t>
      </w:r>
      <w:proofErr w:type="spellStart"/>
      <w:r w:rsidRPr="001D5AF0">
        <w:rPr>
          <w:rFonts w:ascii="Times New Roman" w:hAnsi="Times New Roman" w:cs="Times New Roman"/>
          <w:sz w:val="24"/>
          <w:szCs w:val="24"/>
        </w:rPr>
        <w:t>thermogalvanic</w:t>
      </w:r>
      <w:proofErr w:type="spellEnd"/>
      <w:r w:rsidRPr="001D5AF0">
        <w:rPr>
          <w:rFonts w:ascii="Times New Roman" w:hAnsi="Times New Roman" w:cs="Times New Roman"/>
          <w:sz w:val="24"/>
          <w:szCs w:val="24"/>
        </w:rPr>
        <w:t xml:space="preserve"> electrolytes for efficient electrochemical refrigeration, Joule 9 (2025) 101822. https://doi.org/10.1016/j.joule.2025.101822.</w:t>
      </w:r>
    </w:p>
    <w:sectPr w:rsidR="00A8201B" w:rsidRPr="001D5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661E6F"/>
    <w:multiLevelType w:val="hybridMultilevel"/>
    <w:tmpl w:val="11146A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1F"/>
    <w:rsid w:val="00016677"/>
    <w:rsid w:val="0003373D"/>
    <w:rsid w:val="00034EAD"/>
    <w:rsid w:val="00056DDE"/>
    <w:rsid w:val="000B57DF"/>
    <w:rsid w:val="000E20AE"/>
    <w:rsid w:val="00122F39"/>
    <w:rsid w:val="001736E2"/>
    <w:rsid w:val="001C5B5A"/>
    <w:rsid w:val="001C73CA"/>
    <w:rsid w:val="001D5AF0"/>
    <w:rsid w:val="0035425D"/>
    <w:rsid w:val="00490E8A"/>
    <w:rsid w:val="00517001"/>
    <w:rsid w:val="0056251F"/>
    <w:rsid w:val="005E2ED5"/>
    <w:rsid w:val="00732ECD"/>
    <w:rsid w:val="007908AA"/>
    <w:rsid w:val="00810F78"/>
    <w:rsid w:val="00872326"/>
    <w:rsid w:val="00A64567"/>
    <w:rsid w:val="00A8201B"/>
    <w:rsid w:val="00B8133C"/>
    <w:rsid w:val="00DD51B0"/>
    <w:rsid w:val="00ED688A"/>
    <w:rsid w:val="00EE6361"/>
    <w:rsid w:val="00F14D22"/>
    <w:rsid w:val="00FC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B663CF"/>
  <w15:chartTrackingRefBased/>
  <w15:docId w15:val="{2FE003EC-3330-4D18-B3B5-28E1CE2A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2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5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5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51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5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51F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51F"/>
    <w:rPr>
      <w:rFonts w:eastAsiaTheme="majorEastAsia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51F"/>
    <w:rPr>
      <w:rFonts w:eastAsiaTheme="majorEastAsia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51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51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51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51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62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51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51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62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51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62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51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5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51F"/>
    <w:rPr>
      <w:i/>
      <w:iCs/>
      <w:color w:val="2E74B5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6251F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16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646</Words>
  <Characters>3424</Characters>
  <Application>Microsoft Office Word</Application>
  <DocSecurity>0</DocSecurity>
  <Lines>28</Lines>
  <Paragraphs>8</Paragraphs>
  <ScaleCrop>false</ScaleCrop>
  <Company>Linköpings universitet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Zhao</dc:creator>
  <cp:keywords/>
  <dc:description/>
  <cp:lastModifiedBy>Dan Zhao</cp:lastModifiedBy>
  <cp:revision>8</cp:revision>
  <dcterms:created xsi:type="dcterms:W3CDTF">2026-07-16T19:29:00Z</dcterms:created>
  <dcterms:modified xsi:type="dcterms:W3CDTF">2026-08-12T16:26:00Z</dcterms:modified>
</cp:coreProperties>
</file>