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EF76A" w14:textId="77777777" w:rsidR="00E97170" w:rsidRPr="00E97170" w:rsidRDefault="00E97170" w:rsidP="00E97170">
      <w:pPr>
        <w:spacing w:after="0" w:line="480" w:lineRule="auto"/>
      </w:pPr>
      <w:r w:rsidRPr="00E97170">
        <w:t>A retrospective analysis of the effects of TIME on Compliance and Driving pressures in acute respiratory distress syndrome: The TIMED study</w:t>
      </w:r>
    </w:p>
    <w:p w14:paraId="43ACDB69" w14:textId="77777777" w:rsidR="00E97170" w:rsidRDefault="00E97170" w:rsidP="00E40E3B">
      <w:pPr>
        <w:jc w:val="center"/>
        <w:rPr>
          <w:b/>
          <w:bCs/>
        </w:rPr>
      </w:pPr>
    </w:p>
    <w:p w14:paraId="360C5FF1" w14:textId="072F7BCB" w:rsidR="00E40E3B" w:rsidRPr="00E40E3B" w:rsidRDefault="00715D53" w:rsidP="00E40E3B">
      <w:pPr>
        <w:jc w:val="center"/>
        <w:rPr>
          <w:b/>
          <w:bCs/>
        </w:rPr>
      </w:pPr>
      <w:r w:rsidRPr="00E40E3B">
        <w:rPr>
          <w:b/>
          <w:bCs/>
        </w:rPr>
        <w:t>Supplement</w:t>
      </w:r>
      <w:r w:rsidR="00E40E3B" w:rsidRPr="00E40E3B">
        <w:rPr>
          <w:b/>
          <w:bCs/>
        </w:rPr>
        <w:t xml:space="preserve">al </w:t>
      </w:r>
      <w:r w:rsidR="005875DC">
        <w:rPr>
          <w:b/>
          <w:bCs/>
        </w:rPr>
        <w:t>Materials</w:t>
      </w:r>
    </w:p>
    <w:p w14:paraId="0A0D2C1D" w14:textId="77777777" w:rsidR="007904B5" w:rsidRDefault="007904B5" w:rsidP="007904B5"/>
    <w:p w14:paraId="58A808BE" w14:textId="64388482" w:rsidR="005875DC" w:rsidRDefault="005875DC" w:rsidP="007904B5">
      <w:pPr>
        <w:tabs>
          <w:tab w:val="right" w:leader="dot" w:pos="9360"/>
        </w:tabs>
      </w:pPr>
      <w:r>
        <w:t>Supplemental Figure S1. Study flow diagram</w:t>
      </w:r>
      <w:r>
        <w:tab/>
        <w:t>2</w:t>
      </w:r>
    </w:p>
    <w:p w14:paraId="7E2642B2" w14:textId="0F78CC1F" w:rsidR="00C5056F" w:rsidRDefault="001C47D2" w:rsidP="007904B5">
      <w:pPr>
        <w:tabs>
          <w:tab w:val="right" w:leader="dot" w:pos="9360"/>
        </w:tabs>
      </w:pPr>
      <w:r>
        <w:t>Outcomes in COVID-19 positive patients s</w:t>
      </w:r>
      <w:r w:rsidR="00715D53">
        <w:t>tratif</w:t>
      </w:r>
      <w:r>
        <w:t>ied</w:t>
      </w:r>
      <w:r w:rsidR="00715D53">
        <w:t xml:space="preserve"> by culture positive/negative </w:t>
      </w:r>
      <w:r>
        <w:t>status</w:t>
      </w:r>
      <w:r w:rsidR="00715D53">
        <w:t xml:space="preserve"> </w:t>
      </w:r>
      <w:r w:rsidR="007904B5">
        <w:tab/>
      </w:r>
      <w:r w:rsidR="005875DC">
        <w:t>3</w:t>
      </w:r>
    </w:p>
    <w:p w14:paraId="283B6D65" w14:textId="1C08AE8B" w:rsidR="00ED1F46" w:rsidRDefault="00ED1F46" w:rsidP="007904B5">
      <w:pPr>
        <w:tabs>
          <w:tab w:val="right" w:leader="dot" w:pos="9360"/>
        </w:tabs>
      </w:pPr>
      <w:r>
        <w:t>Supplemental Figure S2. Time-to-death and time-to-</w:t>
      </w:r>
      <w:r w:rsidR="00173195">
        <w:t>discharge in COVID-19 positive patients stratified by culture positive/negative status</w:t>
      </w:r>
      <w:r w:rsidR="00173195">
        <w:tab/>
        <w:t>4</w:t>
      </w:r>
    </w:p>
    <w:p w14:paraId="141CDB7F" w14:textId="37C8F366" w:rsidR="00173195" w:rsidRDefault="00173195" w:rsidP="007904B5">
      <w:pPr>
        <w:tabs>
          <w:tab w:val="right" w:leader="dot" w:pos="9360"/>
        </w:tabs>
        <w:rPr>
          <w:color w:val="000000"/>
        </w:rPr>
      </w:pPr>
      <w:r>
        <w:t xml:space="preserve">Supplemental Figure S3. </w:t>
      </w:r>
      <w:r>
        <w:rPr>
          <w:color w:val="000000"/>
        </w:rPr>
        <w:t>Change in static lung compliance and driving pressure in COVID-19 positive patients stratified by culture positive/negative status</w:t>
      </w:r>
      <w:r>
        <w:rPr>
          <w:color w:val="000000"/>
        </w:rPr>
        <w:tab/>
        <w:t>5</w:t>
      </w:r>
    </w:p>
    <w:p w14:paraId="332E6806" w14:textId="560C1F75" w:rsidR="00173195" w:rsidRDefault="00173195" w:rsidP="007904B5">
      <w:pPr>
        <w:tabs>
          <w:tab w:val="right" w:leader="dot" w:pos="9360"/>
        </w:tabs>
        <w:rPr>
          <w:color w:val="000000"/>
        </w:rPr>
      </w:pPr>
      <w:r>
        <w:rPr>
          <w:color w:val="000000"/>
        </w:rPr>
        <w:t>Supplemental Figure S4. Unadjusted in-hospital mortality rate</w:t>
      </w:r>
      <w:r>
        <w:rPr>
          <w:color w:val="000000"/>
        </w:rPr>
        <w:tab/>
        <w:t>6</w:t>
      </w:r>
    </w:p>
    <w:p w14:paraId="2A1F9E27" w14:textId="70A6EBE2" w:rsidR="00173195" w:rsidRDefault="00173195" w:rsidP="007904B5">
      <w:pPr>
        <w:tabs>
          <w:tab w:val="right" w:leader="dot" w:pos="9360"/>
        </w:tabs>
      </w:pPr>
      <w:r>
        <w:t>Supplemental Figure S5. Probability of death and hospital discharge</w:t>
      </w:r>
      <w:r>
        <w:tab/>
        <w:t>7</w:t>
      </w:r>
    </w:p>
    <w:p w14:paraId="1C8F26D9" w14:textId="06B68CCB" w:rsidR="007904B5" w:rsidRDefault="007904B5" w:rsidP="007904B5"/>
    <w:p w14:paraId="2A7BE601" w14:textId="6E338702" w:rsidR="007904B5" w:rsidRDefault="007904B5" w:rsidP="007904B5"/>
    <w:p w14:paraId="49CF3EFA" w14:textId="2EAFE259" w:rsidR="007904B5" w:rsidRDefault="007904B5" w:rsidP="007904B5"/>
    <w:p w14:paraId="2C8B4EE5" w14:textId="77777777" w:rsidR="007904B5" w:rsidRDefault="007904B5" w:rsidP="007904B5"/>
    <w:p w14:paraId="52774685" w14:textId="77777777" w:rsidR="00E40E3B" w:rsidRDefault="00E40E3B" w:rsidP="007904B5">
      <w:pPr>
        <w:spacing w:after="0" w:line="240" w:lineRule="auto"/>
        <w:jc w:val="both"/>
        <w:rPr>
          <w:color w:val="000000"/>
        </w:rPr>
      </w:pPr>
      <w:r>
        <w:rPr>
          <w:color w:val="000000"/>
        </w:rPr>
        <w:br w:type="page"/>
      </w:r>
    </w:p>
    <w:p w14:paraId="6ECCFDA7" w14:textId="77777777" w:rsidR="005875DC" w:rsidRPr="005875DC" w:rsidRDefault="005875DC" w:rsidP="005875DC">
      <w:pPr>
        <w:spacing w:after="0" w:line="240" w:lineRule="auto"/>
        <w:rPr>
          <w:rFonts w:asciiTheme="minorHAnsi" w:hAnsiTheme="minorHAnsi" w:cstheme="minorHAnsi"/>
          <w:sz w:val="22"/>
          <w:szCs w:val="22"/>
        </w:rPr>
      </w:pPr>
      <w:r w:rsidRPr="005875DC">
        <w:rPr>
          <w:rFonts w:asciiTheme="minorHAnsi" w:hAnsiTheme="minorHAnsi" w:cstheme="minorBidi"/>
          <w:sz w:val="22"/>
          <w:szCs w:val="22"/>
        </w:rPr>
        <w:object w:dxaOrig="10500" w:dyaOrig="5821" w14:anchorId="31824CE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9.65pt;height:232.5pt" o:ole="">
            <v:imagedata r:id="rId7" o:title=""/>
          </v:shape>
          <o:OLEObject Type="Embed" ProgID="Visio.Drawing.15" ShapeID="_x0000_i1025" DrawAspect="Content" ObjectID="_1693051581" r:id="rId8"/>
        </w:object>
      </w:r>
    </w:p>
    <w:p w14:paraId="510AEE69" w14:textId="77777777" w:rsidR="005875DC" w:rsidRDefault="005875DC" w:rsidP="005875DC">
      <w:pPr>
        <w:spacing w:after="0" w:line="240" w:lineRule="auto"/>
        <w:rPr>
          <w:rFonts w:asciiTheme="minorHAnsi" w:hAnsiTheme="minorHAnsi" w:cstheme="minorHAnsi"/>
          <w:b/>
          <w:bCs/>
          <w:sz w:val="22"/>
          <w:szCs w:val="22"/>
        </w:rPr>
      </w:pPr>
    </w:p>
    <w:p w14:paraId="492BD14D" w14:textId="212EDD6B" w:rsidR="005875DC" w:rsidRPr="005875DC" w:rsidRDefault="005875DC" w:rsidP="005875DC">
      <w:pPr>
        <w:spacing w:after="0" w:line="240" w:lineRule="auto"/>
      </w:pPr>
      <w:r w:rsidRPr="005875DC">
        <w:rPr>
          <w:b/>
          <w:bCs/>
        </w:rPr>
        <w:t>Supplemental Figure S1.</w:t>
      </w:r>
      <w:r w:rsidRPr="005875DC">
        <w:t xml:space="preserve"> Study flow diagram showing inclusion/exclusion criteria</w:t>
      </w:r>
    </w:p>
    <w:p w14:paraId="76AE5C87" w14:textId="77777777" w:rsidR="005875DC" w:rsidRDefault="005875DC">
      <w:pPr>
        <w:spacing w:after="0" w:line="240" w:lineRule="auto"/>
        <w:rPr>
          <w:color w:val="000000"/>
        </w:rPr>
      </w:pPr>
      <w:r>
        <w:rPr>
          <w:color w:val="000000"/>
        </w:rPr>
        <w:br w:type="page"/>
      </w:r>
    </w:p>
    <w:p w14:paraId="1497ECC7" w14:textId="13AA8339" w:rsidR="00ED1F46" w:rsidRPr="00ED1F46" w:rsidRDefault="00ED1F46" w:rsidP="00ED1F46">
      <w:pPr>
        <w:spacing w:after="240"/>
        <w:jc w:val="center"/>
        <w:rPr>
          <w:b/>
          <w:bCs/>
          <w:color w:val="000000"/>
        </w:rPr>
      </w:pPr>
      <w:r w:rsidRPr="00ED1F46">
        <w:rPr>
          <w:b/>
          <w:bCs/>
        </w:rPr>
        <w:lastRenderedPageBreak/>
        <w:t>Outcomes in COVID-19 positive patients stratified by culture positive/negative status</w:t>
      </w:r>
    </w:p>
    <w:p w14:paraId="00A49744" w14:textId="79A39BAB" w:rsidR="00715D53" w:rsidRDefault="00715D53" w:rsidP="00715D53">
      <w:pPr>
        <w:spacing w:after="240"/>
        <w:rPr>
          <w:color w:val="000000"/>
        </w:rPr>
      </w:pPr>
      <w:r>
        <w:rPr>
          <w:color w:val="000000"/>
        </w:rPr>
        <w:t xml:space="preserve">Of the 55 COVID-19 positive patients, 24 (44%) were culture positive. COVID-19 positive culture positive patients had longer time on ventilator compared to COVID-19 positive culture negative patients (median days: 17 days vs. 7 days, </w:t>
      </w:r>
      <w:r w:rsidRPr="00715D53">
        <w:rPr>
          <w:i/>
          <w:iCs/>
          <w:color w:val="000000"/>
        </w:rPr>
        <w:t>p</w:t>
      </w:r>
      <w:r>
        <w:rPr>
          <w:color w:val="000000"/>
        </w:rPr>
        <w:t xml:space="preserve"> &lt; .001) and, therefore, more ventilator observations (medians: 39 vs. 13, </w:t>
      </w:r>
      <w:r w:rsidRPr="00715D53">
        <w:rPr>
          <w:i/>
          <w:iCs/>
          <w:color w:val="000000"/>
        </w:rPr>
        <w:t>p</w:t>
      </w:r>
      <w:r>
        <w:rPr>
          <w:color w:val="000000"/>
        </w:rPr>
        <w:t xml:space="preserve"> &lt; .001). The overall mortality rates were statistically similar between COVID-19 positive culture positive patients and COVID-19 </w:t>
      </w:r>
      <w:r w:rsidR="00E40E3B">
        <w:rPr>
          <w:color w:val="000000"/>
        </w:rPr>
        <w:t xml:space="preserve">positive </w:t>
      </w:r>
      <w:r>
        <w:rPr>
          <w:color w:val="000000"/>
        </w:rPr>
        <w:t xml:space="preserve">culture negative patients (42% vs. 54%, </w:t>
      </w:r>
      <w:r w:rsidRPr="00E40E3B">
        <w:rPr>
          <w:i/>
          <w:iCs/>
          <w:color w:val="000000"/>
        </w:rPr>
        <w:t>p</w:t>
      </w:r>
      <w:r>
        <w:rPr>
          <w:color w:val="000000"/>
        </w:rPr>
        <w:t xml:space="preserve"> = .368) as was time-to-death (log-rank </w:t>
      </w:r>
      <w:r w:rsidRPr="0000375C">
        <w:rPr>
          <w:i/>
          <w:iCs/>
          <w:color w:val="000000"/>
        </w:rPr>
        <w:t>p</w:t>
      </w:r>
      <w:r>
        <w:rPr>
          <w:color w:val="000000"/>
        </w:rPr>
        <w:t xml:space="preserve"> = .392</w:t>
      </w:r>
      <w:r w:rsidR="0000375C">
        <w:rPr>
          <w:color w:val="000000"/>
        </w:rPr>
        <w:t xml:space="preserve">; </w:t>
      </w:r>
      <w:r w:rsidR="005875DC">
        <w:rPr>
          <w:color w:val="000000"/>
        </w:rPr>
        <w:t xml:space="preserve">Supplemental </w:t>
      </w:r>
      <w:r w:rsidR="0000375C">
        <w:rPr>
          <w:color w:val="000000"/>
        </w:rPr>
        <w:t xml:space="preserve">Figure </w:t>
      </w:r>
      <w:r w:rsidR="005875DC">
        <w:rPr>
          <w:color w:val="000000"/>
        </w:rPr>
        <w:t>S2</w:t>
      </w:r>
      <w:r>
        <w:rPr>
          <w:color w:val="000000"/>
        </w:rPr>
        <w:t xml:space="preserve">) and risk-of-death (HR: 0.71, </w:t>
      </w:r>
      <w:r w:rsidR="00F813A4">
        <w:rPr>
          <w:color w:val="000000"/>
        </w:rPr>
        <w:t xml:space="preserve">95% CI: 0.33-1.57, </w:t>
      </w:r>
      <w:r w:rsidRPr="00E40E3B">
        <w:rPr>
          <w:i/>
          <w:iCs/>
          <w:color w:val="000000"/>
        </w:rPr>
        <w:t>p</w:t>
      </w:r>
      <w:r>
        <w:rPr>
          <w:color w:val="000000"/>
        </w:rPr>
        <w:t xml:space="preserve"> = .402).</w:t>
      </w:r>
      <w:r w:rsidR="0000375C">
        <w:rPr>
          <w:color w:val="000000"/>
        </w:rPr>
        <w:t xml:space="preserve"> </w:t>
      </w:r>
      <w:r>
        <w:rPr>
          <w:color w:val="000000"/>
        </w:rPr>
        <w:t xml:space="preserve">Further, time-to-discharge from the hospital was shorter in culture negative COVID patients (median LOS: 18 vs. 30 days, </w:t>
      </w:r>
      <w:r w:rsidRPr="00BE22DC">
        <w:rPr>
          <w:i/>
          <w:iCs/>
          <w:color w:val="000000"/>
        </w:rPr>
        <w:t>p</w:t>
      </w:r>
      <w:r>
        <w:rPr>
          <w:color w:val="000000"/>
        </w:rPr>
        <w:t xml:space="preserve"> = .001</w:t>
      </w:r>
      <w:r w:rsidR="00BE22DC">
        <w:rPr>
          <w:color w:val="000000"/>
        </w:rPr>
        <w:t xml:space="preserve">; </w:t>
      </w:r>
      <w:r w:rsidR="005875DC">
        <w:rPr>
          <w:color w:val="000000"/>
        </w:rPr>
        <w:t>Supplemental Figure S2</w:t>
      </w:r>
      <w:r>
        <w:rPr>
          <w:color w:val="000000"/>
        </w:rPr>
        <w:t>).</w:t>
      </w:r>
      <w:r>
        <w:rPr>
          <w:color w:val="000000"/>
        </w:rPr>
        <w:br/>
      </w:r>
      <w:r>
        <w:rPr>
          <w:color w:val="000000"/>
        </w:rPr>
        <w:br/>
      </w:r>
      <w:r w:rsidR="00BE22DC">
        <w:rPr>
          <w:color w:val="000000"/>
        </w:rPr>
        <w:t>COVID-19 patients who were</w:t>
      </w:r>
      <w:r>
        <w:rPr>
          <w:color w:val="000000"/>
        </w:rPr>
        <w:t xml:space="preserve"> culture positive </w:t>
      </w:r>
      <w:r w:rsidR="00BE22DC">
        <w:rPr>
          <w:color w:val="000000"/>
        </w:rPr>
        <w:t>or</w:t>
      </w:r>
      <w:r>
        <w:rPr>
          <w:color w:val="000000"/>
        </w:rPr>
        <w:t xml:space="preserve"> culture negative showed a statistically similar decrease in static compliance across vent</w:t>
      </w:r>
      <w:r w:rsidR="00BE22DC">
        <w:rPr>
          <w:color w:val="000000"/>
        </w:rPr>
        <w:t>ilator</w:t>
      </w:r>
      <w:r>
        <w:rPr>
          <w:color w:val="000000"/>
        </w:rPr>
        <w:t xml:space="preserve"> checks (</w:t>
      </w:r>
      <w:r w:rsidR="00BE22DC">
        <w:rPr>
          <w:color w:val="000000"/>
        </w:rPr>
        <w:t>–</w:t>
      </w:r>
      <w:r>
        <w:rPr>
          <w:color w:val="000000"/>
        </w:rPr>
        <w:t xml:space="preserve">0.01 per check vs. </w:t>
      </w:r>
      <w:r w:rsidR="00BE22DC">
        <w:rPr>
          <w:color w:val="000000"/>
        </w:rPr>
        <w:t>–</w:t>
      </w:r>
      <w:r>
        <w:rPr>
          <w:color w:val="000000"/>
        </w:rPr>
        <w:t xml:space="preserve">0.16 per check; interaction </w:t>
      </w:r>
      <w:r w:rsidRPr="00BE22DC">
        <w:rPr>
          <w:i/>
          <w:iCs/>
          <w:color w:val="000000"/>
        </w:rPr>
        <w:t>p</w:t>
      </w:r>
      <w:r>
        <w:rPr>
          <w:color w:val="000000"/>
        </w:rPr>
        <w:t xml:space="preserve"> = .251); as with the combined COVID group, these changes were not statistically significant</w:t>
      </w:r>
      <w:r w:rsidR="00BE22DC">
        <w:rPr>
          <w:color w:val="000000"/>
        </w:rPr>
        <w:t xml:space="preserve"> (simple main effect </w:t>
      </w:r>
      <w:r w:rsidR="00BE22DC" w:rsidRPr="00BE22DC">
        <w:rPr>
          <w:i/>
          <w:iCs/>
          <w:color w:val="000000"/>
        </w:rPr>
        <w:t>p</w:t>
      </w:r>
      <w:r w:rsidR="00BE22DC">
        <w:rPr>
          <w:color w:val="000000"/>
        </w:rPr>
        <w:t xml:space="preserve"> = .860 and .166, respectively; </w:t>
      </w:r>
      <w:r w:rsidR="005875DC">
        <w:rPr>
          <w:color w:val="000000"/>
        </w:rPr>
        <w:t>Supplemental Figure S3</w:t>
      </w:r>
      <w:r w:rsidR="00BE22DC">
        <w:rPr>
          <w:color w:val="000000"/>
        </w:rPr>
        <w:t>)</w:t>
      </w:r>
      <w:r>
        <w:rPr>
          <w:color w:val="000000"/>
        </w:rPr>
        <w:t xml:space="preserve">. Likewise, </w:t>
      </w:r>
      <w:r w:rsidR="00BE22DC">
        <w:rPr>
          <w:color w:val="000000"/>
        </w:rPr>
        <w:t>COVID-19 patients who were</w:t>
      </w:r>
      <w:r>
        <w:rPr>
          <w:color w:val="000000"/>
        </w:rPr>
        <w:t xml:space="preserve"> culture positive </w:t>
      </w:r>
      <w:r w:rsidR="00BE22DC">
        <w:rPr>
          <w:color w:val="000000"/>
        </w:rPr>
        <w:t xml:space="preserve">or </w:t>
      </w:r>
      <w:r>
        <w:rPr>
          <w:color w:val="000000"/>
        </w:rPr>
        <w:t>culture negative showed a statistically similar increase in driving pressure across vent</w:t>
      </w:r>
      <w:r w:rsidR="00BE22DC">
        <w:rPr>
          <w:color w:val="000000"/>
        </w:rPr>
        <w:t>ilator</w:t>
      </w:r>
      <w:r>
        <w:rPr>
          <w:color w:val="000000"/>
        </w:rPr>
        <w:t xml:space="preserve"> checks (0.01 per check vs. 0.07 per check; interaction </w:t>
      </w:r>
      <w:r w:rsidRPr="00BE22DC">
        <w:rPr>
          <w:i/>
          <w:iCs/>
          <w:color w:val="000000"/>
        </w:rPr>
        <w:t>p</w:t>
      </w:r>
      <w:r>
        <w:rPr>
          <w:color w:val="000000"/>
        </w:rPr>
        <w:t xml:space="preserve"> = .260); as with the combined COVID group, these changes were not statistically significant</w:t>
      </w:r>
      <w:r w:rsidR="00BE22DC">
        <w:rPr>
          <w:color w:val="000000"/>
        </w:rPr>
        <w:t xml:space="preserve"> (</w:t>
      </w:r>
      <w:r w:rsidR="00E40E3B">
        <w:rPr>
          <w:color w:val="000000"/>
        </w:rPr>
        <w:t xml:space="preserve">simple main effect </w:t>
      </w:r>
      <w:r w:rsidR="00E40E3B">
        <w:rPr>
          <w:i/>
          <w:iCs/>
          <w:color w:val="000000"/>
        </w:rPr>
        <w:t>p</w:t>
      </w:r>
      <w:r w:rsidR="00E40E3B">
        <w:rPr>
          <w:color w:val="000000"/>
        </w:rPr>
        <w:t xml:space="preserve"> = .572 and .125, respectively; </w:t>
      </w:r>
      <w:r w:rsidR="005875DC">
        <w:rPr>
          <w:color w:val="000000"/>
        </w:rPr>
        <w:t>Supplemental Figure S3</w:t>
      </w:r>
      <w:r w:rsidR="00E40E3B">
        <w:rPr>
          <w:color w:val="000000"/>
        </w:rPr>
        <w:t>)</w:t>
      </w:r>
      <w:r>
        <w:rPr>
          <w:color w:val="000000"/>
        </w:rPr>
        <w:t>.</w:t>
      </w:r>
    </w:p>
    <w:p w14:paraId="44039CA7" w14:textId="246ECAF5" w:rsidR="0000375C" w:rsidRDefault="00E40E3B" w:rsidP="00715D53">
      <w:pPr>
        <w:rPr>
          <w:color w:val="000000"/>
        </w:rPr>
      </w:pPr>
      <w:r>
        <w:rPr>
          <w:color w:val="000000"/>
        </w:rPr>
        <w:t>Overall u</w:t>
      </w:r>
      <w:r w:rsidR="00715D53">
        <w:rPr>
          <w:color w:val="000000"/>
        </w:rPr>
        <w:t xml:space="preserve">se of </w:t>
      </w:r>
      <w:r>
        <w:rPr>
          <w:color w:val="000000"/>
        </w:rPr>
        <w:t>pre-intubation</w:t>
      </w:r>
      <w:r w:rsidR="00715D53">
        <w:rPr>
          <w:color w:val="000000"/>
        </w:rPr>
        <w:t xml:space="preserve"> </w:t>
      </w:r>
      <w:r>
        <w:rPr>
          <w:color w:val="000000"/>
        </w:rPr>
        <w:t>noninvasive respiratory support (NIV) was</w:t>
      </w:r>
      <w:r w:rsidR="00715D53">
        <w:rPr>
          <w:color w:val="000000"/>
        </w:rPr>
        <w:t xml:space="preserve"> similar between </w:t>
      </w:r>
      <w:r>
        <w:rPr>
          <w:color w:val="000000"/>
        </w:rPr>
        <w:t xml:space="preserve">COVID-19 patients who were </w:t>
      </w:r>
      <w:r w:rsidR="00715D53">
        <w:rPr>
          <w:color w:val="000000"/>
        </w:rPr>
        <w:t xml:space="preserve">culture negative </w:t>
      </w:r>
      <w:r>
        <w:rPr>
          <w:color w:val="000000"/>
        </w:rPr>
        <w:t>or</w:t>
      </w:r>
      <w:r w:rsidR="00715D53">
        <w:rPr>
          <w:color w:val="000000"/>
        </w:rPr>
        <w:t xml:space="preserve"> culture positive (39% vs. 42%, </w:t>
      </w:r>
      <w:r w:rsidR="00715D53" w:rsidRPr="00E40E3B">
        <w:rPr>
          <w:i/>
          <w:iCs/>
          <w:color w:val="000000"/>
        </w:rPr>
        <w:t>p</w:t>
      </w:r>
      <w:r w:rsidR="00715D53">
        <w:rPr>
          <w:color w:val="000000"/>
        </w:rPr>
        <w:t xml:space="preserve"> = .824). Likewise, days of NIV </w:t>
      </w:r>
      <w:r>
        <w:rPr>
          <w:color w:val="000000"/>
        </w:rPr>
        <w:t xml:space="preserve">prior to invasive mechanical ventilation </w:t>
      </w:r>
      <w:r w:rsidR="00715D53">
        <w:rPr>
          <w:color w:val="000000"/>
        </w:rPr>
        <w:t xml:space="preserve">was not different in </w:t>
      </w:r>
      <w:r w:rsidR="00220F2C">
        <w:rPr>
          <w:color w:val="000000"/>
        </w:rPr>
        <w:t xml:space="preserve">COVID-19 patients who were culture positive or culture negative </w:t>
      </w:r>
      <w:r w:rsidR="00715D53">
        <w:rPr>
          <w:color w:val="000000"/>
        </w:rPr>
        <w:t xml:space="preserve">who used NIV (medians: 2 days vs. 2 days, </w:t>
      </w:r>
      <w:r w:rsidR="00715D53" w:rsidRPr="00E40E3B">
        <w:rPr>
          <w:i/>
          <w:iCs/>
          <w:color w:val="000000"/>
        </w:rPr>
        <w:t>p</w:t>
      </w:r>
      <w:r w:rsidR="00715D53">
        <w:rPr>
          <w:color w:val="000000"/>
        </w:rPr>
        <w:t xml:space="preserve"> = 0.706).</w:t>
      </w:r>
    </w:p>
    <w:p w14:paraId="014350A7" w14:textId="77777777" w:rsidR="0000375C" w:rsidRDefault="0000375C">
      <w:pPr>
        <w:spacing w:after="0" w:line="240" w:lineRule="auto"/>
        <w:rPr>
          <w:color w:val="000000"/>
        </w:rPr>
      </w:pPr>
      <w:r>
        <w:rPr>
          <w:color w:val="000000"/>
        </w:rPr>
        <w:br w:type="page"/>
      </w:r>
    </w:p>
    <w:p w14:paraId="6E1983F8" w14:textId="1B2CF5D4" w:rsidR="0000375C" w:rsidRDefault="00F813A4" w:rsidP="00715D53">
      <w:pPr>
        <w:rPr>
          <w:color w:val="000000"/>
        </w:rPr>
      </w:pPr>
      <w:r>
        <w:rPr>
          <w:rFonts w:ascii="Arial" w:hAnsi="Arial" w:cs="Arial"/>
          <w:noProof/>
          <w:color w:val="000000"/>
          <w:sz w:val="20"/>
          <w:szCs w:val="20"/>
        </w:rPr>
        <w:lastRenderedPageBreak/>
        <w:drawing>
          <wp:inline distT="0" distB="0" distL="0" distR="0" wp14:anchorId="684092E7" wp14:editId="7D839C7E">
            <wp:extent cx="2971800" cy="2228215"/>
            <wp:effectExtent l="0" t="0" r="0" b="635"/>
            <wp:docPr id="4" name="Picture 4" descr="Product-Limit Failure Curves with Number of Subjects at Risk and 95% Pointwise Confidence Limi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roduct-Limit Failure Curves with Number of Subjects at Risk and 95% Pointwise Confidence Limit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22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0E3B"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 wp14:anchorId="19B5AD29" wp14:editId="046DEB77">
            <wp:extent cx="2971800" cy="2228215"/>
            <wp:effectExtent l="0" t="0" r="0" b="635"/>
            <wp:docPr id="3" name="Picture 3" descr="Product-Limit Failure Curves with Number of Subjects at Risk and 95% Pointwise Confidence Limi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roduct-Limit Failure Curves with Number of Subjects at Risk and 95% Pointwise Confidence Limit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22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6572C1" w14:textId="43A07D2D" w:rsidR="0000375C" w:rsidRDefault="005875DC" w:rsidP="00715D53">
      <w:pPr>
        <w:rPr>
          <w:color w:val="000000"/>
        </w:rPr>
      </w:pPr>
      <w:r>
        <w:rPr>
          <w:b/>
          <w:bCs/>
          <w:color w:val="000000"/>
        </w:rPr>
        <w:t xml:space="preserve">Supplemental </w:t>
      </w:r>
      <w:r w:rsidR="0000375C" w:rsidRPr="0000375C">
        <w:rPr>
          <w:b/>
          <w:bCs/>
          <w:color w:val="000000"/>
        </w:rPr>
        <w:t xml:space="preserve">Figure </w:t>
      </w:r>
      <w:r>
        <w:rPr>
          <w:b/>
          <w:bCs/>
          <w:color w:val="000000"/>
        </w:rPr>
        <w:t>S2</w:t>
      </w:r>
      <w:r w:rsidR="0000375C" w:rsidRPr="0000375C">
        <w:rPr>
          <w:b/>
          <w:bCs/>
          <w:color w:val="000000"/>
        </w:rPr>
        <w:t>.</w:t>
      </w:r>
      <w:r w:rsidR="0000375C">
        <w:rPr>
          <w:color w:val="000000"/>
        </w:rPr>
        <w:t xml:space="preserve"> Time-to-</w:t>
      </w:r>
      <w:r w:rsidR="00F813A4">
        <w:rPr>
          <w:color w:val="000000"/>
        </w:rPr>
        <w:t>in-hospital mortality</w:t>
      </w:r>
      <w:r w:rsidR="0000375C">
        <w:rPr>
          <w:color w:val="000000"/>
        </w:rPr>
        <w:t xml:space="preserve"> </w:t>
      </w:r>
      <w:r w:rsidR="00F813A4">
        <w:rPr>
          <w:color w:val="000000"/>
        </w:rPr>
        <w:t>(left) and time-to-discharge censored at in-hospital mortality (right) in</w:t>
      </w:r>
      <w:r w:rsidR="0000375C">
        <w:rPr>
          <w:color w:val="000000"/>
        </w:rPr>
        <w:t xml:space="preserve"> COVID-19 patients stratified by culture negative (CPCOVID = 0) and culture positive (CPCOVID = 1) status.</w:t>
      </w:r>
    </w:p>
    <w:p w14:paraId="5EF080D2" w14:textId="19EAAB03" w:rsidR="0000375C" w:rsidRDefault="0000375C">
      <w:pPr>
        <w:spacing w:after="0" w:line="240" w:lineRule="auto"/>
        <w:rPr>
          <w:color w:val="000000"/>
        </w:rPr>
      </w:pPr>
    </w:p>
    <w:p w14:paraId="5AAF5719" w14:textId="13AD3F17" w:rsidR="00ED1F46" w:rsidRDefault="00ED1F46">
      <w:pPr>
        <w:spacing w:after="0" w:line="240" w:lineRule="auto"/>
        <w:rPr>
          <w:color w:val="000000"/>
        </w:rPr>
      </w:pPr>
    </w:p>
    <w:p w14:paraId="785A0322" w14:textId="30372EE1" w:rsidR="00ED1F46" w:rsidRDefault="00ED1F46">
      <w:pPr>
        <w:spacing w:after="0" w:line="240" w:lineRule="auto"/>
        <w:rPr>
          <w:color w:val="000000"/>
        </w:rPr>
      </w:pPr>
    </w:p>
    <w:p w14:paraId="500E4D92" w14:textId="4FC2C017" w:rsidR="00ED1F46" w:rsidRDefault="00ED1F46">
      <w:pPr>
        <w:spacing w:after="0" w:line="240" w:lineRule="auto"/>
        <w:rPr>
          <w:color w:val="000000"/>
        </w:rPr>
      </w:pPr>
    </w:p>
    <w:p w14:paraId="7D501B54" w14:textId="053551B7" w:rsidR="00ED1F46" w:rsidRDefault="00ED1F46">
      <w:pPr>
        <w:spacing w:after="0" w:line="240" w:lineRule="auto"/>
        <w:rPr>
          <w:color w:val="000000"/>
        </w:rPr>
      </w:pPr>
    </w:p>
    <w:p w14:paraId="698C980B" w14:textId="77777777" w:rsidR="00ED1F46" w:rsidRDefault="00ED1F46">
      <w:pPr>
        <w:spacing w:after="0" w:line="240" w:lineRule="auto"/>
        <w:rPr>
          <w:color w:val="000000"/>
        </w:rPr>
      </w:pPr>
    </w:p>
    <w:p w14:paraId="252A7E9C" w14:textId="77777777" w:rsidR="00ED1F46" w:rsidRDefault="00ED1F46">
      <w:pPr>
        <w:spacing w:after="0" w:line="240" w:lineRule="auto"/>
        <w:rPr>
          <w:b/>
          <w:bCs/>
          <w:color w:val="000000"/>
        </w:rPr>
      </w:pPr>
      <w:r>
        <w:rPr>
          <w:b/>
          <w:bCs/>
          <w:color w:val="000000"/>
        </w:rPr>
        <w:br w:type="page"/>
      </w:r>
    </w:p>
    <w:p w14:paraId="641AF7DC" w14:textId="77777777" w:rsidR="00ED1F46" w:rsidRDefault="00F813A4" w:rsidP="00715D53">
      <w:pPr>
        <w:rPr>
          <w:b/>
          <w:bCs/>
          <w:color w:val="000000"/>
        </w:rPr>
      </w:pPr>
      <w:r>
        <w:rPr>
          <w:rFonts w:ascii="Arial" w:hAnsi="Arial" w:cs="Arial"/>
          <w:noProof/>
          <w:color w:val="000000"/>
          <w:sz w:val="20"/>
          <w:szCs w:val="20"/>
        </w:rPr>
        <w:lastRenderedPageBreak/>
        <w:drawing>
          <wp:inline distT="0" distB="0" distL="0" distR="0" wp14:anchorId="12038D28" wp14:editId="07429B32">
            <wp:extent cx="2971800" cy="2228154"/>
            <wp:effectExtent l="0" t="0" r="0" b="1270"/>
            <wp:docPr id="5" name="Picture 5" descr="The SGPlot Proced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he SGPlot Procedur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228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 wp14:anchorId="095F1B2F" wp14:editId="0959F1E5">
            <wp:extent cx="2971800" cy="2228154"/>
            <wp:effectExtent l="0" t="0" r="0" b="1270"/>
            <wp:docPr id="2" name="Picture 2" descr="The SGPlot Proced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he SGPlot Procedur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228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5D53">
        <w:rPr>
          <w:color w:val="000000"/>
        </w:rPr>
        <w:br/>
      </w:r>
    </w:p>
    <w:p w14:paraId="454BB224" w14:textId="6A47EB4E" w:rsidR="00715D53" w:rsidRDefault="005875DC" w:rsidP="00715D53">
      <w:pPr>
        <w:rPr>
          <w:color w:val="000000"/>
        </w:rPr>
      </w:pPr>
      <w:r>
        <w:rPr>
          <w:b/>
          <w:bCs/>
          <w:color w:val="000000"/>
        </w:rPr>
        <w:t xml:space="preserve">Supplemental </w:t>
      </w:r>
      <w:r w:rsidRPr="0000375C">
        <w:rPr>
          <w:b/>
          <w:bCs/>
          <w:color w:val="000000"/>
        </w:rPr>
        <w:t xml:space="preserve">Figure </w:t>
      </w:r>
      <w:r>
        <w:rPr>
          <w:b/>
          <w:bCs/>
          <w:color w:val="000000"/>
        </w:rPr>
        <w:t>S3</w:t>
      </w:r>
      <w:r w:rsidR="0000375C" w:rsidRPr="00F813A4">
        <w:rPr>
          <w:b/>
          <w:bCs/>
          <w:color w:val="000000"/>
        </w:rPr>
        <w:t>.</w:t>
      </w:r>
      <w:r w:rsidR="0000375C">
        <w:rPr>
          <w:color w:val="000000"/>
        </w:rPr>
        <w:t xml:space="preserve"> </w:t>
      </w:r>
      <w:r w:rsidR="00F813A4">
        <w:rPr>
          <w:color w:val="000000"/>
        </w:rPr>
        <w:t>Change in static lung compliance (left) and driving pressure (right) in COVID-19 positive patients stratified by culture positive/negative status.</w:t>
      </w:r>
      <w:r w:rsidR="00715D53">
        <w:rPr>
          <w:color w:val="000000"/>
        </w:rPr>
        <w:br/>
      </w:r>
    </w:p>
    <w:p w14:paraId="198D6A99" w14:textId="6825FC37" w:rsidR="007904B5" w:rsidRDefault="007904B5">
      <w:pPr>
        <w:spacing w:after="0" w:line="240" w:lineRule="auto"/>
      </w:pPr>
      <w:r>
        <w:br w:type="page"/>
      </w:r>
    </w:p>
    <w:p w14:paraId="0E4577C7" w14:textId="77777777" w:rsidR="00ED1F46" w:rsidRPr="00ED1F46" w:rsidRDefault="00ED1F46" w:rsidP="00ED1F46">
      <w:pPr>
        <w:rPr>
          <w:rFonts w:asciiTheme="minorHAnsi" w:hAnsiTheme="minorHAnsi" w:cstheme="minorBidi"/>
          <w:sz w:val="22"/>
          <w:szCs w:val="22"/>
        </w:rPr>
      </w:pPr>
      <w:r w:rsidRPr="00ED1F46">
        <w:rPr>
          <w:rFonts w:ascii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4F4F1B12" wp14:editId="28CE55E9">
            <wp:extent cx="4572000" cy="2743200"/>
            <wp:effectExtent l="0" t="0" r="0" b="0"/>
            <wp:docPr id="8" name="Chart 8">
              <a:extLst xmlns:a="http://schemas.openxmlformats.org/drawingml/2006/main">
                <a:ext uri="{FF2B5EF4-FFF2-40B4-BE49-F238E27FC236}">
                  <a16:creationId xmlns:a16="http://schemas.microsoft.com/office/drawing/2014/main" id="{9994C6EE-FD52-4D30-A907-B814585F1F4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1A10BA54" w14:textId="2AA30DFA" w:rsidR="00ED1F46" w:rsidRPr="00ED1F46" w:rsidRDefault="00ED1F46" w:rsidP="00ED1F46">
      <w:r w:rsidRPr="00ED1F46">
        <w:rPr>
          <w:b/>
          <w:bCs/>
          <w:color w:val="000000"/>
        </w:rPr>
        <w:t>Supplemental Figure S4</w:t>
      </w:r>
      <w:r w:rsidRPr="00ED1F46">
        <w:rPr>
          <w:b/>
          <w:bCs/>
        </w:rPr>
        <w:t>.</w:t>
      </w:r>
      <w:r w:rsidRPr="00ED1F46">
        <w:t xml:space="preserve"> Unadjusted in-hospital mortality rate stratified by patient groups. Error bars represent 95% Agresti-Coull confidence intervals. Note that the COVID-19 group represents all COVID-19 positive patients, the Culture Positive group represents COVID-19 negative patients with positive blood, sputum, and/or other viral culture, and the Culture Negative group represents COVID-19 negative patients with negative blood, sputum, and other viral culture.</w:t>
      </w:r>
    </w:p>
    <w:p w14:paraId="0EC8E25D" w14:textId="77777777" w:rsidR="00ED1F46" w:rsidRPr="00ED1F46" w:rsidRDefault="00ED1F46" w:rsidP="00ED1F46">
      <w:pPr>
        <w:rPr>
          <w:rFonts w:asciiTheme="minorHAnsi" w:hAnsiTheme="minorHAnsi" w:cstheme="minorBidi"/>
          <w:sz w:val="22"/>
          <w:szCs w:val="22"/>
        </w:rPr>
      </w:pPr>
    </w:p>
    <w:p w14:paraId="4BA0C5F4" w14:textId="77777777" w:rsidR="00ED1F46" w:rsidRPr="00ED1F46" w:rsidRDefault="00ED1F46" w:rsidP="00ED1F46">
      <w:pPr>
        <w:rPr>
          <w:rFonts w:asciiTheme="minorHAnsi" w:hAnsiTheme="minorHAnsi" w:cstheme="minorBidi"/>
          <w:sz w:val="22"/>
          <w:szCs w:val="22"/>
        </w:rPr>
      </w:pPr>
      <w:r w:rsidRPr="00ED1F46">
        <w:rPr>
          <w:rFonts w:asciiTheme="minorHAnsi" w:hAnsiTheme="minorHAnsi" w:cstheme="minorBidi"/>
          <w:sz w:val="22"/>
          <w:szCs w:val="22"/>
        </w:rPr>
        <w:br w:type="page"/>
      </w:r>
    </w:p>
    <w:p w14:paraId="71D6F602" w14:textId="77777777" w:rsidR="00ED1F46" w:rsidRPr="00ED1F46" w:rsidRDefault="00ED1F46" w:rsidP="00ED1F46">
      <w:r w:rsidRPr="00ED1F46">
        <w:rPr>
          <w:noProof/>
          <w:color w:val="000000"/>
        </w:rPr>
        <w:lastRenderedPageBreak/>
        <w:drawing>
          <wp:inline distT="0" distB="0" distL="0" distR="0" wp14:anchorId="0EC2935B" wp14:editId="599BB704">
            <wp:extent cx="2971800" cy="2228154"/>
            <wp:effectExtent l="0" t="0" r="0" b="1270"/>
            <wp:docPr id="9" name="Picture 9" descr="Product-Limit Failure Curves with Number of Subjects at Risk and 95% Pointwise Confidence Limi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roduct-Limit Failure Curves with Number of Subjects at Risk and 95% Pointwise Confidence Limits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228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1F46">
        <w:rPr>
          <w:noProof/>
          <w:color w:val="000000"/>
        </w:rPr>
        <w:drawing>
          <wp:inline distT="0" distB="0" distL="0" distR="0" wp14:anchorId="45C8EDB1" wp14:editId="485385F4">
            <wp:extent cx="2971800" cy="2227580"/>
            <wp:effectExtent l="0" t="0" r="0" b="1270"/>
            <wp:docPr id="6" name="Picture 6" descr="Product-Limit Failure Curves with Number of Subjects at Risk and 95% Pointwise Confidence Limi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roduct-Limit Failure Curves with Number of Subjects at Risk and 95% Pointwise Confidence Limits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22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49BB21" w14:textId="5A5FF01E" w:rsidR="00715D53" w:rsidRDefault="00ED1F46">
      <w:r w:rsidRPr="00ED1F46">
        <w:rPr>
          <w:b/>
          <w:bCs/>
          <w:color w:val="000000"/>
        </w:rPr>
        <w:t>Supplemental Figure S5</w:t>
      </w:r>
      <w:r w:rsidRPr="00ED1F46">
        <w:rPr>
          <w:b/>
          <w:bCs/>
        </w:rPr>
        <w:t>.</w:t>
      </w:r>
      <w:r w:rsidRPr="00ED1F46">
        <w:t xml:space="preserve"> Kaplan-Meier curve showing probability of in-hospital death (left; log-rank </w:t>
      </w:r>
      <w:r w:rsidRPr="00ED1F46">
        <w:rPr>
          <w:i/>
          <w:iCs/>
        </w:rPr>
        <w:t>p</w:t>
      </w:r>
      <w:r w:rsidRPr="00ED1F46">
        <w:t xml:space="preserve"> = .029) and probability of hospital discharge using death as the censoring variable (right; log-rank </w:t>
      </w:r>
      <w:r w:rsidRPr="00ED1F46">
        <w:rPr>
          <w:i/>
          <w:iCs/>
        </w:rPr>
        <w:t>p</w:t>
      </w:r>
      <w:r w:rsidRPr="00ED1F46">
        <w:t xml:space="preserve"> &lt; .001). Shaded areas represent 95% confidence intervals. Note that the COVID-19 group represents all COVID-19 positive patients, the Culture Positive group represents COVID-19 negative patients with positive blood, sputum, and/or other viral culture, and the Culture Negative group represents COVID-19 negative patients with negative blood, sputum, and other viral culture.</w:t>
      </w:r>
    </w:p>
    <w:sectPr w:rsidR="00715D53"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5346E" w14:textId="77777777" w:rsidR="00D45D21" w:rsidRDefault="00D45D21" w:rsidP="007904B5">
      <w:pPr>
        <w:spacing w:after="0" w:line="240" w:lineRule="auto"/>
      </w:pPr>
      <w:r>
        <w:separator/>
      </w:r>
    </w:p>
  </w:endnote>
  <w:endnote w:type="continuationSeparator" w:id="0">
    <w:p w14:paraId="1F07D87F" w14:textId="77777777" w:rsidR="00D45D21" w:rsidRDefault="00D45D21" w:rsidP="007904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082673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0F7D493" w14:textId="7C71D420" w:rsidR="007904B5" w:rsidRDefault="007904B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353B671" w14:textId="77777777" w:rsidR="007904B5" w:rsidRDefault="007904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07918D" w14:textId="77777777" w:rsidR="00D45D21" w:rsidRDefault="00D45D21" w:rsidP="007904B5">
      <w:pPr>
        <w:spacing w:after="0" w:line="240" w:lineRule="auto"/>
      </w:pPr>
      <w:r>
        <w:separator/>
      </w:r>
    </w:p>
  </w:footnote>
  <w:footnote w:type="continuationSeparator" w:id="0">
    <w:p w14:paraId="3340722E" w14:textId="77777777" w:rsidR="00D45D21" w:rsidRDefault="00D45D21" w:rsidP="007904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681B02"/>
    <w:multiLevelType w:val="hybridMultilevel"/>
    <w:tmpl w:val="2034C6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D53"/>
    <w:rsid w:val="00000C92"/>
    <w:rsid w:val="0000119B"/>
    <w:rsid w:val="00001EAE"/>
    <w:rsid w:val="00003028"/>
    <w:rsid w:val="0000375C"/>
    <w:rsid w:val="00004257"/>
    <w:rsid w:val="00004EA1"/>
    <w:rsid w:val="000072E1"/>
    <w:rsid w:val="00007AA8"/>
    <w:rsid w:val="00007F78"/>
    <w:rsid w:val="00012752"/>
    <w:rsid w:val="00012A17"/>
    <w:rsid w:val="00014F9E"/>
    <w:rsid w:val="000161F8"/>
    <w:rsid w:val="000174D5"/>
    <w:rsid w:val="000219E8"/>
    <w:rsid w:val="0002512E"/>
    <w:rsid w:val="00025E77"/>
    <w:rsid w:val="000272FA"/>
    <w:rsid w:val="00030F96"/>
    <w:rsid w:val="000318CB"/>
    <w:rsid w:val="00032195"/>
    <w:rsid w:val="0003671E"/>
    <w:rsid w:val="0004004A"/>
    <w:rsid w:val="00046967"/>
    <w:rsid w:val="0004779C"/>
    <w:rsid w:val="00047A02"/>
    <w:rsid w:val="0005028D"/>
    <w:rsid w:val="000547DD"/>
    <w:rsid w:val="00061034"/>
    <w:rsid w:val="000727E1"/>
    <w:rsid w:val="0007542C"/>
    <w:rsid w:val="00075C8E"/>
    <w:rsid w:val="00080182"/>
    <w:rsid w:val="00080239"/>
    <w:rsid w:val="000830D3"/>
    <w:rsid w:val="00083A93"/>
    <w:rsid w:val="00083C30"/>
    <w:rsid w:val="00084197"/>
    <w:rsid w:val="00085B1D"/>
    <w:rsid w:val="0008627F"/>
    <w:rsid w:val="00090AF1"/>
    <w:rsid w:val="0009323F"/>
    <w:rsid w:val="00093A95"/>
    <w:rsid w:val="00094280"/>
    <w:rsid w:val="0009463D"/>
    <w:rsid w:val="00095E0A"/>
    <w:rsid w:val="000A278F"/>
    <w:rsid w:val="000A381C"/>
    <w:rsid w:val="000B1C7A"/>
    <w:rsid w:val="000B5B4F"/>
    <w:rsid w:val="000C0015"/>
    <w:rsid w:val="000C056C"/>
    <w:rsid w:val="000C2E35"/>
    <w:rsid w:val="000C2FFC"/>
    <w:rsid w:val="000C67C7"/>
    <w:rsid w:val="000D1D15"/>
    <w:rsid w:val="000D48D9"/>
    <w:rsid w:val="000D4AA8"/>
    <w:rsid w:val="000E111D"/>
    <w:rsid w:val="000E21B4"/>
    <w:rsid w:val="000E271F"/>
    <w:rsid w:val="000E2844"/>
    <w:rsid w:val="000E4407"/>
    <w:rsid w:val="000E5738"/>
    <w:rsid w:val="000E6384"/>
    <w:rsid w:val="000E6627"/>
    <w:rsid w:val="000E7418"/>
    <w:rsid w:val="000F02F3"/>
    <w:rsid w:val="000F0F69"/>
    <w:rsid w:val="000F22F2"/>
    <w:rsid w:val="000F2730"/>
    <w:rsid w:val="000F4A9C"/>
    <w:rsid w:val="000F5F15"/>
    <w:rsid w:val="000F65BA"/>
    <w:rsid w:val="000F7646"/>
    <w:rsid w:val="000F7A1A"/>
    <w:rsid w:val="00100440"/>
    <w:rsid w:val="00101019"/>
    <w:rsid w:val="00102EE3"/>
    <w:rsid w:val="00102F4A"/>
    <w:rsid w:val="00103774"/>
    <w:rsid w:val="00106176"/>
    <w:rsid w:val="00110774"/>
    <w:rsid w:val="00111998"/>
    <w:rsid w:val="00113631"/>
    <w:rsid w:val="001136FB"/>
    <w:rsid w:val="00115378"/>
    <w:rsid w:val="001164FD"/>
    <w:rsid w:val="0012099B"/>
    <w:rsid w:val="00125CFA"/>
    <w:rsid w:val="0013328D"/>
    <w:rsid w:val="00135DDB"/>
    <w:rsid w:val="00137F09"/>
    <w:rsid w:val="00140890"/>
    <w:rsid w:val="00142EA9"/>
    <w:rsid w:val="00143C43"/>
    <w:rsid w:val="00144012"/>
    <w:rsid w:val="0014413A"/>
    <w:rsid w:val="00145F55"/>
    <w:rsid w:val="001466C2"/>
    <w:rsid w:val="00147669"/>
    <w:rsid w:val="00150457"/>
    <w:rsid w:val="001517E2"/>
    <w:rsid w:val="00151EA7"/>
    <w:rsid w:val="0016072B"/>
    <w:rsid w:val="0016171A"/>
    <w:rsid w:val="001633A6"/>
    <w:rsid w:val="00163665"/>
    <w:rsid w:val="001641DE"/>
    <w:rsid w:val="00167660"/>
    <w:rsid w:val="00171166"/>
    <w:rsid w:val="0017191B"/>
    <w:rsid w:val="001723ED"/>
    <w:rsid w:val="00173195"/>
    <w:rsid w:val="0017378C"/>
    <w:rsid w:val="00174A66"/>
    <w:rsid w:val="00175B9B"/>
    <w:rsid w:val="00180B47"/>
    <w:rsid w:val="0018218A"/>
    <w:rsid w:val="00183D92"/>
    <w:rsid w:val="00186032"/>
    <w:rsid w:val="00186203"/>
    <w:rsid w:val="001904E1"/>
    <w:rsid w:val="001909B6"/>
    <w:rsid w:val="00191D78"/>
    <w:rsid w:val="00193CF6"/>
    <w:rsid w:val="001957EB"/>
    <w:rsid w:val="00196C82"/>
    <w:rsid w:val="001A0586"/>
    <w:rsid w:val="001A3DF4"/>
    <w:rsid w:val="001A3FBE"/>
    <w:rsid w:val="001A40B6"/>
    <w:rsid w:val="001A764D"/>
    <w:rsid w:val="001A77F0"/>
    <w:rsid w:val="001B2720"/>
    <w:rsid w:val="001B3594"/>
    <w:rsid w:val="001B3726"/>
    <w:rsid w:val="001B3887"/>
    <w:rsid w:val="001C1760"/>
    <w:rsid w:val="001C2B1F"/>
    <w:rsid w:val="001C2D56"/>
    <w:rsid w:val="001C3982"/>
    <w:rsid w:val="001C47D2"/>
    <w:rsid w:val="001C4821"/>
    <w:rsid w:val="001C6537"/>
    <w:rsid w:val="001D17FB"/>
    <w:rsid w:val="001D2277"/>
    <w:rsid w:val="001D3437"/>
    <w:rsid w:val="001D371C"/>
    <w:rsid w:val="001E1707"/>
    <w:rsid w:val="001E72CF"/>
    <w:rsid w:val="001E7459"/>
    <w:rsid w:val="001E76DA"/>
    <w:rsid w:val="001E7E87"/>
    <w:rsid w:val="001F00B6"/>
    <w:rsid w:val="001F0A39"/>
    <w:rsid w:val="001F1AA4"/>
    <w:rsid w:val="001F2768"/>
    <w:rsid w:val="001F2A90"/>
    <w:rsid w:val="001F564B"/>
    <w:rsid w:val="001F5AA8"/>
    <w:rsid w:val="001F6D4B"/>
    <w:rsid w:val="00200448"/>
    <w:rsid w:val="00201043"/>
    <w:rsid w:val="00203F7A"/>
    <w:rsid w:val="00204319"/>
    <w:rsid w:val="002048EA"/>
    <w:rsid w:val="0021209D"/>
    <w:rsid w:val="00216C6F"/>
    <w:rsid w:val="00216F03"/>
    <w:rsid w:val="002208E0"/>
    <w:rsid w:val="00220F2C"/>
    <w:rsid w:val="0022209D"/>
    <w:rsid w:val="00222916"/>
    <w:rsid w:val="0022513D"/>
    <w:rsid w:val="002257A7"/>
    <w:rsid w:val="00233C3A"/>
    <w:rsid w:val="00235E47"/>
    <w:rsid w:val="002417B4"/>
    <w:rsid w:val="00244AC7"/>
    <w:rsid w:val="00244EFF"/>
    <w:rsid w:val="0024581F"/>
    <w:rsid w:val="00245A9F"/>
    <w:rsid w:val="002476EC"/>
    <w:rsid w:val="002544DB"/>
    <w:rsid w:val="002558DC"/>
    <w:rsid w:val="00256AA1"/>
    <w:rsid w:val="002600AB"/>
    <w:rsid w:val="00261B6D"/>
    <w:rsid w:val="0026498A"/>
    <w:rsid w:val="00264FD9"/>
    <w:rsid w:val="002656BA"/>
    <w:rsid w:val="00265F89"/>
    <w:rsid w:val="00266F60"/>
    <w:rsid w:val="00270F21"/>
    <w:rsid w:val="0027162F"/>
    <w:rsid w:val="002716A1"/>
    <w:rsid w:val="00275A17"/>
    <w:rsid w:val="00275A77"/>
    <w:rsid w:val="00276355"/>
    <w:rsid w:val="00276B81"/>
    <w:rsid w:val="00277616"/>
    <w:rsid w:val="00277BA8"/>
    <w:rsid w:val="0028028D"/>
    <w:rsid w:val="00282006"/>
    <w:rsid w:val="0028268A"/>
    <w:rsid w:val="0028310E"/>
    <w:rsid w:val="00283547"/>
    <w:rsid w:val="002835DB"/>
    <w:rsid w:val="00290438"/>
    <w:rsid w:val="002917D0"/>
    <w:rsid w:val="0029607F"/>
    <w:rsid w:val="002A0C56"/>
    <w:rsid w:val="002A10EB"/>
    <w:rsid w:val="002A1BE0"/>
    <w:rsid w:val="002A3C65"/>
    <w:rsid w:val="002A3DE0"/>
    <w:rsid w:val="002A45AD"/>
    <w:rsid w:val="002A46B9"/>
    <w:rsid w:val="002A56E0"/>
    <w:rsid w:val="002A5D05"/>
    <w:rsid w:val="002A74E4"/>
    <w:rsid w:val="002B03F6"/>
    <w:rsid w:val="002B3F03"/>
    <w:rsid w:val="002B50C5"/>
    <w:rsid w:val="002B561A"/>
    <w:rsid w:val="002B5BC9"/>
    <w:rsid w:val="002B6D68"/>
    <w:rsid w:val="002C3664"/>
    <w:rsid w:val="002D002E"/>
    <w:rsid w:val="002D0C68"/>
    <w:rsid w:val="002D5E2B"/>
    <w:rsid w:val="002D643D"/>
    <w:rsid w:val="002E4C70"/>
    <w:rsid w:val="002E4E0E"/>
    <w:rsid w:val="002E69EC"/>
    <w:rsid w:val="002F27BE"/>
    <w:rsid w:val="002F2ECE"/>
    <w:rsid w:val="002F35D2"/>
    <w:rsid w:val="002F6460"/>
    <w:rsid w:val="002F66DE"/>
    <w:rsid w:val="003026F0"/>
    <w:rsid w:val="003107C0"/>
    <w:rsid w:val="003118BC"/>
    <w:rsid w:val="00312CB3"/>
    <w:rsid w:val="00313005"/>
    <w:rsid w:val="00313169"/>
    <w:rsid w:val="00316AA7"/>
    <w:rsid w:val="00320F48"/>
    <w:rsid w:val="00321500"/>
    <w:rsid w:val="003230EA"/>
    <w:rsid w:val="0032344D"/>
    <w:rsid w:val="00325EAB"/>
    <w:rsid w:val="00327471"/>
    <w:rsid w:val="0033171B"/>
    <w:rsid w:val="0033202E"/>
    <w:rsid w:val="00335358"/>
    <w:rsid w:val="00335D68"/>
    <w:rsid w:val="00341F4E"/>
    <w:rsid w:val="00342AC8"/>
    <w:rsid w:val="00342E21"/>
    <w:rsid w:val="00343014"/>
    <w:rsid w:val="00360A4E"/>
    <w:rsid w:val="00361E6B"/>
    <w:rsid w:val="003633FE"/>
    <w:rsid w:val="00364CCE"/>
    <w:rsid w:val="00367CB3"/>
    <w:rsid w:val="00372E51"/>
    <w:rsid w:val="00376C5F"/>
    <w:rsid w:val="0037749B"/>
    <w:rsid w:val="00382FA4"/>
    <w:rsid w:val="00384F41"/>
    <w:rsid w:val="00387E08"/>
    <w:rsid w:val="0039044C"/>
    <w:rsid w:val="00391967"/>
    <w:rsid w:val="00393CE3"/>
    <w:rsid w:val="003945CC"/>
    <w:rsid w:val="003A2923"/>
    <w:rsid w:val="003A3E9C"/>
    <w:rsid w:val="003A3EBE"/>
    <w:rsid w:val="003A5C2B"/>
    <w:rsid w:val="003A69B0"/>
    <w:rsid w:val="003B1CA3"/>
    <w:rsid w:val="003B428A"/>
    <w:rsid w:val="003B4B0A"/>
    <w:rsid w:val="003C0326"/>
    <w:rsid w:val="003C0CA8"/>
    <w:rsid w:val="003C30A7"/>
    <w:rsid w:val="003C724E"/>
    <w:rsid w:val="003D0B94"/>
    <w:rsid w:val="003D459C"/>
    <w:rsid w:val="003D75D2"/>
    <w:rsid w:val="003D7F60"/>
    <w:rsid w:val="003E229A"/>
    <w:rsid w:val="003E54FF"/>
    <w:rsid w:val="003F0689"/>
    <w:rsid w:val="003F1074"/>
    <w:rsid w:val="003F1148"/>
    <w:rsid w:val="003F2129"/>
    <w:rsid w:val="003F30E7"/>
    <w:rsid w:val="003F422D"/>
    <w:rsid w:val="00404846"/>
    <w:rsid w:val="00405CEC"/>
    <w:rsid w:val="004073E6"/>
    <w:rsid w:val="00412990"/>
    <w:rsid w:val="004141D8"/>
    <w:rsid w:val="004155A3"/>
    <w:rsid w:val="0041620A"/>
    <w:rsid w:val="00417872"/>
    <w:rsid w:val="004216E6"/>
    <w:rsid w:val="00422AD3"/>
    <w:rsid w:val="00425528"/>
    <w:rsid w:val="00430153"/>
    <w:rsid w:val="004357F4"/>
    <w:rsid w:val="004360FA"/>
    <w:rsid w:val="0043644A"/>
    <w:rsid w:val="00446C18"/>
    <w:rsid w:val="004479B6"/>
    <w:rsid w:val="00450CE1"/>
    <w:rsid w:val="00452A20"/>
    <w:rsid w:val="00453B6D"/>
    <w:rsid w:val="00454922"/>
    <w:rsid w:val="00454BFF"/>
    <w:rsid w:val="00455850"/>
    <w:rsid w:val="00455BCC"/>
    <w:rsid w:val="004623BF"/>
    <w:rsid w:val="00462834"/>
    <w:rsid w:val="00463A5D"/>
    <w:rsid w:val="00466563"/>
    <w:rsid w:val="004746F2"/>
    <w:rsid w:val="00474740"/>
    <w:rsid w:val="00475B16"/>
    <w:rsid w:val="004777BD"/>
    <w:rsid w:val="00482788"/>
    <w:rsid w:val="00482A19"/>
    <w:rsid w:val="0048440A"/>
    <w:rsid w:val="00490657"/>
    <w:rsid w:val="00491A50"/>
    <w:rsid w:val="00491E10"/>
    <w:rsid w:val="00494D3B"/>
    <w:rsid w:val="004954B0"/>
    <w:rsid w:val="004971BC"/>
    <w:rsid w:val="004976E7"/>
    <w:rsid w:val="00497811"/>
    <w:rsid w:val="004A20C2"/>
    <w:rsid w:val="004A3469"/>
    <w:rsid w:val="004A3A8B"/>
    <w:rsid w:val="004A3C02"/>
    <w:rsid w:val="004A3E9E"/>
    <w:rsid w:val="004A3EFF"/>
    <w:rsid w:val="004A3F20"/>
    <w:rsid w:val="004A3FDE"/>
    <w:rsid w:val="004A49E6"/>
    <w:rsid w:val="004A4CB1"/>
    <w:rsid w:val="004A4DC9"/>
    <w:rsid w:val="004A4E61"/>
    <w:rsid w:val="004A7C7F"/>
    <w:rsid w:val="004B2173"/>
    <w:rsid w:val="004C1360"/>
    <w:rsid w:val="004C2AF7"/>
    <w:rsid w:val="004C459C"/>
    <w:rsid w:val="004C4DFF"/>
    <w:rsid w:val="004C7F09"/>
    <w:rsid w:val="004D218A"/>
    <w:rsid w:val="004D2259"/>
    <w:rsid w:val="004D28D7"/>
    <w:rsid w:val="004D37AC"/>
    <w:rsid w:val="004D40BA"/>
    <w:rsid w:val="004E22D4"/>
    <w:rsid w:val="004E391D"/>
    <w:rsid w:val="004E5205"/>
    <w:rsid w:val="004E73A0"/>
    <w:rsid w:val="004F0CDD"/>
    <w:rsid w:val="004F1A73"/>
    <w:rsid w:val="004F4A9C"/>
    <w:rsid w:val="00505A64"/>
    <w:rsid w:val="00505CB0"/>
    <w:rsid w:val="00512EEA"/>
    <w:rsid w:val="005170C1"/>
    <w:rsid w:val="0052546F"/>
    <w:rsid w:val="00534982"/>
    <w:rsid w:val="00536176"/>
    <w:rsid w:val="005417FA"/>
    <w:rsid w:val="00543D6F"/>
    <w:rsid w:val="00544A78"/>
    <w:rsid w:val="00547BF3"/>
    <w:rsid w:val="00547EFA"/>
    <w:rsid w:val="00547F42"/>
    <w:rsid w:val="00550087"/>
    <w:rsid w:val="005507C9"/>
    <w:rsid w:val="00550E40"/>
    <w:rsid w:val="00550E7E"/>
    <w:rsid w:val="0055141A"/>
    <w:rsid w:val="00551BFB"/>
    <w:rsid w:val="0055449B"/>
    <w:rsid w:val="00563797"/>
    <w:rsid w:val="005674E3"/>
    <w:rsid w:val="00574448"/>
    <w:rsid w:val="005749F3"/>
    <w:rsid w:val="00576241"/>
    <w:rsid w:val="00576466"/>
    <w:rsid w:val="00576E92"/>
    <w:rsid w:val="005823A9"/>
    <w:rsid w:val="00582AF0"/>
    <w:rsid w:val="00583CFB"/>
    <w:rsid w:val="005840A5"/>
    <w:rsid w:val="005875DC"/>
    <w:rsid w:val="00590F26"/>
    <w:rsid w:val="00591F24"/>
    <w:rsid w:val="00592514"/>
    <w:rsid w:val="00594665"/>
    <w:rsid w:val="005947D0"/>
    <w:rsid w:val="0059540D"/>
    <w:rsid w:val="00597365"/>
    <w:rsid w:val="005976A5"/>
    <w:rsid w:val="00597E07"/>
    <w:rsid w:val="005A1C7D"/>
    <w:rsid w:val="005A35C3"/>
    <w:rsid w:val="005A4F32"/>
    <w:rsid w:val="005A584D"/>
    <w:rsid w:val="005A75CF"/>
    <w:rsid w:val="005B404E"/>
    <w:rsid w:val="005B4C3C"/>
    <w:rsid w:val="005B68BB"/>
    <w:rsid w:val="005C239C"/>
    <w:rsid w:val="005C2B23"/>
    <w:rsid w:val="005C591F"/>
    <w:rsid w:val="005C7078"/>
    <w:rsid w:val="005D20C8"/>
    <w:rsid w:val="005D25BF"/>
    <w:rsid w:val="005E0100"/>
    <w:rsid w:val="005E2D8A"/>
    <w:rsid w:val="005F132D"/>
    <w:rsid w:val="005F1972"/>
    <w:rsid w:val="005F58FE"/>
    <w:rsid w:val="0060300B"/>
    <w:rsid w:val="00604806"/>
    <w:rsid w:val="0060701C"/>
    <w:rsid w:val="00611033"/>
    <w:rsid w:val="00611411"/>
    <w:rsid w:val="00611F46"/>
    <w:rsid w:val="006121CA"/>
    <w:rsid w:val="006133C5"/>
    <w:rsid w:val="00614CAD"/>
    <w:rsid w:val="0061737B"/>
    <w:rsid w:val="00622673"/>
    <w:rsid w:val="00625C85"/>
    <w:rsid w:val="00627AC3"/>
    <w:rsid w:val="00630D30"/>
    <w:rsid w:val="00632189"/>
    <w:rsid w:val="00632E9A"/>
    <w:rsid w:val="00637510"/>
    <w:rsid w:val="006401D4"/>
    <w:rsid w:val="006405FB"/>
    <w:rsid w:val="006407C2"/>
    <w:rsid w:val="00640AA8"/>
    <w:rsid w:val="00641412"/>
    <w:rsid w:val="006424F9"/>
    <w:rsid w:val="0064456E"/>
    <w:rsid w:val="0064552E"/>
    <w:rsid w:val="00651FD0"/>
    <w:rsid w:val="006529D8"/>
    <w:rsid w:val="0065415B"/>
    <w:rsid w:val="00655057"/>
    <w:rsid w:val="00657A24"/>
    <w:rsid w:val="00662BE9"/>
    <w:rsid w:val="00664357"/>
    <w:rsid w:val="006655F1"/>
    <w:rsid w:val="00665BE3"/>
    <w:rsid w:val="00666BCD"/>
    <w:rsid w:val="006676F8"/>
    <w:rsid w:val="00670DD9"/>
    <w:rsid w:val="00672726"/>
    <w:rsid w:val="0067579E"/>
    <w:rsid w:val="00675A5D"/>
    <w:rsid w:val="00676415"/>
    <w:rsid w:val="006774F3"/>
    <w:rsid w:val="00677608"/>
    <w:rsid w:val="00680AB4"/>
    <w:rsid w:val="00684012"/>
    <w:rsid w:val="00684B3B"/>
    <w:rsid w:val="00685057"/>
    <w:rsid w:val="0068527F"/>
    <w:rsid w:val="006943D1"/>
    <w:rsid w:val="006944E4"/>
    <w:rsid w:val="006A7589"/>
    <w:rsid w:val="006A7CB4"/>
    <w:rsid w:val="006B1209"/>
    <w:rsid w:val="006B211E"/>
    <w:rsid w:val="006B2888"/>
    <w:rsid w:val="006B31C1"/>
    <w:rsid w:val="006B37E3"/>
    <w:rsid w:val="006B4071"/>
    <w:rsid w:val="006B552F"/>
    <w:rsid w:val="006B5A21"/>
    <w:rsid w:val="006B6A27"/>
    <w:rsid w:val="006C3207"/>
    <w:rsid w:val="006C5D25"/>
    <w:rsid w:val="006C7125"/>
    <w:rsid w:val="006C7A17"/>
    <w:rsid w:val="006C7EF5"/>
    <w:rsid w:val="006D1651"/>
    <w:rsid w:val="006D5942"/>
    <w:rsid w:val="006D7E93"/>
    <w:rsid w:val="006E12A9"/>
    <w:rsid w:val="006E1FC7"/>
    <w:rsid w:val="006E270D"/>
    <w:rsid w:val="006E7527"/>
    <w:rsid w:val="006E752A"/>
    <w:rsid w:val="006F0764"/>
    <w:rsid w:val="006F0BCE"/>
    <w:rsid w:val="006F6895"/>
    <w:rsid w:val="007017D6"/>
    <w:rsid w:val="00703B36"/>
    <w:rsid w:val="00704540"/>
    <w:rsid w:val="00706AF0"/>
    <w:rsid w:val="007113B3"/>
    <w:rsid w:val="00713B27"/>
    <w:rsid w:val="00713F96"/>
    <w:rsid w:val="00715D53"/>
    <w:rsid w:val="00716309"/>
    <w:rsid w:val="007201C7"/>
    <w:rsid w:val="00720331"/>
    <w:rsid w:val="00722F56"/>
    <w:rsid w:val="007230CA"/>
    <w:rsid w:val="00723B16"/>
    <w:rsid w:val="00724831"/>
    <w:rsid w:val="007257D6"/>
    <w:rsid w:val="007276B0"/>
    <w:rsid w:val="007316DA"/>
    <w:rsid w:val="007329F0"/>
    <w:rsid w:val="00735D41"/>
    <w:rsid w:val="00736B66"/>
    <w:rsid w:val="007375B4"/>
    <w:rsid w:val="00737D1E"/>
    <w:rsid w:val="00740251"/>
    <w:rsid w:val="007411F3"/>
    <w:rsid w:val="00742526"/>
    <w:rsid w:val="00742766"/>
    <w:rsid w:val="007433F9"/>
    <w:rsid w:val="00743DC4"/>
    <w:rsid w:val="00746E32"/>
    <w:rsid w:val="00747019"/>
    <w:rsid w:val="00750343"/>
    <w:rsid w:val="00750567"/>
    <w:rsid w:val="00753CBD"/>
    <w:rsid w:val="00754659"/>
    <w:rsid w:val="00762706"/>
    <w:rsid w:val="00763E03"/>
    <w:rsid w:val="007666E6"/>
    <w:rsid w:val="00780197"/>
    <w:rsid w:val="0078090A"/>
    <w:rsid w:val="00780FC4"/>
    <w:rsid w:val="00781FC6"/>
    <w:rsid w:val="00782DE4"/>
    <w:rsid w:val="0078453A"/>
    <w:rsid w:val="00785524"/>
    <w:rsid w:val="00785777"/>
    <w:rsid w:val="007904B5"/>
    <w:rsid w:val="007905FB"/>
    <w:rsid w:val="00794665"/>
    <w:rsid w:val="00794C15"/>
    <w:rsid w:val="00795A74"/>
    <w:rsid w:val="00797735"/>
    <w:rsid w:val="007A1710"/>
    <w:rsid w:val="007A258D"/>
    <w:rsid w:val="007A4241"/>
    <w:rsid w:val="007A4C0E"/>
    <w:rsid w:val="007A7B0E"/>
    <w:rsid w:val="007B0BAE"/>
    <w:rsid w:val="007B1345"/>
    <w:rsid w:val="007B25A4"/>
    <w:rsid w:val="007B2FCF"/>
    <w:rsid w:val="007B5AEC"/>
    <w:rsid w:val="007B5CAA"/>
    <w:rsid w:val="007C2098"/>
    <w:rsid w:val="007C4ACB"/>
    <w:rsid w:val="007C51EB"/>
    <w:rsid w:val="007C7514"/>
    <w:rsid w:val="007C7952"/>
    <w:rsid w:val="007D183C"/>
    <w:rsid w:val="007D4F9C"/>
    <w:rsid w:val="007D53A5"/>
    <w:rsid w:val="007D628E"/>
    <w:rsid w:val="007D77C0"/>
    <w:rsid w:val="007E03BB"/>
    <w:rsid w:val="007E239B"/>
    <w:rsid w:val="007E26F1"/>
    <w:rsid w:val="007E4283"/>
    <w:rsid w:val="007E4829"/>
    <w:rsid w:val="007E7FB8"/>
    <w:rsid w:val="007F036A"/>
    <w:rsid w:val="007F4A11"/>
    <w:rsid w:val="007F677A"/>
    <w:rsid w:val="007F6960"/>
    <w:rsid w:val="00802C66"/>
    <w:rsid w:val="00804012"/>
    <w:rsid w:val="008042D3"/>
    <w:rsid w:val="008054E2"/>
    <w:rsid w:val="00805DEE"/>
    <w:rsid w:val="00813BE9"/>
    <w:rsid w:val="00816134"/>
    <w:rsid w:val="008165EA"/>
    <w:rsid w:val="00820E76"/>
    <w:rsid w:val="00820F10"/>
    <w:rsid w:val="00823FD1"/>
    <w:rsid w:val="008257A5"/>
    <w:rsid w:val="00825DAF"/>
    <w:rsid w:val="00827ED5"/>
    <w:rsid w:val="00831AD7"/>
    <w:rsid w:val="00831DE5"/>
    <w:rsid w:val="00832C98"/>
    <w:rsid w:val="00832E8A"/>
    <w:rsid w:val="00833DBA"/>
    <w:rsid w:val="0083599D"/>
    <w:rsid w:val="00835D49"/>
    <w:rsid w:val="008400DC"/>
    <w:rsid w:val="00841546"/>
    <w:rsid w:val="00843142"/>
    <w:rsid w:val="00843782"/>
    <w:rsid w:val="00844EB7"/>
    <w:rsid w:val="0084734E"/>
    <w:rsid w:val="00847F69"/>
    <w:rsid w:val="00850A13"/>
    <w:rsid w:val="00853E79"/>
    <w:rsid w:val="00857094"/>
    <w:rsid w:val="00862480"/>
    <w:rsid w:val="00866A07"/>
    <w:rsid w:val="008707BB"/>
    <w:rsid w:val="0087315D"/>
    <w:rsid w:val="008770EA"/>
    <w:rsid w:val="00885E88"/>
    <w:rsid w:val="008863E8"/>
    <w:rsid w:val="00892343"/>
    <w:rsid w:val="008956FF"/>
    <w:rsid w:val="008A10A6"/>
    <w:rsid w:val="008B0F70"/>
    <w:rsid w:val="008B1515"/>
    <w:rsid w:val="008B18C3"/>
    <w:rsid w:val="008B2272"/>
    <w:rsid w:val="008B5B67"/>
    <w:rsid w:val="008B61EA"/>
    <w:rsid w:val="008B62FE"/>
    <w:rsid w:val="008B66D1"/>
    <w:rsid w:val="008B7E21"/>
    <w:rsid w:val="008C0F94"/>
    <w:rsid w:val="008C1396"/>
    <w:rsid w:val="008C2004"/>
    <w:rsid w:val="008C2AC3"/>
    <w:rsid w:val="008C2D01"/>
    <w:rsid w:val="008D21C8"/>
    <w:rsid w:val="008D23BD"/>
    <w:rsid w:val="008D3C9F"/>
    <w:rsid w:val="008D6CDC"/>
    <w:rsid w:val="008E01D5"/>
    <w:rsid w:val="008E0380"/>
    <w:rsid w:val="008E1EFD"/>
    <w:rsid w:val="008E3482"/>
    <w:rsid w:val="008E3D0C"/>
    <w:rsid w:val="008E68D3"/>
    <w:rsid w:val="008F1967"/>
    <w:rsid w:val="008F26DF"/>
    <w:rsid w:val="008F383F"/>
    <w:rsid w:val="008F517A"/>
    <w:rsid w:val="008F726B"/>
    <w:rsid w:val="008F74EE"/>
    <w:rsid w:val="00903CDA"/>
    <w:rsid w:val="00904612"/>
    <w:rsid w:val="00905C2C"/>
    <w:rsid w:val="00910BEB"/>
    <w:rsid w:val="00912501"/>
    <w:rsid w:val="009133E8"/>
    <w:rsid w:val="009136EB"/>
    <w:rsid w:val="00917C17"/>
    <w:rsid w:val="00923742"/>
    <w:rsid w:val="00925706"/>
    <w:rsid w:val="00927A66"/>
    <w:rsid w:val="00932B20"/>
    <w:rsid w:val="00935583"/>
    <w:rsid w:val="00941B7B"/>
    <w:rsid w:val="00943799"/>
    <w:rsid w:val="00943DDB"/>
    <w:rsid w:val="00943E83"/>
    <w:rsid w:val="00944106"/>
    <w:rsid w:val="00945570"/>
    <w:rsid w:val="009456CB"/>
    <w:rsid w:val="0095380F"/>
    <w:rsid w:val="00953D71"/>
    <w:rsid w:val="009615DE"/>
    <w:rsid w:val="0096440D"/>
    <w:rsid w:val="0096563C"/>
    <w:rsid w:val="00965662"/>
    <w:rsid w:val="0096572C"/>
    <w:rsid w:val="00970084"/>
    <w:rsid w:val="00970C13"/>
    <w:rsid w:val="00971094"/>
    <w:rsid w:val="00972ED8"/>
    <w:rsid w:val="00976F43"/>
    <w:rsid w:val="009770B3"/>
    <w:rsid w:val="009777BB"/>
    <w:rsid w:val="009817B6"/>
    <w:rsid w:val="0098286B"/>
    <w:rsid w:val="0098375B"/>
    <w:rsid w:val="00984E2B"/>
    <w:rsid w:val="0098628D"/>
    <w:rsid w:val="00986EBC"/>
    <w:rsid w:val="00987614"/>
    <w:rsid w:val="0098775F"/>
    <w:rsid w:val="00990DEE"/>
    <w:rsid w:val="00993B82"/>
    <w:rsid w:val="009941BA"/>
    <w:rsid w:val="0099551A"/>
    <w:rsid w:val="009A1A53"/>
    <w:rsid w:val="009A2793"/>
    <w:rsid w:val="009A5AC7"/>
    <w:rsid w:val="009B2E38"/>
    <w:rsid w:val="009B3EC9"/>
    <w:rsid w:val="009B3FCF"/>
    <w:rsid w:val="009B5E4B"/>
    <w:rsid w:val="009B6166"/>
    <w:rsid w:val="009C05C6"/>
    <w:rsid w:val="009D2881"/>
    <w:rsid w:val="009D5603"/>
    <w:rsid w:val="009D6783"/>
    <w:rsid w:val="009E0364"/>
    <w:rsid w:val="009E0FA6"/>
    <w:rsid w:val="009E4D69"/>
    <w:rsid w:val="009F20BF"/>
    <w:rsid w:val="009F61D6"/>
    <w:rsid w:val="009F67F5"/>
    <w:rsid w:val="00A003E5"/>
    <w:rsid w:val="00A03D55"/>
    <w:rsid w:val="00A0417B"/>
    <w:rsid w:val="00A06257"/>
    <w:rsid w:val="00A13059"/>
    <w:rsid w:val="00A15389"/>
    <w:rsid w:val="00A15FC6"/>
    <w:rsid w:val="00A167CF"/>
    <w:rsid w:val="00A261E7"/>
    <w:rsid w:val="00A268D6"/>
    <w:rsid w:val="00A3155B"/>
    <w:rsid w:val="00A315ED"/>
    <w:rsid w:val="00A31B53"/>
    <w:rsid w:val="00A32264"/>
    <w:rsid w:val="00A32B79"/>
    <w:rsid w:val="00A35665"/>
    <w:rsid w:val="00A3696E"/>
    <w:rsid w:val="00A41299"/>
    <w:rsid w:val="00A41648"/>
    <w:rsid w:val="00A41E83"/>
    <w:rsid w:val="00A44EDD"/>
    <w:rsid w:val="00A46344"/>
    <w:rsid w:val="00A5041D"/>
    <w:rsid w:val="00A52D36"/>
    <w:rsid w:val="00A534FD"/>
    <w:rsid w:val="00A539F9"/>
    <w:rsid w:val="00A56DD2"/>
    <w:rsid w:val="00A57E8D"/>
    <w:rsid w:val="00A57F34"/>
    <w:rsid w:val="00A61AD7"/>
    <w:rsid w:val="00A6282B"/>
    <w:rsid w:val="00A62FB8"/>
    <w:rsid w:val="00A6320F"/>
    <w:rsid w:val="00A648A7"/>
    <w:rsid w:val="00A6643A"/>
    <w:rsid w:val="00A67936"/>
    <w:rsid w:val="00A67FF3"/>
    <w:rsid w:val="00A70D7C"/>
    <w:rsid w:val="00A71D59"/>
    <w:rsid w:val="00A726EB"/>
    <w:rsid w:val="00A74F54"/>
    <w:rsid w:val="00A80560"/>
    <w:rsid w:val="00A8738B"/>
    <w:rsid w:val="00A917B7"/>
    <w:rsid w:val="00A95A0D"/>
    <w:rsid w:val="00A9790D"/>
    <w:rsid w:val="00AA0CB1"/>
    <w:rsid w:val="00AA2C5C"/>
    <w:rsid w:val="00AA572A"/>
    <w:rsid w:val="00AA58CF"/>
    <w:rsid w:val="00AA5DAE"/>
    <w:rsid w:val="00AA6078"/>
    <w:rsid w:val="00AB07B0"/>
    <w:rsid w:val="00AB1850"/>
    <w:rsid w:val="00AB187F"/>
    <w:rsid w:val="00AB195E"/>
    <w:rsid w:val="00AB1C96"/>
    <w:rsid w:val="00AB578D"/>
    <w:rsid w:val="00AB62DB"/>
    <w:rsid w:val="00AC45BD"/>
    <w:rsid w:val="00AC553D"/>
    <w:rsid w:val="00AD2FBC"/>
    <w:rsid w:val="00AD64B5"/>
    <w:rsid w:val="00AE12BE"/>
    <w:rsid w:val="00AE22C6"/>
    <w:rsid w:val="00AE544D"/>
    <w:rsid w:val="00AE5B90"/>
    <w:rsid w:val="00AF0C6D"/>
    <w:rsid w:val="00AF0F0B"/>
    <w:rsid w:val="00AF6E6A"/>
    <w:rsid w:val="00AF7066"/>
    <w:rsid w:val="00B022AD"/>
    <w:rsid w:val="00B02EE8"/>
    <w:rsid w:val="00B03F44"/>
    <w:rsid w:val="00B04A09"/>
    <w:rsid w:val="00B04DAF"/>
    <w:rsid w:val="00B05A73"/>
    <w:rsid w:val="00B071B9"/>
    <w:rsid w:val="00B075B9"/>
    <w:rsid w:val="00B07A43"/>
    <w:rsid w:val="00B14078"/>
    <w:rsid w:val="00B140AF"/>
    <w:rsid w:val="00B141FF"/>
    <w:rsid w:val="00B147F4"/>
    <w:rsid w:val="00B15AE0"/>
    <w:rsid w:val="00B1707E"/>
    <w:rsid w:val="00B178ED"/>
    <w:rsid w:val="00B23D78"/>
    <w:rsid w:val="00B2452F"/>
    <w:rsid w:val="00B2522A"/>
    <w:rsid w:val="00B2522C"/>
    <w:rsid w:val="00B254C8"/>
    <w:rsid w:val="00B27535"/>
    <w:rsid w:val="00B27ACF"/>
    <w:rsid w:val="00B27D12"/>
    <w:rsid w:val="00B3107F"/>
    <w:rsid w:val="00B3542A"/>
    <w:rsid w:val="00B35A37"/>
    <w:rsid w:val="00B3767E"/>
    <w:rsid w:val="00B37EE6"/>
    <w:rsid w:val="00B45426"/>
    <w:rsid w:val="00B45A9D"/>
    <w:rsid w:val="00B46CE2"/>
    <w:rsid w:val="00B52A8F"/>
    <w:rsid w:val="00B541EA"/>
    <w:rsid w:val="00B54DD1"/>
    <w:rsid w:val="00B6403B"/>
    <w:rsid w:val="00B651C7"/>
    <w:rsid w:val="00B66AA6"/>
    <w:rsid w:val="00B66BC9"/>
    <w:rsid w:val="00B674DB"/>
    <w:rsid w:val="00B677CE"/>
    <w:rsid w:val="00B71487"/>
    <w:rsid w:val="00B727F8"/>
    <w:rsid w:val="00B74BA9"/>
    <w:rsid w:val="00B7778D"/>
    <w:rsid w:val="00B81D1C"/>
    <w:rsid w:val="00B83082"/>
    <w:rsid w:val="00B842BE"/>
    <w:rsid w:val="00B84E4C"/>
    <w:rsid w:val="00B87288"/>
    <w:rsid w:val="00B905A7"/>
    <w:rsid w:val="00B9293D"/>
    <w:rsid w:val="00B930D3"/>
    <w:rsid w:val="00B944C9"/>
    <w:rsid w:val="00B96C26"/>
    <w:rsid w:val="00BA1AB1"/>
    <w:rsid w:val="00BA1CC0"/>
    <w:rsid w:val="00BA5360"/>
    <w:rsid w:val="00BA59E6"/>
    <w:rsid w:val="00BA7404"/>
    <w:rsid w:val="00BB08C2"/>
    <w:rsid w:val="00BB2BB9"/>
    <w:rsid w:val="00BB311D"/>
    <w:rsid w:val="00BB57F6"/>
    <w:rsid w:val="00BB5A89"/>
    <w:rsid w:val="00BB7FA2"/>
    <w:rsid w:val="00BC04D6"/>
    <w:rsid w:val="00BC44F2"/>
    <w:rsid w:val="00BC7581"/>
    <w:rsid w:val="00BD43D8"/>
    <w:rsid w:val="00BE2258"/>
    <w:rsid w:val="00BE22DC"/>
    <w:rsid w:val="00BE4CF7"/>
    <w:rsid w:val="00BE7CE3"/>
    <w:rsid w:val="00BF46BB"/>
    <w:rsid w:val="00BF6B99"/>
    <w:rsid w:val="00BF76CC"/>
    <w:rsid w:val="00C001BD"/>
    <w:rsid w:val="00C00A0F"/>
    <w:rsid w:val="00C0196F"/>
    <w:rsid w:val="00C03891"/>
    <w:rsid w:val="00C11633"/>
    <w:rsid w:val="00C12042"/>
    <w:rsid w:val="00C12395"/>
    <w:rsid w:val="00C1307E"/>
    <w:rsid w:val="00C16375"/>
    <w:rsid w:val="00C16A57"/>
    <w:rsid w:val="00C17D40"/>
    <w:rsid w:val="00C21BBB"/>
    <w:rsid w:val="00C21E2D"/>
    <w:rsid w:val="00C2352F"/>
    <w:rsid w:val="00C242B3"/>
    <w:rsid w:val="00C254CA"/>
    <w:rsid w:val="00C266F5"/>
    <w:rsid w:val="00C26870"/>
    <w:rsid w:val="00C27791"/>
    <w:rsid w:val="00C30689"/>
    <w:rsid w:val="00C3126C"/>
    <w:rsid w:val="00C37BFB"/>
    <w:rsid w:val="00C406EE"/>
    <w:rsid w:val="00C42302"/>
    <w:rsid w:val="00C42610"/>
    <w:rsid w:val="00C4411C"/>
    <w:rsid w:val="00C45CF9"/>
    <w:rsid w:val="00C503DA"/>
    <w:rsid w:val="00C5056F"/>
    <w:rsid w:val="00C529B7"/>
    <w:rsid w:val="00C5473F"/>
    <w:rsid w:val="00C55F1D"/>
    <w:rsid w:val="00C574A8"/>
    <w:rsid w:val="00C57633"/>
    <w:rsid w:val="00C57D1A"/>
    <w:rsid w:val="00C60738"/>
    <w:rsid w:val="00C61B79"/>
    <w:rsid w:val="00C625F9"/>
    <w:rsid w:val="00C636EA"/>
    <w:rsid w:val="00C6465C"/>
    <w:rsid w:val="00C66AE6"/>
    <w:rsid w:val="00C672C2"/>
    <w:rsid w:val="00C7010E"/>
    <w:rsid w:val="00C70E54"/>
    <w:rsid w:val="00C74215"/>
    <w:rsid w:val="00C75A5F"/>
    <w:rsid w:val="00C769EF"/>
    <w:rsid w:val="00C86EAE"/>
    <w:rsid w:val="00C917B1"/>
    <w:rsid w:val="00C92D36"/>
    <w:rsid w:val="00C96FEC"/>
    <w:rsid w:val="00C972D4"/>
    <w:rsid w:val="00C97730"/>
    <w:rsid w:val="00C9799D"/>
    <w:rsid w:val="00CA02EC"/>
    <w:rsid w:val="00CA1B99"/>
    <w:rsid w:val="00CA1DA9"/>
    <w:rsid w:val="00CA3936"/>
    <w:rsid w:val="00CA679E"/>
    <w:rsid w:val="00CA7EBA"/>
    <w:rsid w:val="00CB0138"/>
    <w:rsid w:val="00CB0D22"/>
    <w:rsid w:val="00CB4A5D"/>
    <w:rsid w:val="00CC0763"/>
    <w:rsid w:val="00CC485C"/>
    <w:rsid w:val="00CC4F80"/>
    <w:rsid w:val="00CC5162"/>
    <w:rsid w:val="00CC6385"/>
    <w:rsid w:val="00CC7DE6"/>
    <w:rsid w:val="00CC7F99"/>
    <w:rsid w:val="00CD14C0"/>
    <w:rsid w:val="00CD15D4"/>
    <w:rsid w:val="00CD2C91"/>
    <w:rsid w:val="00CE0045"/>
    <w:rsid w:val="00CE05A2"/>
    <w:rsid w:val="00CE05DF"/>
    <w:rsid w:val="00CE1433"/>
    <w:rsid w:val="00CE1BC6"/>
    <w:rsid w:val="00CE32F7"/>
    <w:rsid w:val="00CE5CCA"/>
    <w:rsid w:val="00CE72B1"/>
    <w:rsid w:val="00CE7E5E"/>
    <w:rsid w:val="00CF0FB0"/>
    <w:rsid w:val="00CF1055"/>
    <w:rsid w:val="00CF3502"/>
    <w:rsid w:val="00CF4371"/>
    <w:rsid w:val="00CF4718"/>
    <w:rsid w:val="00CF5913"/>
    <w:rsid w:val="00D005E4"/>
    <w:rsid w:val="00D01A1F"/>
    <w:rsid w:val="00D04804"/>
    <w:rsid w:val="00D04AB2"/>
    <w:rsid w:val="00D05A8E"/>
    <w:rsid w:val="00D06B9F"/>
    <w:rsid w:val="00D126BC"/>
    <w:rsid w:val="00D139CC"/>
    <w:rsid w:val="00D13DC3"/>
    <w:rsid w:val="00D15CD4"/>
    <w:rsid w:val="00D16B6A"/>
    <w:rsid w:val="00D16B7B"/>
    <w:rsid w:val="00D22A40"/>
    <w:rsid w:val="00D2427E"/>
    <w:rsid w:val="00D2460D"/>
    <w:rsid w:val="00D27920"/>
    <w:rsid w:val="00D34F18"/>
    <w:rsid w:val="00D40779"/>
    <w:rsid w:val="00D424D2"/>
    <w:rsid w:val="00D42C93"/>
    <w:rsid w:val="00D43A73"/>
    <w:rsid w:val="00D45D21"/>
    <w:rsid w:val="00D46723"/>
    <w:rsid w:val="00D46E1D"/>
    <w:rsid w:val="00D505A1"/>
    <w:rsid w:val="00D50DA8"/>
    <w:rsid w:val="00D51E90"/>
    <w:rsid w:val="00D53D24"/>
    <w:rsid w:val="00D564FF"/>
    <w:rsid w:val="00D6246D"/>
    <w:rsid w:val="00D70C93"/>
    <w:rsid w:val="00D72D20"/>
    <w:rsid w:val="00D73C69"/>
    <w:rsid w:val="00D750F4"/>
    <w:rsid w:val="00D75DD3"/>
    <w:rsid w:val="00D82B1D"/>
    <w:rsid w:val="00D84CEA"/>
    <w:rsid w:val="00D8582A"/>
    <w:rsid w:val="00D8677A"/>
    <w:rsid w:val="00D87CC6"/>
    <w:rsid w:val="00D91440"/>
    <w:rsid w:val="00D95DEE"/>
    <w:rsid w:val="00D9629F"/>
    <w:rsid w:val="00DA00E2"/>
    <w:rsid w:val="00DA0E56"/>
    <w:rsid w:val="00DA1BFE"/>
    <w:rsid w:val="00DA48E4"/>
    <w:rsid w:val="00DA5274"/>
    <w:rsid w:val="00DA77E8"/>
    <w:rsid w:val="00DB0753"/>
    <w:rsid w:val="00DB079A"/>
    <w:rsid w:val="00DB42A1"/>
    <w:rsid w:val="00DB6080"/>
    <w:rsid w:val="00DB72E3"/>
    <w:rsid w:val="00DB7EAD"/>
    <w:rsid w:val="00DC051B"/>
    <w:rsid w:val="00DC0C32"/>
    <w:rsid w:val="00DC7158"/>
    <w:rsid w:val="00DD3ABD"/>
    <w:rsid w:val="00DD6317"/>
    <w:rsid w:val="00DD6B7E"/>
    <w:rsid w:val="00DE48DA"/>
    <w:rsid w:val="00DE5002"/>
    <w:rsid w:val="00DE6760"/>
    <w:rsid w:val="00DE7893"/>
    <w:rsid w:val="00DF1E1E"/>
    <w:rsid w:val="00DF288E"/>
    <w:rsid w:val="00E113E0"/>
    <w:rsid w:val="00E12D67"/>
    <w:rsid w:val="00E16DBC"/>
    <w:rsid w:val="00E179C7"/>
    <w:rsid w:val="00E21137"/>
    <w:rsid w:val="00E2121A"/>
    <w:rsid w:val="00E23095"/>
    <w:rsid w:val="00E24103"/>
    <w:rsid w:val="00E30D6E"/>
    <w:rsid w:val="00E374A7"/>
    <w:rsid w:val="00E40E3B"/>
    <w:rsid w:val="00E41AA9"/>
    <w:rsid w:val="00E42BDA"/>
    <w:rsid w:val="00E444D9"/>
    <w:rsid w:val="00E4467C"/>
    <w:rsid w:val="00E477FD"/>
    <w:rsid w:val="00E50DB0"/>
    <w:rsid w:val="00E512E8"/>
    <w:rsid w:val="00E52F79"/>
    <w:rsid w:val="00E5442D"/>
    <w:rsid w:val="00E56E99"/>
    <w:rsid w:val="00E570C9"/>
    <w:rsid w:val="00E5796D"/>
    <w:rsid w:val="00E608D3"/>
    <w:rsid w:val="00E61957"/>
    <w:rsid w:val="00E62D94"/>
    <w:rsid w:val="00E63AC6"/>
    <w:rsid w:val="00E6480E"/>
    <w:rsid w:val="00E6576E"/>
    <w:rsid w:val="00E71070"/>
    <w:rsid w:val="00E72996"/>
    <w:rsid w:val="00E80A8F"/>
    <w:rsid w:val="00E811E4"/>
    <w:rsid w:val="00E826B6"/>
    <w:rsid w:val="00E833EA"/>
    <w:rsid w:val="00E83EF3"/>
    <w:rsid w:val="00E866EB"/>
    <w:rsid w:val="00E87687"/>
    <w:rsid w:val="00E92C3B"/>
    <w:rsid w:val="00E93519"/>
    <w:rsid w:val="00E9410D"/>
    <w:rsid w:val="00E9426C"/>
    <w:rsid w:val="00E97170"/>
    <w:rsid w:val="00EA0B72"/>
    <w:rsid w:val="00EA2A1B"/>
    <w:rsid w:val="00EA7AA5"/>
    <w:rsid w:val="00EB14E5"/>
    <w:rsid w:val="00EB17B8"/>
    <w:rsid w:val="00EB362D"/>
    <w:rsid w:val="00EB3833"/>
    <w:rsid w:val="00EB408E"/>
    <w:rsid w:val="00EB42D8"/>
    <w:rsid w:val="00EB4425"/>
    <w:rsid w:val="00EC0546"/>
    <w:rsid w:val="00ED1EC7"/>
    <w:rsid w:val="00ED1F46"/>
    <w:rsid w:val="00ED21B3"/>
    <w:rsid w:val="00ED35DA"/>
    <w:rsid w:val="00ED6B5F"/>
    <w:rsid w:val="00EE01D7"/>
    <w:rsid w:val="00EE03F8"/>
    <w:rsid w:val="00EE05BE"/>
    <w:rsid w:val="00EE2D83"/>
    <w:rsid w:val="00EE30FE"/>
    <w:rsid w:val="00EE4E20"/>
    <w:rsid w:val="00EE58A8"/>
    <w:rsid w:val="00EE77EF"/>
    <w:rsid w:val="00EE78CA"/>
    <w:rsid w:val="00EF08D9"/>
    <w:rsid w:val="00EF164F"/>
    <w:rsid w:val="00EF1DF4"/>
    <w:rsid w:val="00EF2FCC"/>
    <w:rsid w:val="00EF7C74"/>
    <w:rsid w:val="00F02026"/>
    <w:rsid w:val="00F03903"/>
    <w:rsid w:val="00F04091"/>
    <w:rsid w:val="00F06811"/>
    <w:rsid w:val="00F11580"/>
    <w:rsid w:val="00F12E55"/>
    <w:rsid w:val="00F13F8E"/>
    <w:rsid w:val="00F1563D"/>
    <w:rsid w:val="00F2179E"/>
    <w:rsid w:val="00F26560"/>
    <w:rsid w:val="00F30FC8"/>
    <w:rsid w:val="00F31019"/>
    <w:rsid w:val="00F316BD"/>
    <w:rsid w:val="00F31C05"/>
    <w:rsid w:val="00F331ED"/>
    <w:rsid w:val="00F3413B"/>
    <w:rsid w:val="00F3577A"/>
    <w:rsid w:val="00F357FE"/>
    <w:rsid w:val="00F35876"/>
    <w:rsid w:val="00F3774F"/>
    <w:rsid w:val="00F40420"/>
    <w:rsid w:val="00F40574"/>
    <w:rsid w:val="00F427D0"/>
    <w:rsid w:val="00F43B64"/>
    <w:rsid w:val="00F529FB"/>
    <w:rsid w:val="00F544F0"/>
    <w:rsid w:val="00F55234"/>
    <w:rsid w:val="00F5583B"/>
    <w:rsid w:val="00F56CB9"/>
    <w:rsid w:val="00F57F01"/>
    <w:rsid w:val="00F64BDF"/>
    <w:rsid w:val="00F66CDB"/>
    <w:rsid w:val="00F732C1"/>
    <w:rsid w:val="00F73BBB"/>
    <w:rsid w:val="00F76555"/>
    <w:rsid w:val="00F779CD"/>
    <w:rsid w:val="00F80BBB"/>
    <w:rsid w:val="00F813A4"/>
    <w:rsid w:val="00F817F5"/>
    <w:rsid w:val="00F81BF4"/>
    <w:rsid w:val="00F821F2"/>
    <w:rsid w:val="00F9089A"/>
    <w:rsid w:val="00F91A74"/>
    <w:rsid w:val="00F9554C"/>
    <w:rsid w:val="00F95A5F"/>
    <w:rsid w:val="00F966AB"/>
    <w:rsid w:val="00FA0530"/>
    <w:rsid w:val="00FA0580"/>
    <w:rsid w:val="00FA08FB"/>
    <w:rsid w:val="00FA2E7A"/>
    <w:rsid w:val="00FB1401"/>
    <w:rsid w:val="00FB2F4A"/>
    <w:rsid w:val="00FB4E48"/>
    <w:rsid w:val="00FB4FDB"/>
    <w:rsid w:val="00FB5383"/>
    <w:rsid w:val="00FC079D"/>
    <w:rsid w:val="00FC2B23"/>
    <w:rsid w:val="00FC6FCC"/>
    <w:rsid w:val="00FD0795"/>
    <w:rsid w:val="00FD3EAA"/>
    <w:rsid w:val="00FD54BD"/>
    <w:rsid w:val="00FD59B0"/>
    <w:rsid w:val="00FD6A06"/>
    <w:rsid w:val="00FE2B3C"/>
    <w:rsid w:val="00FE6A06"/>
    <w:rsid w:val="00FF07A0"/>
    <w:rsid w:val="00FF36B2"/>
    <w:rsid w:val="00FF4E2A"/>
    <w:rsid w:val="00FF658C"/>
    <w:rsid w:val="00FF6731"/>
    <w:rsid w:val="00FF7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C39D8"/>
  <w15:chartTrackingRefBased/>
  <w15:docId w15:val="{5C4441E0-12A4-4F72-A30F-D94286064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04B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904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04B5"/>
  </w:style>
  <w:style w:type="paragraph" w:styleId="Footer">
    <w:name w:val="footer"/>
    <w:basedOn w:val="Normal"/>
    <w:link w:val="FooterChar"/>
    <w:uiPriority w:val="99"/>
    <w:unhideWhenUsed/>
    <w:rsid w:val="007904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04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20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Visio_Drawing.vsdx"/><Relationship Id="rId13" Type="http://schemas.openxmlformats.org/officeDocument/2006/relationships/chart" Target="charts/chart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\\blue\secure\CRES\Projects\Pulmonary\Jagan,%20Nikhil\Compliance\Figure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Rate</c:v>
                </c:pt>
              </c:strCache>
            </c:strRef>
          </c:tx>
          <c:spPr>
            <a:solidFill>
              <a:schemeClr val="accent1"/>
            </a:solidFill>
            <a:ln w="19050">
              <a:solidFill>
                <a:schemeClr val="tx1"/>
              </a:solidFill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B7BFD9"/>
              </a:solidFill>
              <a:ln w="19050"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648C-48F4-B71E-E74F5269D5CA}"/>
              </c:ext>
            </c:extLst>
          </c:dPt>
          <c:dPt>
            <c:idx val="1"/>
            <c:invertIfNegative val="0"/>
            <c:bubble3D val="0"/>
            <c:spPr>
              <a:solidFill>
                <a:srgbClr val="E8ADAD"/>
              </a:solidFill>
              <a:ln w="19050"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648C-48F4-B71E-E74F5269D5CA}"/>
              </c:ext>
            </c:extLst>
          </c:dPt>
          <c:dPt>
            <c:idx val="2"/>
            <c:invertIfNegative val="0"/>
            <c:bubble3D val="0"/>
            <c:spPr>
              <a:solidFill>
                <a:srgbClr val="B3D2D0"/>
              </a:solidFill>
              <a:ln w="19050"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648C-48F4-B71E-E74F5269D5CA}"/>
              </c:ext>
            </c:extLst>
          </c:dPt>
          <c:errBars>
            <c:errBarType val="both"/>
            <c:errValType val="cust"/>
            <c:noEndCap val="0"/>
            <c:plus>
              <c:numRef>
                <c:f>Sheet1!$F$2:$F$4</c:f>
                <c:numCache>
                  <c:formatCode>General</c:formatCode>
                  <c:ptCount val="3"/>
                  <c:pt idx="0">
                    <c:v>12.939999999999998</c:v>
                  </c:pt>
                  <c:pt idx="1">
                    <c:v>8.0000000000000036</c:v>
                  </c:pt>
                  <c:pt idx="2">
                    <c:v>4.59</c:v>
                  </c:pt>
                </c:numCache>
              </c:numRef>
            </c:plus>
            <c:minus>
              <c:numRef>
                <c:f>Sheet1!$E$2:$E$4</c:f>
                <c:numCache>
                  <c:formatCode>General</c:formatCode>
                  <c:ptCount val="3"/>
                  <c:pt idx="0">
                    <c:v>12.580000000000005</c:v>
                  </c:pt>
                  <c:pt idx="1">
                    <c:v>6.9899999999999984</c:v>
                  </c:pt>
                  <c:pt idx="2">
                    <c:v>4.1400000000000006</c:v>
                  </c:pt>
                </c:numCache>
              </c:numRef>
            </c:minus>
            <c:spPr>
              <a:noFill/>
              <a:ln w="19050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Sheet1!$A$2:$A$4</c:f>
              <c:strCache>
                <c:ptCount val="3"/>
                <c:pt idx="0">
                  <c:v>COVID-19</c:v>
                </c:pt>
                <c:pt idx="1">
                  <c:v>Culture Positive</c:v>
                </c:pt>
                <c:pt idx="2">
                  <c:v>Culture Negative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47.27</c:v>
                </c:pt>
                <c:pt idx="1">
                  <c:v>29.2</c:v>
                </c:pt>
                <c:pt idx="2">
                  <c:v>27.2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648C-48F4-B71E-E74F5269D5C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93543288"/>
        <c:axId val="193543680"/>
      </c:barChart>
      <c:catAx>
        <c:axId val="1935432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3543680"/>
        <c:crosses val="autoZero"/>
        <c:auto val="1"/>
        <c:lblAlgn val="ctr"/>
        <c:lblOffset val="100"/>
        <c:noMultiLvlLbl val="0"/>
      </c:catAx>
      <c:valAx>
        <c:axId val="1935436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/>
                  <a:t>In-hospital Mortality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9050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354328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645</Words>
  <Characters>3682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Walters, Ryan W</dc:creator>
  <cp:keywords/>
  <dc:description/>
  <cp:lastModifiedBy>Nikhil Jagan</cp:lastModifiedBy>
  <cp:revision>4</cp:revision>
  <dcterms:created xsi:type="dcterms:W3CDTF">2021-09-08T19:29:00Z</dcterms:created>
  <dcterms:modified xsi:type="dcterms:W3CDTF">2021-09-13T20:20:00Z</dcterms:modified>
</cp:coreProperties>
</file>