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70FF" w14:textId="77777777" w:rsidR="008B5841" w:rsidRDefault="008B5841" w:rsidP="008B5841">
      <w:pPr>
        <w:pStyle w:val="Title"/>
        <w:jc w:val="center"/>
      </w:pPr>
      <w:bookmarkStart w:id="0" w:name="_sxunmdv2lhc" w:colFirst="0" w:colLast="0"/>
      <w:bookmarkEnd w:id="0"/>
    </w:p>
    <w:p w14:paraId="0994C321" w14:textId="77777777" w:rsidR="008B5841" w:rsidRDefault="008B5841" w:rsidP="008B5841">
      <w:pPr>
        <w:pStyle w:val="Title"/>
        <w:jc w:val="center"/>
      </w:pPr>
    </w:p>
    <w:p w14:paraId="74237779" w14:textId="76969310" w:rsidR="008B5841" w:rsidRDefault="008B5841" w:rsidP="008B5841">
      <w:pPr>
        <w:pStyle w:val="Title"/>
        <w:jc w:val="center"/>
      </w:pPr>
      <w:r>
        <w:t>Supplementary Material</w:t>
      </w:r>
    </w:p>
    <w:p w14:paraId="11082844" w14:textId="77777777" w:rsidR="008B5841" w:rsidRDefault="008B5841" w:rsidP="008B5841">
      <w:pPr>
        <w:pStyle w:val="Title"/>
      </w:pPr>
    </w:p>
    <w:p w14:paraId="2E49840E" w14:textId="77777777" w:rsidR="008B5841" w:rsidRDefault="008B5841" w:rsidP="008B5841">
      <w:pPr>
        <w:pStyle w:val="Title"/>
      </w:pPr>
    </w:p>
    <w:p w14:paraId="272004A3" w14:textId="77777777" w:rsidR="008B5841" w:rsidRDefault="008B5841" w:rsidP="008B5841">
      <w:pPr>
        <w:pStyle w:val="Title"/>
      </w:pPr>
    </w:p>
    <w:p w14:paraId="35918643" w14:textId="77777777" w:rsidR="008B5841" w:rsidRDefault="008B5841" w:rsidP="008B5841">
      <w:pPr>
        <w:pStyle w:val="Title"/>
      </w:pPr>
    </w:p>
    <w:p w14:paraId="29A88535" w14:textId="52983E0E" w:rsidR="00946A27" w:rsidRPr="008B5841" w:rsidRDefault="00AF39C9" w:rsidP="007E417A">
      <w:pPr>
        <w:pStyle w:val="Heading1"/>
      </w:pPr>
      <w:r w:rsidRPr="008B5841">
        <w:t>Pairwise tree interactions and biomass accumulation strengthen diversity-productivity effects over time</w:t>
      </w:r>
    </w:p>
    <w:p w14:paraId="053644DE" w14:textId="15B87A92" w:rsidR="00A04B0A" w:rsidRPr="008B5841" w:rsidRDefault="00AF39C9" w:rsidP="00A04B0A">
      <w:pPr>
        <w:spacing w:before="240" w:after="240" w:line="480" w:lineRule="auto"/>
        <w:rPr>
          <w:lang w:val="de-DE"/>
        </w:rPr>
      </w:pPr>
      <w:r w:rsidRPr="009D43C3">
        <w:rPr>
          <w:lang w:val="de-DE"/>
        </w:rPr>
        <w:t>Sebastian Mader, Wentao Yu, Benjamin Rosenbaum, Werner Härdtle, Helge Bruelheide, Stefan Trogisch, Goddert von Oheimb, Ulrich Bros</w:t>
      </w:r>
      <w:r w:rsidR="008B5841">
        <w:rPr>
          <w:lang w:val="de-DE"/>
        </w:rPr>
        <w:t>e</w:t>
      </w:r>
    </w:p>
    <w:p w14:paraId="383241DF" w14:textId="3316C552" w:rsidR="00A04B0A" w:rsidRDefault="00A04B0A" w:rsidP="00A04B0A">
      <w:pPr>
        <w:spacing w:before="240" w:after="240" w:line="480" w:lineRule="auto"/>
        <w:rPr>
          <w:lang w:val="de-DE"/>
        </w:rPr>
      </w:pPr>
    </w:p>
    <w:p w14:paraId="0B9CB42F" w14:textId="167CB843" w:rsidR="008B5841" w:rsidRDefault="008B5841" w:rsidP="00A04B0A">
      <w:pPr>
        <w:spacing w:before="240" w:after="240" w:line="480" w:lineRule="auto"/>
        <w:rPr>
          <w:lang w:val="de-DE"/>
        </w:rPr>
      </w:pPr>
    </w:p>
    <w:p w14:paraId="49B5A327" w14:textId="03BB702F" w:rsidR="008B5841" w:rsidRDefault="008B5841" w:rsidP="00A04B0A">
      <w:pPr>
        <w:spacing w:before="240" w:after="240" w:line="480" w:lineRule="auto"/>
        <w:rPr>
          <w:lang w:val="de-DE"/>
        </w:rPr>
      </w:pPr>
    </w:p>
    <w:p w14:paraId="48CB70CC" w14:textId="536AC44B" w:rsidR="008B5841" w:rsidRDefault="008B5841" w:rsidP="00A04B0A">
      <w:pPr>
        <w:spacing w:before="240" w:after="240" w:line="480" w:lineRule="auto"/>
        <w:rPr>
          <w:lang w:val="de-DE"/>
        </w:rPr>
      </w:pPr>
    </w:p>
    <w:p w14:paraId="41F942FE" w14:textId="160FF2A2" w:rsidR="008B5841" w:rsidRDefault="008B5841" w:rsidP="00A04B0A">
      <w:pPr>
        <w:spacing w:before="240" w:after="240" w:line="480" w:lineRule="auto"/>
        <w:rPr>
          <w:lang w:val="de-DE"/>
        </w:rPr>
      </w:pPr>
    </w:p>
    <w:p w14:paraId="7CDBF3AF" w14:textId="77777777" w:rsidR="008B5841" w:rsidRDefault="008B5841" w:rsidP="00A04B0A">
      <w:pPr>
        <w:spacing w:before="240" w:after="240" w:line="480" w:lineRule="auto"/>
        <w:rPr>
          <w:lang w:val="de-DE"/>
        </w:rPr>
      </w:pPr>
    </w:p>
    <w:p w14:paraId="656BAD01" w14:textId="77777777" w:rsidR="008B5841" w:rsidRPr="008B5841" w:rsidRDefault="008B5841" w:rsidP="00A04B0A">
      <w:pPr>
        <w:spacing w:before="240" w:after="240" w:line="480" w:lineRule="auto"/>
        <w:rPr>
          <w:lang w:val="de-DE"/>
        </w:rPr>
      </w:pPr>
    </w:p>
    <w:p w14:paraId="37B34D84" w14:textId="05F71F4D" w:rsidR="00946A27" w:rsidRDefault="00AF39C9" w:rsidP="00A04B0A">
      <w:pPr>
        <w:spacing w:before="240" w:after="240" w:line="480" w:lineRule="auto"/>
      </w:pPr>
      <w:r>
        <w:lastRenderedPageBreak/>
        <w:t xml:space="preserve">Supplementary Table 1: List of species with species IDs of the 8-species subsample of scenario A1 from Yu et al. </w:t>
      </w:r>
      <w:r w:rsidR="009D43C3">
        <w:fldChar w:fldCharType="begin"/>
      </w:r>
      <w:r w:rsidR="005D0B9A">
        <w:instrText xml:space="preserve"> ADDIN ZOTERO_ITEM CSL_CITATION {"citationID":"nhtHvsPp","properties":{"unsorted":false,"formattedCitation":"\\super 1\\nosupersub{}","plainCitation":"1","noteIndex":0},"citationItems":[{"id":2438,"uris":["http://zotero.org/users/2540212/items/779Q6H8I"],"itemData":{"id":2438,"type":"article-journal","abstract":"Understanding the mechanisms underlying diversity–productivity relationships (DPRs) is crucial to mitigating the effects of forest biodiversity loss. Tree–tree interactions in diverse communities are fundamental in driving growth rates, potentially shaping the emergent DPRs, yet remain poorly explored. Here, using data from a large-scale forest biodiversity experiment in subtropical China, we demonstrated that changes in individual tree productivity were driven by species-specific pairwise interactions, with higher positive net pairwise interaction effects on trees in more diverse neighbourhoods. By perturbing the interactions strength from empirical data in simulations, we revealed that the positive differences between inter- and intra-specific interactions were the critical determinant for the emergence of positive DPRs. Surprisingly, the condition for positive DPRs corresponded to the condition for coexistence. Our results thus provide a novel insight into how pairwise tree interactions regulate DPRs, with implications for identifying the tree mixtures with maximized productivity to guide forest restoration and reforestation efforts.","container-title":"Ecology Letters","DOI":"10.1111/ele.14338","ISSN":"1461-0248","issue":"1","language":"en","note":"_eprint: https://onlinelibrary.wiley.com/doi/pdf/10.1111/ele.14338","page":"e14338","source":"Wiley Online Library","title":"Systematic distributions of interaction strengths across tree interaction networks yield positive diversity–productivity relationships","volume":"27","author":[{"family":"Yu","given":"Wentao"},{"family":"Albert","given":"Georg"},{"family":"Rosenbaum","given":"Benjamin"},{"family":"Schnabel","given":"Florian"},{"family":"Bruelheide","given":"Helge"},{"family":"Connolly","given":"John"},{"family":"Härdtle","given":"Werner"},{"family":"Oheimb","given":"Goddert","non-dropping-particle":"von"},{"family":"Trogisch","given":"Stefan"},{"family":"Rüger","given":"Nadja"},{"family":"Brose","given":"Ulrich"}],"issued":{"date-parts":[["2024"]]}}}],"schema":"https://github.com/citation-style-language/schema/raw/master/csl-citation.json"} </w:instrText>
      </w:r>
      <w:r w:rsidR="009D43C3">
        <w:fldChar w:fldCharType="separate"/>
      </w:r>
      <w:r w:rsidR="005D0B9A" w:rsidRPr="005D0B9A">
        <w:rPr>
          <w:szCs w:val="24"/>
          <w:vertAlign w:val="superscript"/>
        </w:rPr>
        <w:t>1</w:t>
      </w:r>
      <w:r w:rsidR="009D43C3">
        <w:fldChar w:fldCharType="end"/>
      </w:r>
      <w:r>
        <w:t xml:space="preserve"> and Bruelheide et al. </w:t>
      </w:r>
      <w:r w:rsidR="009D43C3">
        <w:fldChar w:fldCharType="begin"/>
      </w:r>
      <w:r w:rsidR="005D0B9A">
        <w:instrText xml:space="preserve"> ADDIN ZOTERO_ITEM CSL_CITATION {"citationID":"R37wOwxk","properties":{"unsorted":false,"formattedCitation":"\\super 2\\nosupersub{}","plainCitation":"2","noteIndex":0},"citationItems":[{"id":2448,"uris":["http://zotero.org/users/2540212/items/F873SCQJ"],"itemData":{"id":2448,"type":"article-journal","abstract":"Biodiversity–ecosystem functioning (BEF) experiments address ecosystem-level consequences of species loss by comparing communities of high species richness with communities from which species have been gradually eliminated. BEF experiments originally started with microcosms in the laboratory and with grassland ecosystems. A new frontier in experimental BEF research is manipulating tree diversity in forest ecosystems, compelling researchers to think big and comprehensively. We present and discuss some of the major issues to be considered in the design of BEF experiments with trees and illustrate these with a new forest biodiversity experiment established in subtropical China (Xingangshan, Jiangxi Province) in 2009/2010. Using a pool of 40 tree species, extinction scenarios were simulated with tree richness levels of 1, 2, 4, 8 and 16 species on a total of 566 plots of 25·8 × 25·8 m each. The goal of this experiment is to estimate effects of tree and shrub species richness on carbon storage and soil erosion; therefore, the experiment was established on sloped terrain. The following important design choices were made: (i) establishing many small rather than fewer larger plots, (ii) using high planting density and random mixing of species rather than lower planting density and patchwise mixing of species, (iii) establishing a map of the initial ‘ecoscape’ to characterize site heterogeneity before the onset of biodiversity effects and (iv) manipulating tree species richness not only in random but also in trait-oriented extinction scenarios. Data management and analysis are particularly challenging in BEF experiments with their hierarchical designs nesting individuals within-species populations within plots within-species compositions. Statistical analysis best proceeds by partitioning these random terms into fixed-term contrasts, for example, species composition into contrasts for species richness and the presence of particular functional groups, which can then be tested against the remaining random variation among compositions. We conclude that forest BEF experiments provide exciting and timely research options. They especially require careful thinking to allow multiple disciplines to measure and analyse data jointly and effectively. Achieving specific research goals and synergy with previous experiments involves trade-offs between different designs and requires manifold design decisions.","container-title":"Methods in Ecology and Evolution","DOI":"10.1111/2041-210X.12126","ISSN":"2041-210X","issue":"1","language":"en","license":"© 2013 The Authors. Methods in Ecology and Evolution published by John Wiley &amp; Sons Ltd on behalf of British Ecological Society","note":"_eprint: https://onlinelibrary.wiley.com/doi/pdf/10.1111/2041-210X.12126","page":"74-89","source":"Wiley Online Library","title":"Designing forest biodiversity experiments: general considerations illustrated by a new large experiment in subtropical China","title-short":"Designing forest biodiversity experiments","volume":"5","author":[{"family":"Bruelheide","given":"Helge"},{"family":"Nadrowski","given":"Karin"},{"family":"Assmann","given":"Thorsten"},{"family":"Bauhus","given":"Jürgen"},{"family":"Both","given":"Sabine"},{"family":"Buscot","given":"François"},{"family":"Chen","given":"Xiao-Yong"},{"family":"Ding","given":"Bingyang"},{"family":"Durka","given":"Walter"},{"family":"Erfmeier","given":"Alexandra"},{"family":"Gutknecht","given":"Jessica L. M."},{"family":"Guo","given":"Dali"},{"family":"Guo","given":"Liang-Dong"},{"family":"Härdtle","given":"Werner"},{"family":"He","given":"Jin-Sheng"},{"family":"Klein","given":"Alexandra-Maria"},{"family":"Kühn","given":"Peter"},{"family":"Liang","given":"Yu"},{"family":"Liu","given":"Xiaojuan"},{"family":"Michalski","given":"Stefan"},{"family":"Niklaus","given":"Pascal A."},{"family":"Pei","given":"Kequan"},{"family":"Scherer-Lorenzen","given":"Michael"},{"family":"Scholten","given":"Thomas"},{"family":"Schuldt","given":"Andreas"},{"family":"Seidler","given":"Gunnar"},{"family":"Trogisch","given":"Stefan"},{"family":"Oheimb","given":"Goddert","non-dropping-particle":"von"},{"family":"Welk","given":"Erik"},{"family":"Wirth","given":"Christian"},{"family":"Wubet","given":"Tesfaye"},{"family":"Yang","given":"Xuefei"},{"family":"Yu","given":"Mingjian"},{"family":"Zhang","given":"Shouren"},{"family":"Zhou","given":"Hongzhang"},{"family":"Fischer","given":"Markus"},{"family":"Ma","given":"Keping"},{"family":"Schmid","given":"Bernhard"}],"issued":{"date-parts":[["2014"]]}}}],"schema":"https://github.com/citation-style-language/schema/raw/master/csl-citation.json"} </w:instrText>
      </w:r>
      <w:r w:rsidR="009D43C3">
        <w:fldChar w:fldCharType="separate"/>
      </w:r>
      <w:r w:rsidR="005D0B9A" w:rsidRPr="005D0B9A">
        <w:rPr>
          <w:szCs w:val="24"/>
          <w:vertAlign w:val="superscript"/>
        </w:rPr>
        <w:t>2</w:t>
      </w:r>
      <w:r w:rsidR="009D43C3">
        <w:fldChar w:fldCharType="end"/>
      </w:r>
      <w:r>
        <w:t>. The extinction sequence, i.e. the species compositions of the respective diversity levels, can be found in Supplementary Fig. 1. Species names are in accordance with the Flora of China (</w:t>
      </w:r>
      <w:hyperlink r:id="rId8">
        <w:r>
          <w:rPr>
            <w:color w:val="1155CC"/>
            <w:u w:val="single"/>
          </w:rPr>
          <w:t>http://www.efloras.org/</w:t>
        </w:r>
      </w:hyperlink>
      <w:r>
        <w:t>).</w:t>
      </w:r>
    </w:p>
    <w:tbl>
      <w:tblPr>
        <w:tblStyle w:val="MyTable1"/>
        <w:tblW w:w="0" w:type="auto"/>
        <w:tblLook w:val="05A0" w:firstRow="1" w:lastRow="0" w:firstColumn="1" w:lastColumn="1" w:noHBand="0" w:noVBand="1"/>
      </w:tblPr>
      <w:tblGrid>
        <w:gridCol w:w="3649"/>
        <w:gridCol w:w="2379"/>
        <w:gridCol w:w="3047"/>
      </w:tblGrid>
      <w:tr w:rsidR="00946A27" w14:paraId="3E23D6CD" w14:textId="77777777" w:rsidTr="00654651">
        <w:trPr>
          <w:cnfStyle w:val="100000000000" w:firstRow="1" w:lastRow="0" w:firstColumn="0" w:lastColumn="0" w:oddVBand="0" w:evenVBand="0" w:oddHBand="0"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0" w:type="auto"/>
          </w:tcPr>
          <w:p w14:paraId="74B18236" w14:textId="77777777" w:rsidR="00946A27" w:rsidRPr="006A5468" w:rsidRDefault="00AF39C9" w:rsidP="006A5468">
            <w:pPr>
              <w:widowControl w:val="0"/>
              <w:pBdr>
                <w:top w:val="nil"/>
                <w:left w:val="nil"/>
                <w:bottom w:val="nil"/>
                <w:right w:val="nil"/>
                <w:between w:val="nil"/>
              </w:pBdr>
              <w:spacing w:line="480" w:lineRule="auto"/>
              <w:jc w:val="left"/>
            </w:pPr>
            <w:r w:rsidRPr="006A5468">
              <w:t>Species name</w:t>
            </w:r>
          </w:p>
        </w:tc>
        <w:tc>
          <w:tcPr>
            <w:tcW w:w="0" w:type="auto"/>
          </w:tcPr>
          <w:p w14:paraId="58DD59D6" w14:textId="77777777" w:rsidR="00946A27" w:rsidRPr="006A5468" w:rsidRDefault="00AF39C9" w:rsidP="006A5468">
            <w:pPr>
              <w:widowControl w:val="0"/>
              <w:pBdr>
                <w:top w:val="nil"/>
                <w:left w:val="nil"/>
                <w:bottom w:val="nil"/>
                <w:right w:val="nil"/>
                <w:between w:val="nil"/>
              </w:pBdr>
              <w:spacing w:line="480" w:lineRule="auto"/>
              <w:cnfStyle w:val="100000000000" w:firstRow="1" w:lastRow="0" w:firstColumn="0" w:lastColumn="0" w:oddVBand="0" w:evenVBand="0" w:oddHBand="0" w:evenHBand="0" w:firstRowFirstColumn="0" w:firstRowLastColumn="0" w:lastRowFirstColumn="0" w:lastRowLastColumn="0"/>
            </w:pPr>
            <w:r w:rsidRPr="006A5468">
              <w:t>Species ID - Yu et al. (2024)</w:t>
            </w:r>
          </w:p>
        </w:tc>
        <w:tc>
          <w:tcPr>
            <w:cnfStyle w:val="000100000000" w:firstRow="0" w:lastRow="0" w:firstColumn="0" w:lastColumn="1" w:oddVBand="0" w:evenVBand="0" w:oddHBand="0" w:evenHBand="0" w:firstRowFirstColumn="0" w:firstRowLastColumn="0" w:lastRowFirstColumn="0" w:lastRowLastColumn="0"/>
            <w:tcW w:w="0" w:type="auto"/>
          </w:tcPr>
          <w:p w14:paraId="3ECC4946" w14:textId="77777777" w:rsidR="00946A27" w:rsidRPr="006A5468" w:rsidRDefault="00AF39C9" w:rsidP="006A5468">
            <w:pPr>
              <w:widowControl w:val="0"/>
              <w:pBdr>
                <w:top w:val="nil"/>
                <w:left w:val="nil"/>
                <w:bottom w:val="nil"/>
                <w:right w:val="nil"/>
                <w:between w:val="nil"/>
              </w:pBdr>
              <w:spacing w:line="480" w:lineRule="auto"/>
              <w:rPr>
                <w:bCs w:val="0"/>
              </w:rPr>
            </w:pPr>
            <w:r w:rsidRPr="006A5468">
              <w:rPr>
                <w:bCs w:val="0"/>
              </w:rPr>
              <w:t>Species ID - Bruelheide et al. (2014)</w:t>
            </w:r>
          </w:p>
        </w:tc>
      </w:tr>
      <w:tr w:rsidR="00946A27" w14:paraId="087D7C19" w14:textId="77777777" w:rsidTr="00654651">
        <w:tc>
          <w:tcPr>
            <w:cnfStyle w:val="001000000000" w:firstRow="0" w:lastRow="0" w:firstColumn="1" w:lastColumn="0" w:oddVBand="0" w:evenVBand="0" w:oddHBand="0" w:evenHBand="0" w:firstRowFirstColumn="0" w:firstRowLastColumn="0" w:lastRowFirstColumn="0" w:lastRowLastColumn="0"/>
            <w:tcW w:w="0" w:type="auto"/>
          </w:tcPr>
          <w:p w14:paraId="7FF43E2D" w14:textId="77777777" w:rsidR="00946A27" w:rsidRDefault="00AF39C9" w:rsidP="00A04B0A">
            <w:pPr>
              <w:widowControl w:val="0"/>
              <w:pBdr>
                <w:top w:val="nil"/>
                <w:left w:val="nil"/>
                <w:bottom w:val="nil"/>
                <w:right w:val="nil"/>
                <w:between w:val="nil"/>
              </w:pBdr>
              <w:spacing w:line="480" w:lineRule="auto"/>
              <w:rPr>
                <w:vertAlign w:val="superscript"/>
              </w:rPr>
            </w:pPr>
            <w:r>
              <w:rPr>
                <w:i/>
                <w:iCs/>
              </w:rPr>
              <w:t xml:space="preserve">Castanea </w:t>
            </w:r>
            <w:proofErr w:type="spellStart"/>
            <w:r>
              <w:rPr>
                <w:i/>
                <w:iCs/>
              </w:rPr>
              <w:t>henryi</w:t>
            </w:r>
            <w:proofErr w:type="spellEnd"/>
            <w:r>
              <w:t xml:space="preserve"> (</w:t>
            </w:r>
            <w:proofErr w:type="spellStart"/>
            <w:r>
              <w:t>Skan</w:t>
            </w:r>
            <w:proofErr w:type="spellEnd"/>
            <w:r>
              <w:t xml:space="preserve">) </w:t>
            </w:r>
            <w:proofErr w:type="spellStart"/>
            <w:r>
              <w:t>Rehd</w:t>
            </w:r>
            <w:proofErr w:type="spellEnd"/>
            <w:r>
              <w:t xml:space="preserve">. et </w:t>
            </w:r>
            <w:proofErr w:type="spellStart"/>
            <w:r>
              <w:t>Wils</w:t>
            </w:r>
            <w:proofErr w:type="spellEnd"/>
            <w:r>
              <w:t>.</w:t>
            </w:r>
          </w:p>
        </w:tc>
        <w:tc>
          <w:tcPr>
            <w:tcW w:w="0" w:type="auto"/>
          </w:tcPr>
          <w:p w14:paraId="58023E08"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69129225" w14:textId="77777777" w:rsidR="00946A27" w:rsidRDefault="00AF39C9" w:rsidP="00A04B0A">
            <w:pPr>
              <w:widowControl w:val="0"/>
              <w:pBdr>
                <w:top w:val="nil"/>
                <w:left w:val="nil"/>
                <w:bottom w:val="nil"/>
                <w:right w:val="nil"/>
                <w:between w:val="nil"/>
              </w:pBdr>
              <w:spacing w:line="480" w:lineRule="auto"/>
            </w:pPr>
            <w:r>
              <w:t>1</w:t>
            </w:r>
          </w:p>
        </w:tc>
      </w:tr>
      <w:tr w:rsidR="00946A27" w14:paraId="40F1FC94" w14:textId="77777777" w:rsidTr="006546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0E78B6" w14:textId="77777777" w:rsidR="00946A27" w:rsidRDefault="00AF39C9" w:rsidP="00A04B0A">
            <w:pPr>
              <w:widowControl w:val="0"/>
              <w:pBdr>
                <w:top w:val="nil"/>
                <w:left w:val="nil"/>
                <w:bottom w:val="nil"/>
                <w:right w:val="nil"/>
                <w:between w:val="nil"/>
              </w:pBdr>
              <w:spacing w:line="480" w:lineRule="auto"/>
            </w:pPr>
            <w:proofErr w:type="spellStart"/>
            <w:r>
              <w:rPr>
                <w:i/>
                <w:iCs/>
              </w:rPr>
              <w:t>Castanopsis</w:t>
            </w:r>
            <w:proofErr w:type="spellEnd"/>
            <w:r>
              <w:rPr>
                <w:i/>
                <w:iCs/>
              </w:rPr>
              <w:t xml:space="preserve"> </w:t>
            </w:r>
            <w:proofErr w:type="spellStart"/>
            <w:r>
              <w:rPr>
                <w:i/>
                <w:iCs/>
              </w:rPr>
              <w:t>sclerophylla</w:t>
            </w:r>
            <w:proofErr w:type="spellEnd"/>
            <w:r>
              <w:t xml:space="preserve"> (</w:t>
            </w:r>
            <w:proofErr w:type="spellStart"/>
            <w:r>
              <w:t>Lindl</w:t>
            </w:r>
            <w:proofErr w:type="spellEnd"/>
            <w:r>
              <w:t>.) Schott.</w:t>
            </w:r>
          </w:p>
        </w:tc>
        <w:tc>
          <w:tcPr>
            <w:tcW w:w="0" w:type="auto"/>
          </w:tcPr>
          <w:p w14:paraId="3339CFB6"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4BE23AAE" w14:textId="77777777" w:rsidR="00946A27" w:rsidRDefault="00AF39C9" w:rsidP="00A04B0A">
            <w:pPr>
              <w:widowControl w:val="0"/>
              <w:pBdr>
                <w:top w:val="nil"/>
                <w:left w:val="nil"/>
                <w:bottom w:val="nil"/>
                <w:right w:val="nil"/>
                <w:between w:val="nil"/>
              </w:pBdr>
              <w:spacing w:line="480" w:lineRule="auto"/>
            </w:pPr>
            <w:r>
              <w:t>14</w:t>
            </w:r>
          </w:p>
        </w:tc>
      </w:tr>
      <w:tr w:rsidR="00946A27" w14:paraId="48E80022" w14:textId="77777777" w:rsidTr="00654651">
        <w:tc>
          <w:tcPr>
            <w:cnfStyle w:val="001000000000" w:firstRow="0" w:lastRow="0" w:firstColumn="1" w:lastColumn="0" w:oddVBand="0" w:evenVBand="0" w:oddHBand="0" w:evenHBand="0" w:firstRowFirstColumn="0" w:firstRowLastColumn="0" w:lastRowFirstColumn="0" w:lastRowLastColumn="0"/>
            <w:tcW w:w="0" w:type="auto"/>
          </w:tcPr>
          <w:p w14:paraId="1E738BAA" w14:textId="77777777" w:rsidR="00946A27" w:rsidRDefault="00AF39C9" w:rsidP="00A04B0A">
            <w:pPr>
              <w:widowControl w:val="0"/>
              <w:pBdr>
                <w:top w:val="nil"/>
                <w:left w:val="nil"/>
                <w:bottom w:val="nil"/>
                <w:right w:val="nil"/>
                <w:between w:val="nil"/>
              </w:pBdr>
              <w:spacing w:line="480" w:lineRule="auto"/>
            </w:pPr>
            <w:proofErr w:type="spellStart"/>
            <w:r>
              <w:rPr>
                <w:i/>
                <w:iCs/>
              </w:rPr>
              <w:t>Choerospondias</w:t>
            </w:r>
            <w:proofErr w:type="spellEnd"/>
            <w:r>
              <w:rPr>
                <w:i/>
                <w:iCs/>
              </w:rPr>
              <w:t xml:space="preserve"> </w:t>
            </w:r>
            <w:proofErr w:type="spellStart"/>
            <w:r>
              <w:rPr>
                <w:i/>
                <w:iCs/>
              </w:rPr>
              <w:t>axillaris</w:t>
            </w:r>
            <w:proofErr w:type="spellEnd"/>
            <w:r>
              <w:t xml:space="preserve"> (</w:t>
            </w:r>
            <w:proofErr w:type="spellStart"/>
            <w:r>
              <w:t>Roxb</w:t>
            </w:r>
            <w:proofErr w:type="spellEnd"/>
            <w:r>
              <w:t>.) Burtt et Hill.</w:t>
            </w:r>
          </w:p>
        </w:tc>
        <w:tc>
          <w:tcPr>
            <w:tcW w:w="0" w:type="auto"/>
          </w:tcPr>
          <w:p w14:paraId="51C1C0B0"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3</w:t>
            </w:r>
          </w:p>
        </w:tc>
        <w:tc>
          <w:tcPr>
            <w:cnfStyle w:val="000100000000" w:firstRow="0" w:lastRow="0" w:firstColumn="0" w:lastColumn="1" w:oddVBand="0" w:evenVBand="0" w:oddHBand="0" w:evenHBand="0" w:firstRowFirstColumn="0" w:firstRowLastColumn="0" w:lastRowFirstColumn="0" w:lastRowLastColumn="0"/>
            <w:tcW w:w="0" w:type="auto"/>
          </w:tcPr>
          <w:p w14:paraId="110A082A" w14:textId="77777777" w:rsidR="00946A27" w:rsidRDefault="00AF39C9" w:rsidP="00A04B0A">
            <w:pPr>
              <w:widowControl w:val="0"/>
              <w:pBdr>
                <w:top w:val="nil"/>
                <w:left w:val="nil"/>
                <w:bottom w:val="nil"/>
                <w:right w:val="nil"/>
                <w:between w:val="nil"/>
              </w:pBdr>
              <w:spacing w:line="480" w:lineRule="auto"/>
            </w:pPr>
            <w:r>
              <w:t>4</w:t>
            </w:r>
          </w:p>
        </w:tc>
      </w:tr>
      <w:tr w:rsidR="00946A27" w14:paraId="0FFA8446" w14:textId="77777777" w:rsidTr="006546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5A0022" w14:textId="77777777" w:rsidR="00946A27" w:rsidRDefault="00AF39C9" w:rsidP="00A04B0A">
            <w:pPr>
              <w:widowControl w:val="0"/>
              <w:pBdr>
                <w:top w:val="nil"/>
                <w:left w:val="nil"/>
                <w:bottom w:val="nil"/>
                <w:right w:val="nil"/>
                <w:between w:val="nil"/>
              </w:pBdr>
              <w:spacing w:line="480" w:lineRule="auto"/>
            </w:pPr>
            <w:r>
              <w:rPr>
                <w:i/>
                <w:iCs/>
              </w:rPr>
              <w:t xml:space="preserve">Liquidambar </w:t>
            </w:r>
            <w:proofErr w:type="spellStart"/>
            <w:r>
              <w:rPr>
                <w:i/>
                <w:iCs/>
              </w:rPr>
              <w:t>formosana</w:t>
            </w:r>
            <w:proofErr w:type="spellEnd"/>
            <w:r>
              <w:t xml:space="preserve"> Hance</w:t>
            </w:r>
          </w:p>
        </w:tc>
        <w:tc>
          <w:tcPr>
            <w:tcW w:w="0" w:type="auto"/>
          </w:tcPr>
          <w:p w14:paraId="22C3BB6C"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49F9D202" w14:textId="77777777" w:rsidR="00946A27" w:rsidRDefault="00AF39C9" w:rsidP="00A04B0A">
            <w:pPr>
              <w:widowControl w:val="0"/>
              <w:pBdr>
                <w:top w:val="nil"/>
                <w:left w:val="nil"/>
                <w:bottom w:val="nil"/>
                <w:right w:val="nil"/>
                <w:between w:val="nil"/>
              </w:pBdr>
              <w:spacing w:line="480" w:lineRule="auto"/>
            </w:pPr>
            <w:r>
              <w:t>6</w:t>
            </w:r>
          </w:p>
        </w:tc>
      </w:tr>
      <w:tr w:rsidR="00946A27" w14:paraId="30F1CE20" w14:textId="77777777" w:rsidTr="00654651">
        <w:tc>
          <w:tcPr>
            <w:cnfStyle w:val="001000000000" w:firstRow="0" w:lastRow="0" w:firstColumn="1" w:lastColumn="0" w:oddVBand="0" w:evenVBand="0" w:oddHBand="0" w:evenHBand="0" w:firstRowFirstColumn="0" w:firstRowLastColumn="0" w:lastRowFirstColumn="0" w:lastRowLastColumn="0"/>
            <w:tcW w:w="0" w:type="auto"/>
          </w:tcPr>
          <w:p w14:paraId="18B13A56" w14:textId="77777777" w:rsidR="00946A27" w:rsidRDefault="00AF39C9" w:rsidP="00A04B0A">
            <w:pPr>
              <w:widowControl w:val="0"/>
              <w:pBdr>
                <w:top w:val="nil"/>
                <w:left w:val="nil"/>
                <w:bottom w:val="nil"/>
                <w:right w:val="nil"/>
                <w:between w:val="nil"/>
              </w:pBdr>
              <w:spacing w:line="480" w:lineRule="auto"/>
            </w:pPr>
            <w:r>
              <w:rPr>
                <w:i/>
                <w:iCs/>
              </w:rPr>
              <w:t>Nyssa sinensis</w:t>
            </w:r>
            <w:r>
              <w:t xml:space="preserve"> Oliver</w:t>
            </w:r>
          </w:p>
        </w:tc>
        <w:tc>
          <w:tcPr>
            <w:tcW w:w="0" w:type="auto"/>
          </w:tcPr>
          <w:p w14:paraId="6217C4F7"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5</w:t>
            </w:r>
          </w:p>
        </w:tc>
        <w:tc>
          <w:tcPr>
            <w:cnfStyle w:val="000100000000" w:firstRow="0" w:lastRow="0" w:firstColumn="0" w:lastColumn="1" w:oddVBand="0" w:evenVBand="0" w:oddHBand="0" w:evenHBand="0" w:firstRowFirstColumn="0" w:firstRowLastColumn="0" w:lastRowFirstColumn="0" w:lastRowLastColumn="0"/>
            <w:tcW w:w="0" w:type="auto"/>
          </w:tcPr>
          <w:p w14:paraId="44EC1BC2" w14:textId="77777777" w:rsidR="00946A27" w:rsidRDefault="00AF39C9" w:rsidP="00A04B0A">
            <w:pPr>
              <w:widowControl w:val="0"/>
              <w:pBdr>
                <w:top w:val="nil"/>
                <w:left w:val="nil"/>
                <w:bottom w:val="nil"/>
                <w:right w:val="nil"/>
                <w:between w:val="nil"/>
              </w:pBdr>
              <w:spacing w:line="480" w:lineRule="auto"/>
            </w:pPr>
            <w:r>
              <w:t>20</w:t>
            </w:r>
          </w:p>
        </w:tc>
      </w:tr>
      <w:tr w:rsidR="00946A27" w14:paraId="025EFC73" w14:textId="77777777" w:rsidTr="006546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7D63A3" w14:textId="77777777" w:rsidR="00946A27" w:rsidRDefault="00AF39C9" w:rsidP="00A04B0A">
            <w:pPr>
              <w:widowControl w:val="0"/>
              <w:pBdr>
                <w:top w:val="nil"/>
                <w:left w:val="nil"/>
                <w:bottom w:val="nil"/>
                <w:right w:val="nil"/>
                <w:between w:val="nil"/>
              </w:pBdr>
              <w:spacing w:line="480" w:lineRule="auto"/>
            </w:pPr>
            <w:r>
              <w:rPr>
                <w:i/>
                <w:iCs/>
              </w:rPr>
              <w:t>Quercus serrata</w:t>
            </w:r>
            <w:r>
              <w:t xml:space="preserve"> Murray</w:t>
            </w:r>
          </w:p>
        </w:tc>
        <w:tc>
          <w:tcPr>
            <w:tcW w:w="0" w:type="auto"/>
          </w:tcPr>
          <w:p w14:paraId="30643F07"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6</w:t>
            </w:r>
          </w:p>
        </w:tc>
        <w:tc>
          <w:tcPr>
            <w:cnfStyle w:val="000100000000" w:firstRow="0" w:lastRow="0" w:firstColumn="0" w:lastColumn="1" w:oddVBand="0" w:evenVBand="0" w:oddHBand="0" w:evenHBand="0" w:firstRowFirstColumn="0" w:firstRowLastColumn="0" w:lastRowFirstColumn="0" w:lastRowLastColumn="0"/>
            <w:tcW w:w="0" w:type="auto"/>
          </w:tcPr>
          <w:p w14:paraId="10D2CF14" w14:textId="77777777" w:rsidR="00946A27" w:rsidRDefault="00AF39C9" w:rsidP="00A04B0A">
            <w:pPr>
              <w:widowControl w:val="0"/>
              <w:pBdr>
                <w:top w:val="nil"/>
                <w:left w:val="nil"/>
                <w:bottom w:val="nil"/>
                <w:right w:val="nil"/>
                <w:between w:val="nil"/>
              </w:pBdr>
              <w:spacing w:line="480" w:lineRule="auto"/>
            </w:pPr>
            <w:r>
              <w:t>8</w:t>
            </w:r>
          </w:p>
        </w:tc>
      </w:tr>
      <w:tr w:rsidR="00946A27" w14:paraId="00CEB1EC" w14:textId="77777777" w:rsidTr="00654651">
        <w:tc>
          <w:tcPr>
            <w:cnfStyle w:val="001000000000" w:firstRow="0" w:lastRow="0" w:firstColumn="1" w:lastColumn="0" w:oddVBand="0" w:evenVBand="0" w:oddHBand="0" w:evenHBand="0" w:firstRowFirstColumn="0" w:firstRowLastColumn="0" w:lastRowFirstColumn="0" w:lastRowLastColumn="0"/>
            <w:tcW w:w="0" w:type="auto"/>
          </w:tcPr>
          <w:p w14:paraId="11077483" w14:textId="77777777" w:rsidR="00946A27" w:rsidRDefault="00AF39C9" w:rsidP="00A04B0A">
            <w:pPr>
              <w:widowControl w:val="0"/>
              <w:pBdr>
                <w:top w:val="nil"/>
                <w:left w:val="nil"/>
                <w:bottom w:val="nil"/>
                <w:right w:val="nil"/>
                <w:between w:val="nil"/>
              </w:pBdr>
              <w:spacing w:line="480" w:lineRule="auto"/>
            </w:pPr>
            <w:proofErr w:type="spellStart"/>
            <w:r>
              <w:rPr>
                <w:i/>
                <w:iCs/>
                <w:sz w:val="24"/>
                <w:szCs w:val="24"/>
              </w:rPr>
              <w:t>Sapindus</w:t>
            </w:r>
            <w:proofErr w:type="spellEnd"/>
            <w:r>
              <w:rPr>
                <w:i/>
                <w:iCs/>
                <w:sz w:val="24"/>
                <w:szCs w:val="24"/>
              </w:rPr>
              <w:t xml:space="preserve"> </w:t>
            </w:r>
            <w:proofErr w:type="spellStart"/>
            <w:r>
              <w:rPr>
                <w:i/>
                <w:iCs/>
                <w:sz w:val="24"/>
                <w:szCs w:val="24"/>
              </w:rPr>
              <w:t>saponaria</w:t>
            </w:r>
            <w:proofErr w:type="spellEnd"/>
            <w:r>
              <w:rPr>
                <w:sz w:val="24"/>
                <w:szCs w:val="24"/>
              </w:rPr>
              <w:t xml:space="preserve"> Linn.</w:t>
            </w:r>
          </w:p>
        </w:tc>
        <w:tc>
          <w:tcPr>
            <w:tcW w:w="0" w:type="auto"/>
          </w:tcPr>
          <w:p w14:paraId="660D89ED"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7</w:t>
            </w:r>
          </w:p>
        </w:tc>
        <w:tc>
          <w:tcPr>
            <w:cnfStyle w:val="000100000000" w:firstRow="0" w:lastRow="0" w:firstColumn="0" w:lastColumn="1" w:oddVBand="0" w:evenVBand="0" w:oddHBand="0" w:evenHBand="0" w:firstRowFirstColumn="0" w:firstRowLastColumn="0" w:lastRowFirstColumn="0" w:lastRowLastColumn="0"/>
            <w:tcW w:w="0" w:type="auto"/>
          </w:tcPr>
          <w:p w14:paraId="30712CC1" w14:textId="77777777" w:rsidR="00946A27" w:rsidRDefault="00AF39C9" w:rsidP="00A04B0A">
            <w:pPr>
              <w:widowControl w:val="0"/>
              <w:pBdr>
                <w:top w:val="nil"/>
                <w:left w:val="nil"/>
                <w:bottom w:val="nil"/>
                <w:right w:val="nil"/>
                <w:between w:val="nil"/>
              </w:pBdr>
              <w:spacing w:line="480" w:lineRule="auto"/>
            </w:pPr>
            <w:r>
              <w:t>19</w:t>
            </w:r>
          </w:p>
        </w:tc>
      </w:tr>
      <w:tr w:rsidR="00946A27" w14:paraId="08EF060D" w14:textId="77777777" w:rsidTr="006546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8C5AFE" w14:textId="77777777" w:rsidR="00946A27" w:rsidRDefault="00AF39C9" w:rsidP="00A04B0A">
            <w:pPr>
              <w:widowControl w:val="0"/>
              <w:pBdr>
                <w:top w:val="nil"/>
                <w:left w:val="nil"/>
                <w:bottom w:val="nil"/>
                <w:right w:val="nil"/>
                <w:between w:val="nil"/>
              </w:pBdr>
              <w:spacing w:line="480" w:lineRule="auto"/>
              <w:rPr>
                <w:sz w:val="24"/>
                <w:szCs w:val="24"/>
              </w:rPr>
            </w:pPr>
            <w:proofErr w:type="spellStart"/>
            <w:r>
              <w:rPr>
                <w:i/>
                <w:iCs/>
                <w:sz w:val="24"/>
                <w:szCs w:val="24"/>
              </w:rPr>
              <w:t>Triadica</w:t>
            </w:r>
            <w:proofErr w:type="spellEnd"/>
            <w:r>
              <w:rPr>
                <w:i/>
                <w:iCs/>
                <w:sz w:val="24"/>
                <w:szCs w:val="24"/>
              </w:rPr>
              <w:t xml:space="preserve"> </w:t>
            </w:r>
            <w:proofErr w:type="spellStart"/>
            <w:r>
              <w:rPr>
                <w:i/>
                <w:iCs/>
                <w:sz w:val="24"/>
                <w:szCs w:val="24"/>
              </w:rPr>
              <w:t>sebifera</w:t>
            </w:r>
            <w:proofErr w:type="spellEnd"/>
            <w:r>
              <w:rPr>
                <w:sz w:val="24"/>
                <w:szCs w:val="24"/>
              </w:rPr>
              <w:t xml:space="preserve"> (L.) Small</w:t>
            </w:r>
          </w:p>
        </w:tc>
        <w:tc>
          <w:tcPr>
            <w:tcW w:w="0" w:type="auto"/>
          </w:tcPr>
          <w:p w14:paraId="678B74D9"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8</w:t>
            </w:r>
          </w:p>
        </w:tc>
        <w:tc>
          <w:tcPr>
            <w:cnfStyle w:val="000100000000" w:firstRow="0" w:lastRow="0" w:firstColumn="0" w:lastColumn="1" w:oddVBand="0" w:evenVBand="0" w:oddHBand="0" w:evenHBand="0" w:firstRowFirstColumn="0" w:firstRowLastColumn="0" w:lastRowFirstColumn="0" w:lastRowLastColumn="0"/>
            <w:tcW w:w="0" w:type="auto"/>
          </w:tcPr>
          <w:p w14:paraId="6C0EA579" w14:textId="77777777" w:rsidR="00946A27" w:rsidRDefault="00AF39C9" w:rsidP="00A04B0A">
            <w:pPr>
              <w:widowControl w:val="0"/>
              <w:pBdr>
                <w:top w:val="nil"/>
                <w:left w:val="nil"/>
                <w:bottom w:val="nil"/>
                <w:right w:val="nil"/>
                <w:between w:val="nil"/>
              </w:pBdr>
              <w:spacing w:line="480" w:lineRule="auto"/>
            </w:pPr>
            <w:r>
              <w:t>21</w:t>
            </w:r>
          </w:p>
        </w:tc>
      </w:tr>
    </w:tbl>
    <w:p w14:paraId="54C7D433" w14:textId="58E9682B" w:rsidR="00946A27" w:rsidRDefault="00946A27" w:rsidP="00A04B0A">
      <w:pPr>
        <w:spacing w:before="240" w:after="240" w:line="480" w:lineRule="auto"/>
      </w:pPr>
    </w:p>
    <w:p w14:paraId="0D4E127D" w14:textId="16A773C3" w:rsidR="009208BF" w:rsidRDefault="009208BF" w:rsidP="00A04B0A">
      <w:pPr>
        <w:spacing w:before="240" w:after="240" w:line="480" w:lineRule="auto"/>
      </w:pPr>
    </w:p>
    <w:p w14:paraId="3110B065" w14:textId="0ACEE75B" w:rsidR="009208BF" w:rsidRDefault="009208BF" w:rsidP="00A04B0A">
      <w:pPr>
        <w:spacing w:before="240" w:after="240" w:line="480" w:lineRule="auto"/>
      </w:pPr>
    </w:p>
    <w:p w14:paraId="3E8E3F83" w14:textId="27FE5DE6" w:rsidR="0008004D" w:rsidRDefault="0008004D" w:rsidP="00A04B0A">
      <w:pPr>
        <w:spacing w:before="240" w:after="240" w:line="480" w:lineRule="auto"/>
      </w:pPr>
    </w:p>
    <w:p w14:paraId="67A97833" w14:textId="77777777" w:rsidR="0008004D" w:rsidRDefault="0008004D" w:rsidP="00A04B0A">
      <w:pPr>
        <w:spacing w:before="240" w:after="240" w:line="480" w:lineRule="auto"/>
      </w:pPr>
    </w:p>
    <w:p w14:paraId="418FF3DD" w14:textId="77777777" w:rsidR="009208BF" w:rsidRDefault="009208BF" w:rsidP="00A04B0A">
      <w:pPr>
        <w:spacing w:before="240" w:after="240" w:line="480" w:lineRule="auto"/>
      </w:pPr>
    </w:p>
    <w:p w14:paraId="11247A34" w14:textId="77777777" w:rsidR="00946A27" w:rsidRDefault="00AF39C9" w:rsidP="00A04B0A">
      <w:pPr>
        <w:spacing w:before="240" w:after="240" w:line="480" w:lineRule="auto"/>
      </w:pPr>
      <w:r>
        <w:lastRenderedPageBreak/>
        <w:t>Supplementary Table 2: Estimated parameter distributions of the time-dependent-interactions model (Eq. (2)): time effects for the three different groups of interactions (interspecific facilitative, interspecific competitive, intraspecific) and the standard deviation (Sigma) of the log-normal function that we used to back-transform the predicted log(biomass) when fitting it to the empirical biomass measures. For each of these parameters, we document the mean, standard error, standard deviation, quantiles for 95% credibility interval (CI; 2.5%, 97.5% cut-offs), median (50%), effective sample size (</w:t>
      </w:r>
      <w:proofErr w:type="spellStart"/>
      <w:r>
        <w:t>n_eff</w:t>
      </w:r>
      <w:proofErr w:type="spellEnd"/>
      <w:r>
        <w:t>), and the measure of convergence R-hat. The latter approaches 1 with convergence of the parameter estimates. See Supplementary Fig. 3 for plotted posterior distributions.</w:t>
      </w:r>
    </w:p>
    <w:tbl>
      <w:tblPr>
        <w:tblStyle w:val="MyTable1"/>
        <w:tblW w:w="0" w:type="auto"/>
        <w:tblLook w:val="05A0" w:firstRow="1" w:lastRow="0" w:firstColumn="1" w:lastColumn="1" w:noHBand="0" w:noVBand="1"/>
      </w:tblPr>
      <w:tblGrid>
        <w:gridCol w:w="1560"/>
        <w:gridCol w:w="992"/>
        <w:gridCol w:w="1134"/>
        <w:gridCol w:w="850"/>
        <w:gridCol w:w="993"/>
        <w:gridCol w:w="1050"/>
        <w:gridCol w:w="895"/>
        <w:gridCol w:w="773"/>
        <w:gridCol w:w="828"/>
      </w:tblGrid>
      <w:tr w:rsidR="00654651" w14:paraId="754F17B8" w14:textId="77777777" w:rsidTr="0065465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3F70CFEB" w14:textId="77777777" w:rsidR="00946A27" w:rsidRDefault="00946A27" w:rsidP="00A04B0A">
            <w:pPr>
              <w:widowControl w:val="0"/>
              <w:spacing w:line="480" w:lineRule="auto"/>
              <w:rPr>
                <w:sz w:val="20"/>
                <w:szCs w:val="20"/>
              </w:rPr>
            </w:pPr>
          </w:p>
        </w:tc>
        <w:tc>
          <w:tcPr>
            <w:tcW w:w="992" w:type="dxa"/>
          </w:tcPr>
          <w:p w14:paraId="65E53898"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mean</w:t>
            </w:r>
          </w:p>
        </w:tc>
        <w:tc>
          <w:tcPr>
            <w:tcW w:w="1134" w:type="dxa"/>
          </w:tcPr>
          <w:p w14:paraId="25B91156"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rPr>
                <w:sz w:val="20"/>
                <w:szCs w:val="20"/>
              </w:rPr>
            </w:pPr>
            <w:proofErr w:type="spellStart"/>
            <w:r>
              <w:rPr>
                <w:sz w:val="20"/>
                <w:szCs w:val="20"/>
              </w:rPr>
              <w:t>se_mean</w:t>
            </w:r>
            <w:proofErr w:type="spellEnd"/>
          </w:p>
        </w:tc>
        <w:tc>
          <w:tcPr>
            <w:tcW w:w="850" w:type="dxa"/>
          </w:tcPr>
          <w:p w14:paraId="47DADC38"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rPr>
                <w:sz w:val="20"/>
                <w:szCs w:val="20"/>
              </w:rPr>
            </w:pPr>
            <w:proofErr w:type="spellStart"/>
            <w:r>
              <w:rPr>
                <w:sz w:val="20"/>
                <w:szCs w:val="20"/>
              </w:rPr>
              <w:t>sd</w:t>
            </w:r>
            <w:proofErr w:type="spellEnd"/>
          </w:p>
        </w:tc>
        <w:tc>
          <w:tcPr>
            <w:tcW w:w="993" w:type="dxa"/>
          </w:tcPr>
          <w:p w14:paraId="323F313A"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2.50%</w:t>
            </w:r>
          </w:p>
        </w:tc>
        <w:tc>
          <w:tcPr>
            <w:tcW w:w="1050" w:type="dxa"/>
          </w:tcPr>
          <w:p w14:paraId="3D505297"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50%</w:t>
            </w:r>
          </w:p>
        </w:tc>
        <w:tc>
          <w:tcPr>
            <w:tcW w:w="895" w:type="dxa"/>
          </w:tcPr>
          <w:p w14:paraId="4D7D407F"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97.50%</w:t>
            </w:r>
          </w:p>
        </w:tc>
        <w:tc>
          <w:tcPr>
            <w:tcW w:w="0" w:type="auto"/>
          </w:tcPr>
          <w:p w14:paraId="59203994"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rPr>
                <w:sz w:val="20"/>
                <w:szCs w:val="20"/>
              </w:rPr>
            </w:pPr>
            <w:proofErr w:type="spellStart"/>
            <w:r>
              <w:rPr>
                <w:sz w:val="20"/>
                <w:szCs w:val="20"/>
              </w:rPr>
              <w:t>n_eff</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444DBCC1" w14:textId="77777777" w:rsidR="00946A27" w:rsidRDefault="00AF39C9" w:rsidP="00A04B0A">
            <w:pPr>
              <w:widowControl w:val="0"/>
              <w:spacing w:line="480" w:lineRule="auto"/>
              <w:rPr>
                <w:sz w:val="20"/>
                <w:szCs w:val="20"/>
              </w:rPr>
            </w:pPr>
            <w:r>
              <w:rPr>
                <w:sz w:val="20"/>
                <w:szCs w:val="20"/>
              </w:rPr>
              <w:t>R-hat</w:t>
            </w:r>
          </w:p>
        </w:tc>
      </w:tr>
      <w:tr w:rsidR="00946A27" w14:paraId="4ADA9C1C" w14:textId="77777777" w:rsidTr="00654651">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64DE55A" w14:textId="77777777" w:rsidR="00946A27" w:rsidRDefault="00AF39C9" w:rsidP="00A04B0A">
            <w:pPr>
              <w:widowControl w:val="0"/>
              <w:spacing w:line="480" w:lineRule="auto"/>
              <w:rPr>
                <w:sz w:val="20"/>
                <w:szCs w:val="20"/>
              </w:rPr>
            </w:pPr>
            <w:r>
              <w:rPr>
                <w:sz w:val="20"/>
                <w:szCs w:val="20"/>
              </w:rPr>
              <w:t xml:space="preserve">Time effect </w:t>
            </w:r>
            <w:proofErr w:type="spellStart"/>
            <w:r>
              <w:rPr>
                <w:sz w:val="20"/>
                <w:szCs w:val="20"/>
              </w:rPr>
              <w:t>inter_pos</w:t>
            </w:r>
            <w:proofErr w:type="spellEnd"/>
          </w:p>
        </w:tc>
        <w:tc>
          <w:tcPr>
            <w:tcW w:w="992" w:type="dxa"/>
          </w:tcPr>
          <w:p w14:paraId="2564A31C"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0.0063</w:t>
            </w:r>
          </w:p>
        </w:tc>
        <w:tc>
          <w:tcPr>
            <w:tcW w:w="1134" w:type="dxa"/>
          </w:tcPr>
          <w:p w14:paraId="20D234ED"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1.8e-05</w:t>
            </w:r>
          </w:p>
        </w:tc>
        <w:tc>
          <w:tcPr>
            <w:tcW w:w="850" w:type="dxa"/>
          </w:tcPr>
          <w:p w14:paraId="3B453413"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0.0023</w:t>
            </w:r>
          </w:p>
        </w:tc>
        <w:tc>
          <w:tcPr>
            <w:tcW w:w="993" w:type="dxa"/>
          </w:tcPr>
          <w:p w14:paraId="68EB9DC8"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0.0009</w:t>
            </w:r>
          </w:p>
        </w:tc>
        <w:tc>
          <w:tcPr>
            <w:tcW w:w="1050" w:type="dxa"/>
          </w:tcPr>
          <w:p w14:paraId="3210FC8A"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0.0067</w:t>
            </w:r>
          </w:p>
        </w:tc>
        <w:tc>
          <w:tcPr>
            <w:tcW w:w="895" w:type="dxa"/>
          </w:tcPr>
          <w:p w14:paraId="50B50FC6"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0.0095</w:t>
            </w:r>
          </w:p>
        </w:tc>
        <w:tc>
          <w:tcPr>
            <w:tcW w:w="0" w:type="auto"/>
          </w:tcPr>
          <w:p w14:paraId="4D2B105F"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15688</w:t>
            </w:r>
          </w:p>
        </w:tc>
        <w:tc>
          <w:tcPr>
            <w:cnfStyle w:val="000100000000" w:firstRow="0" w:lastRow="0" w:firstColumn="0" w:lastColumn="1" w:oddVBand="0" w:evenVBand="0" w:oddHBand="0" w:evenHBand="0" w:firstRowFirstColumn="0" w:firstRowLastColumn="0" w:lastRowFirstColumn="0" w:lastRowLastColumn="0"/>
            <w:tcW w:w="0" w:type="auto"/>
          </w:tcPr>
          <w:p w14:paraId="081FE681" w14:textId="77777777" w:rsidR="00946A27" w:rsidRDefault="00AF39C9" w:rsidP="00A04B0A">
            <w:pPr>
              <w:widowControl w:val="0"/>
              <w:spacing w:line="480" w:lineRule="auto"/>
              <w:rPr>
                <w:sz w:val="20"/>
                <w:szCs w:val="20"/>
              </w:rPr>
            </w:pPr>
            <w:r>
              <w:rPr>
                <w:sz w:val="20"/>
                <w:szCs w:val="20"/>
              </w:rPr>
              <w:t>1.0001</w:t>
            </w:r>
          </w:p>
        </w:tc>
      </w:tr>
      <w:tr w:rsidR="00654651" w14:paraId="4C194EFE" w14:textId="77777777" w:rsidTr="006546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3FA3AF52" w14:textId="77777777" w:rsidR="00946A27" w:rsidRDefault="00AF39C9" w:rsidP="00A04B0A">
            <w:pPr>
              <w:widowControl w:val="0"/>
              <w:spacing w:line="480" w:lineRule="auto"/>
              <w:rPr>
                <w:sz w:val="20"/>
                <w:szCs w:val="20"/>
              </w:rPr>
            </w:pPr>
            <w:r>
              <w:rPr>
                <w:sz w:val="20"/>
                <w:szCs w:val="20"/>
              </w:rPr>
              <w:t xml:space="preserve">Time effect </w:t>
            </w:r>
            <w:proofErr w:type="spellStart"/>
            <w:r>
              <w:rPr>
                <w:sz w:val="20"/>
                <w:szCs w:val="20"/>
              </w:rPr>
              <w:t>inter_neg</w:t>
            </w:r>
            <w:proofErr w:type="spellEnd"/>
          </w:p>
        </w:tc>
        <w:tc>
          <w:tcPr>
            <w:tcW w:w="992" w:type="dxa"/>
          </w:tcPr>
          <w:p w14:paraId="0589ABC4"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-0.0262</w:t>
            </w:r>
          </w:p>
        </w:tc>
        <w:tc>
          <w:tcPr>
            <w:tcW w:w="1134" w:type="dxa"/>
          </w:tcPr>
          <w:p w14:paraId="0D8F42EA"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2.8e-05</w:t>
            </w:r>
          </w:p>
        </w:tc>
        <w:tc>
          <w:tcPr>
            <w:tcW w:w="850" w:type="dxa"/>
          </w:tcPr>
          <w:p w14:paraId="4C06D423"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0.0038</w:t>
            </w:r>
          </w:p>
        </w:tc>
        <w:tc>
          <w:tcPr>
            <w:tcW w:w="993" w:type="dxa"/>
          </w:tcPr>
          <w:p w14:paraId="3D052758"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-0.0326</w:t>
            </w:r>
          </w:p>
        </w:tc>
        <w:tc>
          <w:tcPr>
            <w:tcW w:w="1050" w:type="dxa"/>
          </w:tcPr>
          <w:p w14:paraId="09C332A3"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-0.0267</w:t>
            </w:r>
          </w:p>
        </w:tc>
        <w:tc>
          <w:tcPr>
            <w:tcW w:w="895" w:type="dxa"/>
          </w:tcPr>
          <w:p w14:paraId="207A5EA0"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-0.0176</w:t>
            </w:r>
          </w:p>
        </w:tc>
        <w:tc>
          <w:tcPr>
            <w:tcW w:w="0" w:type="auto"/>
          </w:tcPr>
          <w:p w14:paraId="118CD793"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18571</w:t>
            </w:r>
          </w:p>
        </w:tc>
        <w:tc>
          <w:tcPr>
            <w:cnfStyle w:val="000100000000" w:firstRow="0" w:lastRow="0" w:firstColumn="0" w:lastColumn="1" w:oddVBand="0" w:evenVBand="0" w:oddHBand="0" w:evenHBand="0" w:firstRowFirstColumn="0" w:firstRowLastColumn="0" w:lastRowFirstColumn="0" w:lastRowLastColumn="0"/>
            <w:tcW w:w="0" w:type="auto"/>
          </w:tcPr>
          <w:p w14:paraId="6336E5C3" w14:textId="77777777" w:rsidR="00946A27" w:rsidRDefault="00AF39C9" w:rsidP="00A04B0A">
            <w:pPr>
              <w:widowControl w:val="0"/>
              <w:spacing w:line="480" w:lineRule="auto"/>
              <w:rPr>
                <w:sz w:val="20"/>
                <w:szCs w:val="20"/>
              </w:rPr>
            </w:pPr>
            <w:r>
              <w:rPr>
                <w:sz w:val="20"/>
                <w:szCs w:val="20"/>
              </w:rPr>
              <w:t>0.9999</w:t>
            </w:r>
          </w:p>
        </w:tc>
      </w:tr>
      <w:tr w:rsidR="00946A27" w14:paraId="27C140FA" w14:textId="77777777" w:rsidTr="00654651">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1F8485C" w14:textId="77777777" w:rsidR="00946A27" w:rsidRDefault="00AF39C9" w:rsidP="00A04B0A">
            <w:pPr>
              <w:widowControl w:val="0"/>
              <w:spacing w:line="480" w:lineRule="auto"/>
              <w:rPr>
                <w:sz w:val="20"/>
                <w:szCs w:val="20"/>
              </w:rPr>
            </w:pPr>
            <w:r>
              <w:rPr>
                <w:sz w:val="20"/>
                <w:szCs w:val="20"/>
              </w:rPr>
              <w:t>Time effect intra</w:t>
            </w:r>
          </w:p>
        </w:tc>
        <w:tc>
          <w:tcPr>
            <w:tcW w:w="992" w:type="dxa"/>
          </w:tcPr>
          <w:p w14:paraId="2CFC9BFC"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-0.0559</w:t>
            </w:r>
          </w:p>
        </w:tc>
        <w:tc>
          <w:tcPr>
            <w:tcW w:w="1134" w:type="dxa"/>
          </w:tcPr>
          <w:p w14:paraId="71F8CC9E"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2.4e-05</w:t>
            </w:r>
          </w:p>
        </w:tc>
        <w:tc>
          <w:tcPr>
            <w:tcW w:w="850" w:type="dxa"/>
          </w:tcPr>
          <w:p w14:paraId="70CEB179"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0.0043</w:t>
            </w:r>
          </w:p>
        </w:tc>
        <w:tc>
          <w:tcPr>
            <w:tcW w:w="993" w:type="dxa"/>
          </w:tcPr>
          <w:p w14:paraId="447B5456"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-0.0642</w:t>
            </w:r>
          </w:p>
        </w:tc>
        <w:tc>
          <w:tcPr>
            <w:tcW w:w="1050" w:type="dxa"/>
          </w:tcPr>
          <w:p w14:paraId="4A5F37F1"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-0.0559</w:t>
            </w:r>
          </w:p>
        </w:tc>
        <w:tc>
          <w:tcPr>
            <w:tcW w:w="895" w:type="dxa"/>
          </w:tcPr>
          <w:p w14:paraId="41F1E414"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-0.0477</w:t>
            </w:r>
          </w:p>
        </w:tc>
        <w:tc>
          <w:tcPr>
            <w:tcW w:w="0" w:type="auto"/>
          </w:tcPr>
          <w:p w14:paraId="77C7B0B3"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31494</w:t>
            </w:r>
          </w:p>
        </w:tc>
        <w:tc>
          <w:tcPr>
            <w:cnfStyle w:val="000100000000" w:firstRow="0" w:lastRow="0" w:firstColumn="0" w:lastColumn="1" w:oddVBand="0" w:evenVBand="0" w:oddHBand="0" w:evenHBand="0" w:firstRowFirstColumn="0" w:firstRowLastColumn="0" w:lastRowFirstColumn="0" w:lastRowLastColumn="0"/>
            <w:tcW w:w="0" w:type="auto"/>
          </w:tcPr>
          <w:p w14:paraId="42D2B046" w14:textId="77777777" w:rsidR="00946A27" w:rsidRDefault="00AF39C9" w:rsidP="00A04B0A">
            <w:pPr>
              <w:widowControl w:val="0"/>
              <w:spacing w:line="480" w:lineRule="auto"/>
              <w:rPr>
                <w:sz w:val="20"/>
                <w:szCs w:val="20"/>
              </w:rPr>
            </w:pPr>
            <w:r>
              <w:rPr>
                <w:sz w:val="20"/>
                <w:szCs w:val="20"/>
              </w:rPr>
              <w:t>1</w:t>
            </w:r>
          </w:p>
        </w:tc>
      </w:tr>
      <w:tr w:rsidR="00654651" w14:paraId="23C61BDE" w14:textId="77777777" w:rsidTr="006546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3BE67E9A" w14:textId="77777777" w:rsidR="00946A27" w:rsidRDefault="00AF39C9" w:rsidP="00A04B0A">
            <w:pPr>
              <w:widowControl w:val="0"/>
              <w:spacing w:line="480" w:lineRule="auto"/>
              <w:rPr>
                <w:sz w:val="20"/>
                <w:szCs w:val="20"/>
              </w:rPr>
            </w:pPr>
            <w:r>
              <w:rPr>
                <w:sz w:val="20"/>
                <w:szCs w:val="20"/>
              </w:rPr>
              <w:t>Sigma</w:t>
            </w:r>
          </w:p>
        </w:tc>
        <w:tc>
          <w:tcPr>
            <w:tcW w:w="992" w:type="dxa"/>
          </w:tcPr>
          <w:p w14:paraId="1493B43D"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0.4184</w:t>
            </w:r>
          </w:p>
        </w:tc>
        <w:tc>
          <w:tcPr>
            <w:tcW w:w="1134" w:type="dxa"/>
          </w:tcPr>
          <w:p w14:paraId="017636EB"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1.64e-05</w:t>
            </w:r>
          </w:p>
        </w:tc>
        <w:tc>
          <w:tcPr>
            <w:tcW w:w="850" w:type="dxa"/>
          </w:tcPr>
          <w:p w14:paraId="2F259609"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0.0034</w:t>
            </w:r>
          </w:p>
        </w:tc>
        <w:tc>
          <w:tcPr>
            <w:tcW w:w="993" w:type="dxa"/>
          </w:tcPr>
          <w:p w14:paraId="4FF9A7BE"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0.4117</w:t>
            </w:r>
          </w:p>
        </w:tc>
        <w:tc>
          <w:tcPr>
            <w:tcW w:w="1050" w:type="dxa"/>
          </w:tcPr>
          <w:p w14:paraId="37A50C83"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0.4184</w:t>
            </w:r>
          </w:p>
        </w:tc>
        <w:tc>
          <w:tcPr>
            <w:tcW w:w="895" w:type="dxa"/>
          </w:tcPr>
          <w:p w14:paraId="51DDCFB6"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0.4253</w:t>
            </w:r>
          </w:p>
        </w:tc>
        <w:tc>
          <w:tcPr>
            <w:tcW w:w="0" w:type="auto"/>
          </w:tcPr>
          <w:p w14:paraId="457655F4"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44241</w:t>
            </w:r>
          </w:p>
        </w:tc>
        <w:tc>
          <w:tcPr>
            <w:cnfStyle w:val="000100000000" w:firstRow="0" w:lastRow="0" w:firstColumn="0" w:lastColumn="1" w:oddVBand="0" w:evenVBand="0" w:oddHBand="0" w:evenHBand="0" w:firstRowFirstColumn="0" w:firstRowLastColumn="0" w:lastRowFirstColumn="0" w:lastRowLastColumn="0"/>
            <w:tcW w:w="0" w:type="auto"/>
          </w:tcPr>
          <w:p w14:paraId="67CC4D80" w14:textId="77777777" w:rsidR="00946A27" w:rsidRDefault="00AF39C9" w:rsidP="00A04B0A">
            <w:pPr>
              <w:widowControl w:val="0"/>
              <w:spacing w:line="480" w:lineRule="auto"/>
              <w:rPr>
                <w:sz w:val="20"/>
                <w:szCs w:val="20"/>
              </w:rPr>
            </w:pPr>
            <w:r>
              <w:rPr>
                <w:sz w:val="20"/>
                <w:szCs w:val="20"/>
              </w:rPr>
              <w:t>0.9999</w:t>
            </w:r>
          </w:p>
        </w:tc>
      </w:tr>
    </w:tbl>
    <w:p w14:paraId="0227CA80" w14:textId="77777777" w:rsidR="00946A27" w:rsidRDefault="00946A27" w:rsidP="00A04B0A">
      <w:pPr>
        <w:spacing w:before="240" w:after="240" w:line="480" w:lineRule="auto"/>
      </w:pPr>
    </w:p>
    <w:p w14:paraId="52CC4BA8" w14:textId="77777777" w:rsidR="0008004D" w:rsidRDefault="0008004D" w:rsidP="00A04B0A">
      <w:pPr>
        <w:spacing w:before="240" w:after="240" w:line="480" w:lineRule="auto"/>
      </w:pPr>
    </w:p>
    <w:p w14:paraId="05CF1055" w14:textId="77777777" w:rsidR="0008004D" w:rsidRDefault="0008004D" w:rsidP="00A04B0A">
      <w:pPr>
        <w:spacing w:before="240" w:after="240" w:line="480" w:lineRule="auto"/>
      </w:pPr>
    </w:p>
    <w:p w14:paraId="30964728" w14:textId="77777777" w:rsidR="0008004D" w:rsidRDefault="0008004D" w:rsidP="00A04B0A">
      <w:pPr>
        <w:spacing w:before="240" w:after="240" w:line="480" w:lineRule="auto"/>
      </w:pPr>
    </w:p>
    <w:p w14:paraId="61F8A096" w14:textId="77777777" w:rsidR="0008004D" w:rsidRDefault="0008004D" w:rsidP="00A04B0A">
      <w:pPr>
        <w:spacing w:before="240" w:after="240" w:line="480" w:lineRule="auto"/>
      </w:pPr>
    </w:p>
    <w:p w14:paraId="14B7F063" w14:textId="77777777" w:rsidR="0008004D" w:rsidRDefault="0008004D" w:rsidP="00A04B0A">
      <w:pPr>
        <w:spacing w:before="240" w:after="240" w:line="480" w:lineRule="auto"/>
      </w:pPr>
    </w:p>
    <w:p w14:paraId="6EB4531D" w14:textId="77777777" w:rsidR="0008004D" w:rsidRDefault="0008004D" w:rsidP="00A04B0A">
      <w:pPr>
        <w:spacing w:before="240" w:after="240" w:line="480" w:lineRule="auto"/>
      </w:pPr>
    </w:p>
    <w:p w14:paraId="4B90427A" w14:textId="35DD32EA" w:rsidR="00946A27" w:rsidRPr="00176D93" w:rsidRDefault="00AF39C9" w:rsidP="00A04B0A">
      <w:pPr>
        <w:spacing w:before="240" w:after="240" w:line="480" w:lineRule="auto"/>
      </w:pPr>
      <w:r>
        <w:lastRenderedPageBreak/>
        <w:t xml:space="preserve">Supplementary Table 3: Model comparison of our focal time-dependent-interactions model (Eq. (3)) with the average-time-effect model as well as with the nonlinear syntax. We used the loo-package </w:t>
      </w:r>
      <w:r w:rsidR="009D43C3">
        <w:fldChar w:fldCharType="begin"/>
      </w:r>
      <w:r w:rsidR="005D0B9A">
        <w:instrText xml:space="preserve"> ADDIN ZOTERO_ITEM CSL_CITATION {"citationID":"4BknpSGH","properties":{"formattedCitation":"\\super 3\\nosupersub{}","plainCitation":"3","noteIndex":0},"citationItems":[{"id":4463,"uris":["http://zotero.org/users/2540212/items/PM2484BS"],"itemData":{"id":4463,"type":"software","title":"loo: Efficient leave-one-out cross-validation and WAIC for Bayesian models","URL":"https://mc-stan.org/loo/","version":"2.9.0.9000","author":[{"family":"Vehtari","given":"Aki"},{"family":"Gabry","given":"Jonah"},{"family":"Magnusson","given":"Måns"},{"family":"Yao","given":"Yuling"},{"family":"Bürkner","given":"Paul-Christian"},{"family":"Paananen","given":"Topi"},{"family":"Gelman","given":"Andrew"}],"issued":{"date-parts":[["2024"]]}}}],"schema":"https://github.com/citation-style-language/schema/raw/master/csl-citation.json"} </w:instrText>
      </w:r>
      <w:r w:rsidR="009D43C3">
        <w:fldChar w:fldCharType="separate"/>
      </w:r>
      <w:r w:rsidR="005D0B9A" w:rsidRPr="005D0B9A">
        <w:rPr>
          <w:szCs w:val="24"/>
          <w:vertAlign w:val="superscript"/>
        </w:rPr>
        <w:t>3</w:t>
      </w:r>
      <w:r w:rsidR="009D43C3">
        <w:fldChar w:fldCharType="end"/>
      </w:r>
      <w:r>
        <w:t xml:space="preserve"> to compute differences in predictive performance (</w:t>
      </w:r>
      <w:proofErr w:type="spellStart"/>
      <w:r>
        <w:t>elpd_diff</w:t>
      </w:r>
      <w:proofErr w:type="spellEnd"/>
      <w:r>
        <w:t>), their associated standard error (</w:t>
      </w:r>
      <w:proofErr w:type="spellStart"/>
      <w:r>
        <w:t>se_diff</w:t>
      </w:r>
      <w:proofErr w:type="spellEnd"/>
      <w:r>
        <w:t xml:space="preserve">), and posterior probabilities, </w:t>
      </w:r>
      <m:oMath>
        <m:r>
          <w:rPr>
            <w:rFonts w:ascii="Cambria Math" w:hAnsi="Cambria Math"/>
          </w:rPr>
          <m:t>P(elpd_diff&gt;0)</m:t>
        </m:r>
      </m:oMath>
      <w:r>
        <w:t>, of the compared model performing worse (</w:t>
      </w:r>
      <w:proofErr w:type="spellStart"/>
      <w:r>
        <w:t>p_worse</w:t>
      </w:r>
      <w:proofErr w:type="spellEnd"/>
      <w:r>
        <w:t xml:space="preserve">) </w:t>
      </w:r>
      <w:r w:rsidR="009D43C3">
        <w:fldChar w:fldCharType="begin"/>
      </w:r>
      <w:r w:rsidR="005D0B9A">
        <w:instrText xml:space="preserve"> ADDIN ZOTERO_ITEM CSL_CITATION {"citationID":"NU0R0ahB","properties":{"formattedCitation":"\\super 4\\nosupersub{}","plainCitation":"4","noteIndex":0},"citationItems":[{"id":4564,"uris":["http://zotero.org/users/2540212/items/83KE4V8D"],"itemData":{"id":4564,"type":"article-journal","abstract":"It is useful to estimate the expected predictive performance of models planned to be used for prediction. We focus on leave-one-out cross-validation (LOO-CV), which has become a popular method for estimating predictive performance of Bayesian models. Given two models, we are interested in comparing the predictive performances and associated uncertainty, which can also be used to compute the probability of one model having better predictive performance than the other model. We study the properties of the Bayesian LOO-CV estimator and the related uncertainty quantification for the predictive performance difference, and analyse when a normal approximation of this uncertainty is well calibrated and whether taking into account higher moments could improve the approximation. We provide new results of the properties both theoretically in the linear regression case and empirically for hierarchical linear, latent linear, and spline models and discuss the challenges. We show that problematic cases include: comparing models with similar predictions, misspecified models, and small data. In these cases, there is a weak connection between the distributions of the LOO-CV estimator and its error. We show that that the problematic skewness of the error distribution for the difference, which occurs when the models make similar predictions, does not fade away when the data size grows to infinity in certain situations. Based on the results, we also provide some practical recommendations for the users of Bayesian LOO-CV for comparing predictive performance of models.","container-title":"Bayesian Analysis","DOI":"10.1214/25-BA1569","ISSN":"1936-0975, 1931-6690","issue":"-1","language":"en","page":"1-31","publisher":"International Society for Bayesian Analysis","source":"Project Euclid","title":"Uncertainty in Bayesian Leave-One-Out Cross-Validation Based Model Comparison","volume":"-1","author":[{"family":"Sivula","given":"Tuomas"},{"family":"Magnusson","given":"Måns"},{"family":"Matamoros","given":"Asael Alonzo"},{"family":"Vehtari","given":"Aki"}],"issued":{"date-parts":[["2025",1]]}}}],"schema":"https://github.com/citation-style-language/schema/raw/master/csl-citation.json"} </w:instrText>
      </w:r>
      <w:r w:rsidR="009D43C3">
        <w:fldChar w:fldCharType="separate"/>
      </w:r>
      <w:r w:rsidR="005D0B9A" w:rsidRPr="005D0B9A">
        <w:rPr>
          <w:szCs w:val="24"/>
          <w:vertAlign w:val="superscript"/>
        </w:rPr>
        <w:t>4</w:t>
      </w:r>
      <w:r w:rsidR="009D43C3">
        <w:fldChar w:fldCharType="end"/>
      </w:r>
      <w:r>
        <w:t>. Furthermore, we tested a pairwise-time-effect model where every species interaction has a specific time effect. However, many pair-specific estimates were only or mostly informed by the provided prior, rendering this model not meaningful given our dataset. Hence, we did not include it in the model comparison.</w:t>
      </w:r>
      <w:r w:rsidR="00CE5E1D">
        <w:t xml:space="preserve"> In the code, these models are referred to as </w:t>
      </w:r>
      <w:r w:rsidR="00CE5E1D" w:rsidRPr="00CE5E1D">
        <w:rPr>
          <w:i/>
          <w:iCs/>
        </w:rPr>
        <w:t>m.1</w:t>
      </w:r>
      <w:r w:rsidR="00CE5E1D">
        <w:t xml:space="preserve"> (</w:t>
      </w:r>
      <w:r w:rsidR="00CE5E1D">
        <w:t>average</w:t>
      </w:r>
      <w:r w:rsidR="00CE5E1D">
        <w:t xml:space="preserve"> </w:t>
      </w:r>
      <w:r w:rsidR="00CE5E1D">
        <w:t>time</w:t>
      </w:r>
      <w:r w:rsidR="00CE5E1D">
        <w:t xml:space="preserve"> </w:t>
      </w:r>
      <w:r w:rsidR="00CE5E1D">
        <w:t>effect</w:t>
      </w:r>
      <w:r w:rsidR="00CE5E1D">
        <w:t xml:space="preserve">), </w:t>
      </w:r>
      <w:r w:rsidR="00CE5E1D" w:rsidRPr="00CE5E1D">
        <w:rPr>
          <w:i/>
          <w:iCs/>
        </w:rPr>
        <w:t>m.4</w:t>
      </w:r>
      <w:r w:rsidR="00CE5E1D">
        <w:t xml:space="preserve"> (time-dependent interactions), and </w:t>
      </w:r>
      <w:r w:rsidR="00CE5E1D" w:rsidRPr="00CE5E1D">
        <w:rPr>
          <w:i/>
          <w:iCs/>
        </w:rPr>
        <w:t>m.9</w:t>
      </w:r>
      <w:r w:rsidR="00CE5E1D">
        <w:t xml:space="preserve"> (pairwise time effect), respectively, with the addition </w:t>
      </w:r>
      <w:r w:rsidR="00CE5E1D">
        <w:rPr>
          <w:i/>
          <w:iCs/>
        </w:rPr>
        <w:t>additive</w:t>
      </w:r>
      <w:r w:rsidR="00CE5E1D">
        <w:t xml:space="preserve"> and </w:t>
      </w:r>
      <w:r w:rsidR="00CE5E1D">
        <w:rPr>
          <w:i/>
          <w:iCs/>
        </w:rPr>
        <w:t>linear</w:t>
      </w:r>
      <w:r w:rsidR="00CE5E1D">
        <w:t xml:space="preserve"> or </w:t>
      </w:r>
      <w:r w:rsidR="00CE5E1D">
        <w:rPr>
          <w:i/>
          <w:iCs/>
        </w:rPr>
        <w:t>nonlinear</w:t>
      </w:r>
      <w:r w:rsidR="00CE5E1D">
        <w:t>.</w:t>
      </w:r>
      <w:r w:rsidR="00176D93">
        <w:t xml:space="preserve"> The focal model is, hence, defined as </w:t>
      </w:r>
      <w:r w:rsidR="00176D93">
        <w:rPr>
          <w:i/>
          <w:iCs/>
        </w:rPr>
        <w:t>m.4.additive.linear</w:t>
      </w:r>
      <w:r w:rsidR="00176D93">
        <w:t>.</w:t>
      </w:r>
    </w:p>
    <w:tbl>
      <w:tblPr>
        <w:tblStyle w:val="MyTable1"/>
        <w:tblW w:w="0" w:type="auto"/>
        <w:tblLook w:val="01A0" w:firstRow="1" w:lastRow="0" w:firstColumn="1" w:lastColumn="1" w:noHBand="0" w:noVBand="0"/>
      </w:tblPr>
      <w:tblGrid>
        <w:gridCol w:w="4114"/>
        <w:gridCol w:w="1133"/>
        <w:gridCol w:w="926"/>
        <w:gridCol w:w="1109"/>
        <w:gridCol w:w="1793"/>
      </w:tblGrid>
      <w:tr w:rsidR="00946A27" w14:paraId="224A0EDB" w14:textId="77777777" w:rsidTr="006546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532214" w14:textId="77777777" w:rsidR="00946A27" w:rsidRDefault="00AF39C9" w:rsidP="00654651">
            <w:pPr>
              <w:widowControl w:val="0"/>
              <w:pBdr>
                <w:top w:val="nil"/>
                <w:left w:val="nil"/>
                <w:bottom w:val="nil"/>
                <w:right w:val="nil"/>
                <w:between w:val="nil"/>
              </w:pBdr>
              <w:spacing w:line="480" w:lineRule="auto"/>
              <w:jc w:val="left"/>
            </w:pPr>
            <w:r>
              <w:t>Model</w:t>
            </w:r>
          </w:p>
        </w:tc>
        <w:tc>
          <w:tcPr>
            <w:tcW w:w="0" w:type="auto"/>
          </w:tcPr>
          <w:p w14:paraId="284F4F5B" w14:textId="77777777" w:rsidR="00946A27" w:rsidRDefault="00AF39C9" w:rsidP="00A04B0A">
            <w:pPr>
              <w:widowControl w:val="0"/>
              <w:pBdr>
                <w:top w:val="nil"/>
                <w:left w:val="nil"/>
                <w:bottom w:val="nil"/>
                <w:right w:val="nil"/>
                <w:between w:val="nil"/>
              </w:pBdr>
              <w:spacing w:line="480" w:lineRule="auto"/>
              <w:cnfStyle w:val="100000000000" w:firstRow="1" w:lastRow="0" w:firstColumn="0" w:lastColumn="0" w:oddVBand="0" w:evenVBand="0" w:oddHBand="0" w:evenHBand="0" w:firstRowFirstColumn="0" w:firstRowLastColumn="0" w:lastRowFirstColumn="0" w:lastRowLastColumn="0"/>
            </w:pPr>
            <w:proofErr w:type="spellStart"/>
            <w:r>
              <w:t>elpd_diff</w:t>
            </w:r>
            <w:proofErr w:type="spellEnd"/>
          </w:p>
        </w:tc>
        <w:tc>
          <w:tcPr>
            <w:tcW w:w="0" w:type="auto"/>
          </w:tcPr>
          <w:p w14:paraId="05A413BA" w14:textId="77777777" w:rsidR="00946A27" w:rsidRDefault="00AF39C9" w:rsidP="00A04B0A">
            <w:pPr>
              <w:widowControl w:val="0"/>
              <w:pBdr>
                <w:top w:val="nil"/>
                <w:left w:val="nil"/>
                <w:bottom w:val="nil"/>
                <w:right w:val="nil"/>
                <w:between w:val="nil"/>
              </w:pBdr>
              <w:spacing w:line="480" w:lineRule="auto"/>
              <w:cnfStyle w:val="100000000000" w:firstRow="1" w:lastRow="0" w:firstColumn="0" w:lastColumn="0" w:oddVBand="0" w:evenVBand="0" w:oddHBand="0" w:evenHBand="0" w:firstRowFirstColumn="0" w:firstRowLastColumn="0" w:lastRowFirstColumn="0" w:lastRowLastColumn="0"/>
            </w:pPr>
            <w:proofErr w:type="spellStart"/>
            <w:r>
              <w:t>se_diff</w:t>
            </w:r>
            <w:proofErr w:type="spellEnd"/>
          </w:p>
        </w:tc>
        <w:tc>
          <w:tcPr>
            <w:tcW w:w="0" w:type="auto"/>
          </w:tcPr>
          <w:p w14:paraId="02958CDB" w14:textId="77777777" w:rsidR="00946A27" w:rsidRDefault="00AF39C9" w:rsidP="00A04B0A">
            <w:pPr>
              <w:widowControl w:val="0"/>
              <w:pBdr>
                <w:top w:val="nil"/>
                <w:left w:val="nil"/>
                <w:bottom w:val="nil"/>
                <w:right w:val="nil"/>
                <w:between w:val="nil"/>
              </w:pBdr>
              <w:spacing w:line="480" w:lineRule="auto"/>
              <w:cnfStyle w:val="100000000000" w:firstRow="1" w:lastRow="0" w:firstColumn="0" w:lastColumn="0" w:oddVBand="0" w:evenVBand="0" w:oddHBand="0" w:evenHBand="0" w:firstRowFirstColumn="0" w:firstRowLastColumn="0" w:lastRowFirstColumn="0" w:lastRowLastColumn="0"/>
            </w:pPr>
            <w:proofErr w:type="spellStart"/>
            <w:r>
              <w:t>p_worse</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3E496F92" w14:textId="77777777" w:rsidR="00946A27" w:rsidRDefault="00AF39C9" w:rsidP="00A04B0A">
            <w:pPr>
              <w:widowControl w:val="0"/>
              <w:pBdr>
                <w:top w:val="nil"/>
                <w:left w:val="nil"/>
                <w:bottom w:val="nil"/>
                <w:right w:val="nil"/>
                <w:between w:val="nil"/>
              </w:pBdr>
              <w:spacing w:line="480" w:lineRule="auto"/>
            </w:pPr>
            <w:proofErr w:type="spellStart"/>
            <w:r>
              <w:t>pareto_k_good</w:t>
            </w:r>
            <w:proofErr w:type="spellEnd"/>
          </w:p>
        </w:tc>
      </w:tr>
      <w:tr w:rsidR="00946A27" w14:paraId="44EA31A7" w14:textId="77777777" w:rsidTr="00654651">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0E28B7BC" w14:textId="1E48A71F" w:rsidR="00946A27" w:rsidRDefault="00AF39C9" w:rsidP="00A04B0A">
            <w:pPr>
              <w:spacing w:before="240" w:after="240" w:line="480" w:lineRule="auto"/>
            </w:pPr>
            <w:r>
              <w:t xml:space="preserve">time-dependent-interactions model </w:t>
            </w:r>
            <w:r w:rsidR="00654651">
              <w:t>–</w:t>
            </w:r>
            <w:r>
              <w:t xml:space="preserve"> linear</w:t>
            </w:r>
          </w:p>
        </w:tc>
        <w:tc>
          <w:tcPr>
            <w:tcW w:w="0" w:type="auto"/>
          </w:tcPr>
          <w:p w14:paraId="4B1D6869"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0</w:t>
            </w:r>
          </w:p>
        </w:tc>
        <w:tc>
          <w:tcPr>
            <w:tcW w:w="0" w:type="auto"/>
          </w:tcPr>
          <w:p w14:paraId="423B5810"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0</w:t>
            </w:r>
          </w:p>
        </w:tc>
        <w:tc>
          <w:tcPr>
            <w:tcW w:w="0" w:type="auto"/>
          </w:tcPr>
          <w:p w14:paraId="79AE486F"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0" w:type="auto"/>
          </w:tcPr>
          <w:p w14:paraId="2E1DB65F" w14:textId="77777777" w:rsidR="00946A27" w:rsidRDefault="00AF39C9" w:rsidP="00A04B0A">
            <w:pPr>
              <w:widowControl w:val="0"/>
              <w:pBdr>
                <w:top w:val="nil"/>
                <w:left w:val="nil"/>
                <w:bottom w:val="nil"/>
                <w:right w:val="nil"/>
                <w:between w:val="nil"/>
              </w:pBdr>
              <w:spacing w:line="480" w:lineRule="auto"/>
            </w:pPr>
            <w:r>
              <w:t>99.91 %</w:t>
            </w:r>
          </w:p>
        </w:tc>
      </w:tr>
      <w:tr w:rsidR="00946A27" w14:paraId="4D123F79" w14:textId="77777777" w:rsidTr="006546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7FB705" w14:textId="21034773" w:rsidR="00946A27" w:rsidRDefault="00AF39C9" w:rsidP="00A04B0A">
            <w:pPr>
              <w:widowControl w:val="0"/>
              <w:pBdr>
                <w:top w:val="nil"/>
                <w:left w:val="nil"/>
                <w:bottom w:val="nil"/>
                <w:right w:val="nil"/>
                <w:between w:val="nil"/>
              </w:pBdr>
              <w:spacing w:line="480" w:lineRule="auto"/>
            </w:pPr>
            <w:r>
              <w:t xml:space="preserve">average-time-effect model </w:t>
            </w:r>
            <w:r w:rsidR="00654651">
              <w:t>–</w:t>
            </w:r>
            <w:r>
              <w:t xml:space="preserve"> linear</w:t>
            </w:r>
          </w:p>
        </w:tc>
        <w:tc>
          <w:tcPr>
            <w:tcW w:w="0" w:type="auto"/>
          </w:tcPr>
          <w:p w14:paraId="299D357A"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-36.9</w:t>
            </w:r>
          </w:p>
        </w:tc>
        <w:tc>
          <w:tcPr>
            <w:tcW w:w="0" w:type="auto"/>
          </w:tcPr>
          <w:p w14:paraId="0F194A10"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40.1</w:t>
            </w:r>
          </w:p>
        </w:tc>
        <w:tc>
          <w:tcPr>
            <w:tcW w:w="0" w:type="auto"/>
          </w:tcPr>
          <w:p w14:paraId="583AF8E4"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0.821</w:t>
            </w:r>
          </w:p>
        </w:tc>
        <w:tc>
          <w:tcPr>
            <w:cnfStyle w:val="000100000000" w:firstRow="0" w:lastRow="0" w:firstColumn="0" w:lastColumn="1" w:oddVBand="0" w:evenVBand="0" w:oddHBand="0" w:evenHBand="0" w:firstRowFirstColumn="0" w:firstRowLastColumn="0" w:lastRowFirstColumn="0" w:lastRowLastColumn="0"/>
            <w:tcW w:w="0" w:type="auto"/>
          </w:tcPr>
          <w:p w14:paraId="696B1BB1" w14:textId="77777777" w:rsidR="00946A27" w:rsidRDefault="00AF39C9" w:rsidP="00A04B0A">
            <w:pPr>
              <w:widowControl w:val="0"/>
              <w:pBdr>
                <w:top w:val="nil"/>
                <w:left w:val="nil"/>
                <w:bottom w:val="nil"/>
                <w:right w:val="nil"/>
                <w:between w:val="nil"/>
              </w:pBdr>
              <w:spacing w:line="480" w:lineRule="auto"/>
            </w:pPr>
            <w:r>
              <w:t>99.91 %</w:t>
            </w:r>
          </w:p>
        </w:tc>
      </w:tr>
      <w:tr w:rsidR="00946A27" w14:paraId="7646846E" w14:textId="77777777" w:rsidTr="00654651">
        <w:tc>
          <w:tcPr>
            <w:cnfStyle w:val="001000000000" w:firstRow="0" w:lastRow="0" w:firstColumn="1" w:lastColumn="0" w:oddVBand="0" w:evenVBand="0" w:oddHBand="0" w:evenHBand="0" w:firstRowFirstColumn="0" w:firstRowLastColumn="0" w:lastRowFirstColumn="0" w:lastRowLastColumn="0"/>
            <w:tcW w:w="0" w:type="auto"/>
          </w:tcPr>
          <w:p w14:paraId="5019ED8E" w14:textId="7A8F2ACE" w:rsidR="00946A27" w:rsidRDefault="00AF39C9" w:rsidP="00A04B0A">
            <w:pPr>
              <w:widowControl w:val="0"/>
              <w:pBdr>
                <w:top w:val="nil"/>
                <w:left w:val="nil"/>
                <w:bottom w:val="nil"/>
                <w:right w:val="nil"/>
                <w:between w:val="nil"/>
              </w:pBdr>
              <w:spacing w:line="480" w:lineRule="auto"/>
            </w:pPr>
            <w:r>
              <w:t xml:space="preserve">average-time-effect model </w:t>
            </w:r>
            <w:r w:rsidR="00654651">
              <w:t>–</w:t>
            </w:r>
            <w:r>
              <w:t xml:space="preserve"> nonlinear</w:t>
            </w:r>
          </w:p>
        </w:tc>
        <w:tc>
          <w:tcPr>
            <w:tcW w:w="0" w:type="auto"/>
          </w:tcPr>
          <w:p w14:paraId="0DBB504F"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-44.6</w:t>
            </w:r>
          </w:p>
        </w:tc>
        <w:tc>
          <w:tcPr>
            <w:tcW w:w="0" w:type="auto"/>
          </w:tcPr>
          <w:p w14:paraId="66049381"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35.4</w:t>
            </w:r>
          </w:p>
        </w:tc>
        <w:tc>
          <w:tcPr>
            <w:tcW w:w="0" w:type="auto"/>
          </w:tcPr>
          <w:p w14:paraId="589BAD87" w14:textId="77777777" w:rsidR="00946A27" w:rsidRDefault="00AF39C9" w:rsidP="00A04B0A">
            <w:pPr>
              <w:widowControl w:val="0"/>
              <w:pBdr>
                <w:top w:val="nil"/>
                <w:left w:val="nil"/>
                <w:bottom w:val="nil"/>
                <w:right w:val="nil"/>
                <w:between w:val="nil"/>
              </w:pBdr>
              <w:spacing w:line="480" w:lineRule="auto"/>
              <w:cnfStyle w:val="000000000000" w:firstRow="0" w:lastRow="0" w:firstColumn="0" w:lastColumn="0" w:oddVBand="0" w:evenVBand="0" w:oddHBand="0" w:evenHBand="0" w:firstRowFirstColumn="0" w:firstRowLastColumn="0" w:lastRowFirstColumn="0" w:lastRowLastColumn="0"/>
            </w:pPr>
            <w:r>
              <w:t>0.896</w:t>
            </w:r>
          </w:p>
        </w:tc>
        <w:tc>
          <w:tcPr>
            <w:cnfStyle w:val="000100000000" w:firstRow="0" w:lastRow="0" w:firstColumn="0" w:lastColumn="1" w:oddVBand="0" w:evenVBand="0" w:oddHBand="0" w:evenHBand="0" w:firstRowFirstColumn="0" w:firstRowLastColumn="0" w:lastRowFirstColumn="0" w:lastRowLastColumn="0"/>
            <w:tcW w:w="0" w:type="auto"/>
          </w:tcPr>
          <w:p w14:paraId="675D02EF" w14:textId="77777777" w:rsidR="00946A27" w:rsidRDefault="00AF39C9" w:rsidP="00A04B0A">
            <w:pPr>
              <w:widowControl w:val="0"/>
              <w:pBdr>
                <w:top w:val="nil"/>
                <w:left w:val="nil"/>
                <w:bottom w:val="nil"/>
                <w:right w:val="nil"/>
                <w:between w:val="nil"/>
              </w:pBdr>
              <w:spacing w:line="480" w:lineRule="auto"/>
            </w:pPr>
            <w:r>
              <w:t>99.94 %</w:t>
            </w:r>
          </w:p>
        </w:tc>
      </w:tr>
      <w:tr w:rsidR="00946A27" w14:paraId="166EED14" w14:textId="77777777" w:rsidTr="006546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536899" w14:textId="2FC87A35" w:rsidR="00946A27" w:rsidRDefault="00AF39C9" w:rsidP="00A04B0A">
            <w:pPr>
              <w:widowControl w:val="0"/>
              <w:pBdr>
                <w:top w:val="nil"/>
                <w:left w:val="nil"/>
                <w:bottom w:val="nil"/>
                <w:right w:val="nil"/>
                <w:between w:val="nil"/>
              </w:pBdr>
              <w:spacing w:line="480" w:lineRule="auto"/>
            </w:pPr>
            <w:r>
              <w:t xml:space="preserve">time-dependent-interactions model </w:t>
            </w:r>
            <w:r w:rsidR="00654651">
              <w:t>–</w:t>
            </w:r>
            <w:r>
              <w:t xml:space="preserve"> nonlinear</w:t>
            </w:r>
          </w:p>
        </w:tc>
        <w:tc>
          <w:tcPr>
            <w:tcW w:w="0" w:type="auto"/>
          </w:tcPr>
          <w:p w14:paraId="3CE07A24"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-214.2</w:t>
            </w:r>
          </w:p>
        </w:tc>
        <w:tc>
          <w:tcPr>
            <w:tcW w:w="0" w:type="auto"/>
          </w:tcPr>
          <w:p w14:paraId="0ABA98A3"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73.8</w:t>
            </w:r>
          </w:p>
        </w:tc>
        <w:tc>
          <w:tcPr>
            <w:tcW w:w="0" w:type="auto"/>
          </w:tcPr>
          <w:p w14:paraId="337E6BB9" w14:textId="77777777" w:rsidR="00946A27" w:rsidRDefault="00AF39C9" w:rsidP="00A04B0A">
            <w:pPr>
              <w:widowControl w:val="0"/>
              <w:pBdr>
                <w:top w:val="nil"/>
                <w:left w:val="nil"/>
                <w:bottom w:val="nil"/>
                <w:right w:val="nil"/>
                <w:between w:val="nil"/>
              </w:pBdr>
              <w:spacing w:line="480" w:lineRule="auto"/>
              <w:cnfStyle w:val="000000010000" w:firstRow="0" w:lastRow="0" w:firstColumn="0" w:lastColumn="0" w:oddVBand="0" w:evenVBand="0" w:oddHBand="0" w:evenHBand="1" w:firstRowFirstColumn="0" w:firstRowLastColumn="0" w:lastRowFirstColumn="0" w:lastRowLastColumn="0"/>
            </w:pPr>
            <w:r>
              <w:t>0.998</w:t>
            </w:r>
          </w:p>
        </w:tc>
        <w:tc>
          <w:tcPr>
            <w:cnfStyle w:val="000100000000" w:firstRow="0" w:lastRow="0" w:firstColumn="0" w:lastColumn="1" w:oddVBand="0" w:evenVBand="0" w:oddHBand="0" w:evenHBand="0" w:firstRowFirstColumn="0" w:firstRowLastColumn="0" w:lastRowFirstColumn="0" w:lastRowLastColumn="0"/>
            <w:tcW w:w="0" w:type="auto"/>
          </w:tcPr>
          <w:p w14:paraId="13F76F20" w14:textId="77777777" w:rsidR="00946A27" w:rsidRDefault="00AF39C9" w:rsidP="00A04B0A">
            <w:pPr>
              <w:widowControl w:val="0"/>
              <w:pBdr>
                <w:top w:val="nil"/>
                <w:left w:val="nil"/>
                <w:bottom w:val="nil"/>
                <w:right w:val="nil"/>
                <w:between w:val="nil"/>
              </w:pBdr>
              <w:spacing w:line="480" w:lineRule="auto"/>
            </w:pPr>
            <w:r>
              <w:t>99.79 %</w:t>
            </w:r>
          </w:p>
        </w:tc>
      </w:tr>
    </w:tbl>
    <w:p w14:paraId="3889D290" w14:textId="77777777" w:rsidR="00946A27" w:rsidRDefault="00946A27" w:rsidP="00A04B0A">
      <w:pPr>
        <w:spacing w:before="240" w:after="240" w:line="480" w:lineRule="auto"/>
      </w:pPr>
    </w:p>
    <w:p w14:paraId="2A7EB745" w14:textId="77777777" w:rsidR="0008004D" w:rsidRDefault="0008004D" w:rsidP="00A04B0A">
      <w:pPr>
        <w:spacing w:before="240" w:after="240" w:line="480" w:lineRule="auto"/>
      </w:pPr>
    </w:p>
    <w:p w14:paraId="7BEFB6A9" w14:textId="77777777" w:rsidR="0008004D" w:rsidRDefault="0008004D" w:rsidP="00A04B0A">
      <w:pPr>
        <w:spacing w:before="240" w:after="240" w:line="480" w:lineRule="auto"/>
      </w:pPr>
    </w:p>
    <w:p w14:paraId="1A6BB869" w14:textId="77777777" w:rsidR="0008004D" w:rsidRDefault="0008004D" w:rsidP="00A04B0A">
      <w:pPr>
        <w:spacing w:before="240" w:after="240" w:line="480" w:lineRule="auto"/>
      </w:pPr>
    </w:p>
    <w:p w14:paraId="5D7E0C46" w14:textId="77777777" w:rsidR="0008004D" w:rsidRDefault="0008004D" w:rsidP="00A04B0A">
      <w:pPr>
        <w:spacing w:before="240" w:after="240" w:line="480" w:lineRule="auto"/>
      </w:pPr>
    </w:p>
    <w:p w14:paraId="5E3385AB" w14:textId="77777777" w:rsidR="0008004D" w:rsidRDefault="0008004D" w:rsidP="00A04B0A">
      <w:pPr>
        <w:spacing w:before="240" w:after="240" w:line="480" w:lineRule="auto"/>
      </w:pPr>
    </w:p>
    <w:p w14:paraId="1A5F9DEE" w14:textId="6070B097" w:rsidR="00946A27" w:rsidRDefault="00AF39C9" w:rsidP="00A04B0A">
      <w:pPr>
        <w:spacing w:before="240" w:after="240" w:line="480" w:lineRule="auto"/>
      </w:pPr>
      <w:r>
        <w:lastRenderedPageBreak/>
        <w:t xml:space="preserve">Supplementary Table 4: Differences of mean individual biomass increments between the average most diverse polyculture (eight species) and the average monoculture per year, </w:t>
      </w:r>
      <m:oMath>
        <m:sSub>
          <m:sSubPr>
            <m:ctrlPr>
              <w:rPr>
                <w:rFonts w:ascii="Cambria Math" w:hAnsi="Cambria Math"/>
              </w:rPr>
            </m:ctrlPr>
          </m:sSubPr>
          <m:e>
            <m:r>
              <w:rPr>
                <w:rFonts w:ascii="Cambria Math" w:hAnsi="Cambria Math"/>
              </w:rPr>
              <m:t>ΔP</m:t>
            </m:r>
          </m:e>
          <m:sub>
            <m:r>
              <w:rPr>
                <w:rFonts w:ascii="Cambria Math" w:hAnsi="Cambria Math"/>
              </w:rPr>
              <m:t>t</m:t>
            </m:r>
          </m:sub>
        </m:sSub>
      </m:oMath>
      <w:r>
        <w:t xml:space="preserve"> (gram biomass per tree individual). We calculated this per virtual BEF experiment and report means +/- standard errors.</w:t>
      </w:r>
    </w:p>
    <w:tbl>
      <w:tblPr>
        <w:tblStyle w:val="MyTable1"/>
        <w:tblW w:w="0" w:type="auto"/>
        <w:tblLook w:val="05A0" w:firstRow="1" w:lastRow="0" w:firstColumn="1" w:lastColumn="1" w:noHBand="0" w:noVBand="1"/>
      </w:tblPr>
      <w:tblGrid>
        <w:gridCol w:w="1722"/>
        <w:gridCol w:w="1134"/>
        <w:gridCol w:w="1195"/>
        <w:gridCol w:w="1195"/>
        <w:gridCol w:w="1195"/>
        <w:gridCol w:w="1317"/>
        <w:gridCol w:w="1317"/>
      </w:tblGrid>
      <w:tr w:rsidR="00946A27" w14:paraId="372B4FDD" w14:textId="77777777" w:rsidTr="006546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3A6F1A" w14:textId="77777777" w:rsidR="00946A27" w:rsidRDefault="00AF39C9" w:rsidP="00A04B0A">
            <w:pPr>
              <w:widowControl w:val="0"/>
              <w:spacing w:line="480" w:lineRule="auto"/>
            </w:pPr>
            <w:r>
              <w:t>Scenario</w:t>
            </w:r>
          </w:p>
        </w:tc>
        <w:tc>
          <w:tcPr>
            <w:tcW w:w="0" w:type="auto"/>
          </w:tcPr>
          <w:p w14:paraId="19C528C4"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pPr>
            <w:r>
              <w:t>Year 1</w:t>
            </w:r>
          </w:p>
        </w:tc>
        <w:tc>
          <w:tcPr>
            <w:tcW w:w="0" w:type="auto"/>
          </w:tcPr>
          <w:p w14:paraId="3BB9A565"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pPr>
            <w:r>
              <w:t>Year 2</w:t>
            </w:r>
          </w:p>
        </w:tc>
        <w:tc>
          <w:tcPr>
            <w:tcW w:w="0" w:type="auto"/>
          </w:tcPr>
          <w:p w14:paraId="5C0AE463"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pPr>
            <w:r>
              <w:t>Year 3</w:t>
            </w:r>
          </w:p>
        </w:tc>
        <w:tc>
          <w:tcPr>
            <w:tcW w:w="0" w:type="auto"/>
          </w:tcPr>
          <w:p w14:paraId="28E89BDC"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pPr>
            <w:r>
              <w:t>Year 4</w:t>
            </w:r>
          </w:p>
        </w:tc>
        <w:tc>
          <w:tcPr>
            <w:tcW w:w="0" w:type="auto"/>
          </w:tcPr>
          <w:p w14:paraId="7EAFFDFE" w14:textId="77777777" w:rsidR="00946A27" w:rsidRDefault="00AF39C9" w:rsidP="00A04B0A">
            <w:pPr>
              <w:widowControl w:val="0"/>
              <w:spacing w:line="480" w:lineRule="auto"/>
              <w:cnfStyle w:val="100000000000" w:firstRow="1" w:lastRow="0" w:firstColumn="0" w:lastColumn="0" w:oddVBand="0" w:evenVBand="0" w:oddHBand="0" w:evenHBand="0" w:firstRowFirstColumn="0" w:firstRowLastColumn="0" w:lastRowFirstColumn="0" w:lastRowLastColumn="0"/>
            </w:pPr>
            <w:r>
              <w:t>Year 5</w:t>
            </w:r>
          </w:p>
        </w:tc>
        <w:tc>
          <w:tcPr>
            <w:cnfStyle w:val="000100000000" w:firstRow="0" w:lastRow="0" w:firstColumn="0" w:lastColumn="1" w:oddVBand="0" w:evenVBand="0" w:oddHBand="0" w:evenHBand="0" w:firstRowFirstColumn="0" w:firstRowLastColumn="0" w:lastRowFirstColumn="0" w:lastRowLastColumn="0"/>
            <w:tcW w:w="0" w:type="auto"/>
          </w:tcPr>
          <w:p w14:paraId="40AFE685" w14:textId="77777777" w:rsidR="00946A27" w:rsidRDefault="00AF39C9" w:rsidP="00A04B0A">
            <w:pPr>
              <w:widowControl w:val="0"/>
              <w:spacing w:line="480" w:lineRule="auto"/>
            </w:pPr>
            <w:r>
              <w:t>Year 6</w:t>
            </w:r>
          </w:p>
        </w:tc>
      </w:tr>
      <w:tr w:rsidR="00946A27" w14:paraId="7E6A4C8F" w14:textId="77777777" w:rsidTr="00654651">
        <w:tc>
          <w:tcPr>
            <w:cnfStyle w:val="001000000000" w:firstRow="0" w:lastRow="0" w:firstColumn="1" w:lastColumn="0" w:oddVBand="0" w:evenVBand="0" w:oddHBand="0" w:evenHBand="0" w:firstRowFirstColumn="0" w:firstRowLastColumn="0" w:lastRowFirstColumn="0" w:lastRowLastColumn="0"/>
            <w:tcW w:w="0" w:type="auto"/>
          </w:tcPr>
          <w:p w14:paraId="13A39912" w14:textId="77777777" w:rsidR="00946A27" w:rsidRDefault="00AF39C9" w:rsidP="00A04B0A">
            <w:pPr>
              <w:widowControl w:val="0"/>
              <w:spacing w:line="480" w:lineRule="auto"/>
            </w:pPr>
            <w:r>
              <w:t>Unshuffled</w:t>
            </w:r>
          </w:p>
        </w:tc>
        <w:tc>
          <w:tcPr>
            <w:tcW w:w="0" w:type="auto"/>
          </w:tcPr>
          <w:p w14:paraId="0633FB78"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4.28 +/- 0.26</w:t>
            </w:r>
          </w:p>
        </w:tc>
        <w:tc>
          <w:tcPr>
            <w:tcW w:w="0" w:type="auto"/>
          </w:tcPr>
          <w:p w14:paraId="1342D95A"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12.84 +/- 0.52</w:t>
            </w:r>
          </w:p>
        </w:tc>
        <w:tc>
          <w:tcPr>
            <w:tcW w:w="0" w:type="auto"/>
          </w:tcPr>
          <w:p w14:paraId="0699125D"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29.82 +/- 0.99</w:t>
            </w:r>
          </w:p>
        </w:tc>
        <w:tc>
          <w:tcPr>
            <w:tcW w:w="0" w:type="auto"/>
          </w:tcPr>
          <w:p w14:paraId="396223E5"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59.68 +/- 1.79</w:t>
            </w:r>
          </w:p>
        </w:tc>
        <w:tc>
          <w:tcPr>
            <w:tcW w:w="0" w:type="auto"/>
          </w:tcPr>
          <w:p w14:paraId="0507E52E"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107.82 +/- 3.12</w:t>
            </w:r>
          </w:p>
        </w:tc>
        <w:tc>
          <w:tcPr>
            <w:cnfStyle w:val="000100000000" w:firstRow="0" w:lastRow="0" w:firstColumn="0" w:lastColumn="1" w:oddVBand="0" w:evenVBand="0" w:oddHBand="0" w:evenHBand="0" w:firstRowFirstColumn="0" w:firstRowLastColumn="0" w:lastRowFirstColumn="0" w:lastRowLastColumn="0"/>
            <w:tcW w:w="0" w:type="auto"/>
          </w:tcPr>
          <w:p w14:paraId="1AEFD926" w14:textId="77777777" w:rsidR="00946A27" w:rsidRDefault="00AF39C9" w:rsidP="00A04B0A">
            <w:pPr>
              <w:widowControl w:val="0"/>
              <w:spacing w:line="480" w:lineRule="auto"/>
            </w:pPr>
            <w:r>
              <w:t>180.47 +/- 5.22</w:t>
            </w:r>
          </w:p>
        </w:tc>
      </w:tr>
      <w:tr w:rsidR="00946A27" w14:paraId="1C8D4AD4" w14:textId="77777777" w:rsidTr="006546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080E46" w14:textId="77777777" w:rsidR="00946A27" w:rsidRDefault="00AF39C9" w:rsidP="00A04B0A">
            <w:pPr>
              <w:widowControl w:val="0"/>
              <w:spacing w:line="480" w:lineRule="auto"/>
            </w:pPr>
            <w:r>
              <w:t>Time-shuffled</w:t>
            </w:r>
          </w:p>
        </w:tc>
        <w:tc>
          <w:tcPr>
            <w:tcW w:w="0" w:type="auto"/>
          </w:tcPr>
          <w:p w14:paraId="031864E1"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5.95 +/- 0.26</w:t>
            </w:r>
          </w:p>
        </w:tc>
        <w:tc>
          <w:tcPr>
            <w:tcW w:w="0" w:type="auto"/>
          </w:tcPr>
          <w:p w14:paraId="59E2D039"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15.72 +/- 0.51</w:t>
            </w:r>
          </w:p>
        </w:tc>
        <w:tc>
          <w:tcPr>
            <w:tcW w:w="0" w:type="auto"/>
          </w:tcPr>
          <w:p w14:paraId="6D5AF54C"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34.18 +/- 0.97</w:t>
            </w:r>
          </w:p>
        </w:tc>
        <w:tc>
          <w:tcPr>
            <w:tcW w:w="0" w:type="auto"/>
          </w:tcPr>
          <w:p w14:paraId="5581463D"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65.60 +/- 1.75</w:t>
            </w:r>
          </w:p>
        </w:tc>
        <w:tc>
          <w:tcPr>
            <w:tcW w:w="0" w:type="auto"/>
          </w:tcPr>
          <w:p w14:paraId="5B708613"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115.28 +/- 3.04</w:t>
            </w:r>
          </w:p>
        </w:tc>
        <w:tc>
          <w:tcPr>
            <w:cnfStyle w:val="000100000000" w:firstRow="0" w:lastRow="0" w:firstColumn="0" w:lastColumn="1" w:oddVBand="0" w:evenVBand="0" w:oddHBand="0" w:evenHBand="0" w:firstRowFirstColumn="0" w:firstRowLastColumn="0" w:lastRowFirstColumn="0" w:lastRowLastColumn="0"/>
            <w:tcW w:w="0" w:type="auto"/>
          </w:tcPr>
          <w:p w14:paraId="06D460AC" w14:textId="77777777" w:rsidR="00946A27" w:rsidRDefault="00AF39C9" w:rsidP="00A04B0A">
            <w:pPr>
              <w:widowControl w:val="0"/>
              <w:spacing w:line="480" w:lineRule="auto"/>
            </w:pPr>
            <w:r>
              <w:t>189.07 +/- 5.08</w:t>
            </w:r>
          </w:p>
        </w:tc>
      </w:tr>
      <w:tr w:rsidR="00946A27" w14:paraId="4676EEE2" w14:textId="77777777" w:rsidTr="00654651">
        <w:tc>
          <w:tcPr>
            <w:cnfStyle w:val="001000000000" w:firstRow="0" w:lastRow="0" w:firstColumn="1" w:lastColumn="0" w:oddVBand="0" w:evenVBand="0" w:oddHBand="0" w:evenHBand="0" w:firstRowFirstColumn="0" w:firstRowLastColumn="0" w:lastRowFirstColumn="0" w:lastRowLastColumn="0"/>
            <w:tcW w:w="0" w:type="auto"/>
          </w:tcPr>
          <w:p w14:paraId="737C5E29" w14:textId="77777777" w:rsidR="00946A27" w:rsidRDefault="00AF39C9" w:rsidP="00A04B0A">
            <w:pPr>
              <w:widowControl w:val="0"/>
              <w:spacing w:line="480" w:lineRule="auto"/>
            </w:pPr>
            <w:r>
              <w:t>Interaction-shuffled</w:t>
            </w:r>
          </w:p>
        </w:tc>
        <w:tc>
          <w:tcPr>
            <w:tcW w:w="0" w:type="auto"/>
          </w:tcPr>
          <w:p w14:paraId="05353F1D"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-0.60 +/- 0.33</w:t>
            </w:r>
          </w:p>
        </w:tc>
        <w:tc>
          <w:tcPr>
            <w:tcW w:w="0" w:type="auto"/>
          </w:tcPr>
          <w:p w14:paraId="66C2E485"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-1.51 +/- 0.73</w:t>
            </w:r>
          </w:p>
        </w:tc>
        <w:tc>
          <w:tcPr>
            <w:tcW w:w="0" w:type="auto"/>
          </w:tcPr>
          <w:p w14:paraId="5DC5A9DE"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-2.63 +/- 1.44</w:t>
            </w:r>
          </w:p>
        </w:tc>
        <w:tc>
          <w:tcPr>
            <w:tcW w:w="0" w:type="auto"/>
          </w:tcPr>
          <w:p w14:paraId="0312848A"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-4.02 +/- 2.63</w:t>
            </w:r>
          </w:p>
        </w:tc>
        <w:tc>
          <w:tcPr>
            <w:tcW w:w="0" w:type="auto"/>
          </w:tcPr>
          <w:p w14:paraId="78736245" w14:textId="77777777" w:rsidR="00946A27" w:rsidRDefault="00AF39C9" w:rsidP="00A04B0A">
            <w:pPr>
              <w:widowControl w:val="0"/>
              <w:spacing w:line="480" w:lineRule="auto"/>
              <w:cnfStyle w:val="000000000000" w:firstRow="0" w:lastRow="0" w:firstColumn="0" w:lastColumn="0" w:oddVBand="0" w:evenVBand="0" w:oddHBand="0" w:evenHBand="0" w:firstRowFirstColumn="0" w:firstRowLastColumn="0" w:lastRowFirstColumn="0" w:lastRowLastColumn="0"/>
            </w:pPr>
            <w:r>
              <w:t>-5.70 +/- 4.53</w:t>
            </w:r>
          </w:p>
        </w:tc>
        <w:tc>
          <w:tcPr>
            <w:cnfStyle w:val="000100000000" w:firstRow="0" w:lastRow="0" w:firstColumn="0" w:lastColumn="1" w:oddVBand="0" w:evenVBand="0" w:oddHBand="0" w:evenHBand="0" w:firstRowFirstColumn="0" w:firstRowLastColumn="0" w:lastRowFirstColumn="0" w:lastRowLastColumn="0"/>
            <w:tcW w:w="0" w:type="auto"/>
          </w:tcPr>
          <w:p w14:paraId="7D8DDD7D" w14:textId="77777777" w:rsidR="00946A27" w:rsidRDefault="00AF39C9" w:rsidP="00A04B0A">
            <w:pPr>
              <w:widowControl w:val="0"/>
              <w:spacing w:line="480" w:lineRule="auto"/>
            </w:pPr>
            <w:r>
              <w:t>-7.75 +/- 7.41</w:t>
            </w:r>
          </w:p>
        </w:tc>
      </w:tr>
      <w:tr w:rsidR="00946A27" w14:paraId="7A317EB6" w14:textId="77777777" w:rsidTr="006546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B73249" w14:textId="77777777" w:rsidR="00946A27" w:rsidRDefault="00AF39C9" w:rsidP="00A04B0A">
            <w:pPr>
              <w:widowControl w:val="0"/>
              <w:spacing w:line="480" w:lineRule="auto"/>
            </w:pPr>
            <w:r>
              <w:t>Biomass-shuffled</w:t>
            </w:r>
          </w:p>
        </w:tc>
        <w:tc>
          <w:tcPr>
            <w:tcW w:w="0" w:type="auto"/>
          </w:tcPr>
          <w:p w14:paraId="1E1100B9"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4.35 +/- 0.29</w:t>
            </w:r>
          </w:p>
        </w:tc>
        <w:tc>
          <w:tcPr>
            <w:tcW w:w="0" w:type="auto"/>
          </w:tcPr>
          <w:p w14:paraId="0D5589C2"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5.89 +/- 0.55</w:t>
            </w:r>
          </w:p>
        </w:tc>
        <w:tc>
          <w:tcPr>
            <w:tcW w:w="0" w:type="auto"/>
          </w:tcPr>
          <w:p w14:paraId="25929512"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8.96 +/- 0.97</w:t>
            </w:r>
          </w:p>
        </w:tc>
        <w:tc>
          <w:tcPr>
            <w:tcW w:w="0" w:type="auto"/>
          </w:tcPr>
          <w:p w14:paraId="036D92DC"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13.21 +/- 1.84</w:t>
            </w:r>
          </w:p>
        </w:tc>
        <w:tc>
          <w:tcPr>
            <w:tcW w:w="0" w:type="auto"/>
          </w:tcPr>
          <w:p w14:paraId="1DA7A1B2" w14:textId="77777777" w:rsidR="00946A27" w:rsidRDefault="00AF39C9" w:rsidP="00A04B0A">
            <w:pPr>
              <w:widowControl w:val="0"/>
              <w:spacing w:line="480" w:lineRule="auto"/>
              <w:cnfStyle w:val="000000010000" w:firstRow="0" w:lastRow="0" w:firstColumn="0" w:lastColumn="0" w:oddVBand="0" w:evenVBand="0" w:oddHBand="0" w:evenHBand="1" w:firstRowFirstColumn="0" w:firstRowLastColumn="0" w:lastRowFirstColumn="0" w:lastRowLastColumn="0"/>
            </w:pPr>
            <w:r>
              <w:t>16.50 +/- 3.01</w:t>
            </w:r>
          </w:p>
        </w:tc>
        <w:tc>
          <w:tcPr>
            <w:cnfStyle w:val="000100000000" w:firstRow="0" w:lastRow="0" w:firstColumn="0" w:lastColumn="1" w:oddVBand="0" w:evenVBand="0" w:oddHBand="0" w:evenHBand="0" w:firstRowFirstColumn="0" w:firstRowLastColumn="0" w:lastRowFirstColumn="0" w:lastRowLastColumn="0"/>
            <w:tcW w:w="0" w:type="auto"/>
          </w:tcPr>
          <w:p w14:paraId="42F2DDBD" w14:textId="77777777" w:rsidR="00946A27" w:rsidRDefault="00AF39C9" w:rsidP="00A04B0A">
            <w:pPr>
              <w:widowControl w:val="0"/>
              <w:spacing w:line="480" w:lineRule="auto"/>
            </w:pPr>
            <w:r>
              <w:t>27.98 +/- 4.88</w:t>
            </w:r>
          </w:p>
        </w:tc>
      </w:tr>
    </w:tbl>
    <w:p w14:paraId="57D71143" w14:textId="77777777" w:rsidR="00946A27" w:rsidRDefault="00946A27" w:rsidP="00A04B0A">
      <w:pPr>
        <w:spacing w:line="480" w:lineRule="auto"/>
      </w:pPr>
    </w:p>
    <w:p w14:paraId="70BE2EFF" w14:textId="1D26D08F" w:rsidR="00946A27" w:rsidRDefault="00946A27" w:rsidP="00A04B0A">
      <w:pPr>
        <w:spacing w:line="480" w:lineRule="auto"/>
      </w:pPr>
    </w:p>
    <w:p w14:paraId="4B1DEFE9" w14:textId="52D3D915" w:rsidR="00946A27" w:rsidRDefault="00946A27" w:rsidP="00A04B0A">
      <w:pPr>
        <w:spacing w:line="480" w:lineRule="auto"/>
      </w:pPr>
    </w:p>
    <w:p w14:paraId="243BEF98" w14:textId="1921DE1C" w:rsidR="0008004D" w:rsidRDefault="0008004D" w:rsidP="00A04B0A">
      <w:pPr>
        <w:spacing w:line="480" w:lineRule="auto"/>
      </w:pPr>
    </w:p>
    <w:p w14:paraId="435289A0" w14:textId="77777777" w:rsidR="0008004D" w:rsidRDefault="0008004D" w:rsidP="00A04B0A">
      <w:pPr>
        <w:spacing w:line="480" w:lineRule="auto"/>
      </w:pPr>
    </w:p>
    <w:p w14:paraId="5689A079" w14:textId="77777777" w:rsidR="00946A27" w:rsidRDefault="00AF39C9" w:rsidP="00A04B0A">
      <w:pPr>
        <w:spacing w:line="480" w:lineRule="auto"/>
        <w:jc w:val="center"/>
      </w:pPr>
      <w:r>
        <w:rPr>
          <w:noProof/>
        </w:rPr>
        <w:lastRenderedPageBreak/>
        <w:drawing>
          <wp:inline distT="114300" distB="114300" distL="114300" distR="114300" wp14:anchorId="152F6FB0" wp14:editId="57DC619E">
            <wp:extent cx="3919538" cy="3118872"/>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919538" cy="3118872"/>
                    </a:xfrm>
                    <a:prstGeom prst="rect">
                      <a:avLst/>
                    </a:prstGeom>
                    <a:ln/>
                  </pic:spPr>
                </pic:pic>
              </a:graphicData>
            </a:graphic>
          </wp:inline>
        </w:drawing>
      </w:r>
    </w:p>
    <w:p w14:paraId="78DE3232" w14:textId="68D199F9" w:rsidR="00946A27" w:rsidRDefault="00AF39C9" w:rsidP="00A04B0A">
      <w:pPr>
        <w:spacing w:line="480" w:lineRule="auto"/>
      </w:pPr>
      <w:r>
        <w:t xml:space="preserve">Supplementary Figure 1: The random extinction sequence, i.e. species compositions, of our subsample of the random extinction scenario A1 from BEF-China (cropped from Bruelheide et al. </w:t>
      </w:r>
      <w:r w:rsidR="009D43C3">
        <w:fldChar w:fldCharType="begin"/>
      </w:r>
      <w:r w:rsidR="005D0B9A">
        <w:instrText xml:space="preserve"> ADDIN ZOTERO_ITEM CSL_CITATION {"citationID":"kpxFhaEm","properties":{"unsorted":false,"formattedCitation":"\\super 2\\nosupersub{}","plainCitation":"2","noteIndex":0},"citationItems":[{"id":2448,"uris":["http://zotero.org/users/2540212/items/F873SCQJ"],"itemData":{"id":2448,"type":"article-journal","abstract":"Biodiversity–ecosystem functioning (BEF) experiments address ecosystem-level consequences of species loss by comparing communities of high species richness with communities from which species have been gradually eliminated. BEF experiments originally started with microcosms in the laboratory and with grassland ecosystems. A new frontier in experimental BEF research is manipulating tree diversity in forest ecosystems, compelling researchers to think big and comprehensively. We present and discuss some of the major issues to be considered in the design of BEF experiments with trees and illustrate these with a new forest biodiversity experiment established in subtropical China (Xingangshan, Jiangxi Province) in 2009/2010. Using a pool of 40 tree species, extinction scenarios were simulated with tree richness levels of 1, 2, 4, 8 and 16 species on a total of 566 plots of 25·8 × 25·8 m each. The goal of this experiment is to estimate effects of tree and shrub species richness on carbon storage and soil erosion; therefore, the experiment was established on sloped terrain. The following important design choices were made: (i) establishing many small rather than fewer larger plots, (ii) using high planting density and random mixing of species rather than lower planting density and patchwise mixing of species, (iii) establishing a map of the initial ‘ecoscape’ to characterize site heterogeneity before the onset of biodiversity effects and (iv) manipulating tree species richness not only in random but also in trait-oriented extinction scenarios. Data management and analysis are particularly challenging in BEF experiments with their hierarchical designs nesting individuals within-species populations within plots within-species compositions. Statistical analysis best proceeds by partitioning these random terms into fixed-term contrasts, for example, species composition into contrasts for species richness and the presence of particular functional groups, which can then be tested against the remaining random variation among compositions. We conclude that forest BEF experiments provide exciting and timely research options. They especially require careful thinking to allow multiple disciplines to measure and analyse data jointly and effectively. Achieving specific research goals and synergy with previous experiments involves trade-offs between different designs and requires manifold design decisions.","container-title":"Methods in Ecology and Evolution","DOI":"10.1111/2041-210X.12126","ISSN":"2041-210X","issue":"1","language":"en","license":"© 2013 The Authors. Methods in Ecology and Evolution published by John Wiley &amp; Sons Ltd on behalf of British Ecological Society","note":"_eprint: https://onlinelibrary.wiley.com/doi/pdf/10.1111/2041-210X.12126","page":"74-89","source":"Wiley Online Library","title":"Designing forest biodiversity experiments: general considerations illustrated by a new large experiment in subtropical China","title-short":"Designing forest biodiversity experiments","volume":"5","author":[{"family":"Bruelheide","given":"Helge"},{"family":"Nadrowski","given":"Karin"},{"family":"Assmann","given":"Thorsten"},{"family":"Bauhus","given":"Jürgen"},{"family":"Both","given":"Sabine"},{"family":"Buscot","given":"François"},{"family":"Chen","given":"Xiao-Yong"},{"family":"Ding","given":"Bingyang"},{"family":"Durka","given":"Walter"},{"family":"Erfmeier","given":"Alexandra"},{"family":"Gutknecht","given":"Jessica L. M."},{"family":"Guo","given":"Dali"},{"family":"Guo","given":"Liang-Dong"},{"family":"Härdtle","given":"Werner"},{"family":"He","given":"Jin-Sheng"},{"family":"Klein","given":"Alexandra-Maria"},{"family":"Kühn","given":"Peter"},{"family":"Liang","given":"Yu"},{"family":"Liu","given":"Xiaojuan"},{"family":"Michalski","given":"Stefan"},{"family":"Niklaus","given":"Pascal A."},{"family":"Pei","given":"Kequan"},{"family":"Scherer-Lorenzen","given":"Michael"},{"family":"Scholten","given":"Thomas"},{"family":"Schuldt","given":"Andreas"},{"family":"Seidler","given":"Gunnar"},{"family":"Trogisch","given":"Stefan"},{"family":"Oheimb","given":"Goddert","non-dropping-particle":"von"},{"family":"Welk","given":"Erik"},{"family":"Wirth","given":"Christian"},{"family":"Wubet","given":"Tesfaye"},{"family":"Yang","given":"Xuefei"},{"family":"Yu","given":"Mingjian"},{"family":"Zhang","given":"Shouren"},{"family":"Zhou","given":"Hongzhang"},{"family":"Fischer","given":"Markus"},{"family":"Ma","given":"Keping"},{"family":"Schmid","given":"Bernhard"}],"issued":{"date-parts":[["2014"]]}}}],"schema":"https://github.com/citation-style-language/schema/raw/master/csl-citation.json"} </w:instrText>
      </w:r>
      <w:r w:rsidR="009D43C3">
        <w:fldChar w:fldCharType="separate"/>
      </w:r>
      <w:r w:rsidR="005D0B9A" w:rsidRPr="005D0B9A">
        <w:rPr>
          <w:szCs w:val="24"/>
          <w:vertAlign w:val="superscript"/>
        </w:rPr>
        <w:t>2</w:t>
      </w:r>
      <w:r w:rsidR="009D43C3">
        <w:fldChar w:fldCharType="end"/>
      </w:r>
      <w:r>
        <w:t>). Find the respective species nomenclature in Supplementary Tab. 1.</w:t>
      </w:r>
    </w:p>
    <w:p w14:paraId="7F38AC1C" w14:textId="46EF8F41" w:rsidR="00946A27" w:rsidRDefault="00946A27" w:rsidP="00A04B0A">
      <w:pPr>
        <w:spacing w:line="480" w:lineRule="auto"/>
      </w:pPr>
    </w:p>
    <w:p w14:paraId="6F57802F" w14:textId="77777777" w:rsidR="0008004D" w:rsidRDefault="0008004D" w:rsidP="00A04B0A">
      <w:pPr>
        <w:spacing w:line="480" w:lineRule="auto"/>
      </w:pPr>
    </w:p>
    <w:p w14:paraId="3C2FA96E" w14:textId="77777777" w:rsidR="00946A27" w:rsidRDefault="00AF39C9" w:rsidP="00A04B0A">
      <w:pPr>
        <w:spacing w:line="480" w:lineRule="auto"/>
        <w:jc w:val="center"/>
      </w:pPr>
      <w:r>
        <w:rPr>
          <w:noProof/>
        </w:rPr>
        <w:lastRenderedPageBreak/>
        <w:drawing>
          <wp:inline distT="114300" distB="114300" distL="114300" distR="114300" wp14:anchorId="3C99CA75" wp14:editId="72F8BF18">
            <wp:extent cx="5731200" cy="42926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731200" cy="4292600"/>
                    </a:xfrm>
                    <a:prstGeom prst="rect">
                      <a:avLst/>
                    </a:prstGeom>
                    <a:ln/>
                  </pic:spPr>
                </pic:pic>
              </a:graphicData>
            </a:graphic>
          </wp:inline>
        </w:drawing>
      </w:r>
    </w:p>
    <w:p w14:paraId="0B83B329" w14:textId="77777777" w:rsidR="00946A27" w:rsidRDefault="00AF39C9" w:rsidP="00A04B0A">
      <w:pPr>
        <w:spacing w:line="480" w:lineRule="auto"/>
      </w:pPr>
      <w:r>
        <w:t>Supplementary Figure 2: Trace plots of the NUTS sampler for the different time effect parameters of our focal model: intraspecific, interspecific facilitative, and interspecific competitive. Here, the 8000 iterations post-warm-up are shown. If the chains (different colours) overlap, they covered the same parameter space, leading to convergence of the model.</w:t>
      </w:r>
    </w:p>
    <w:p w14:paraId="567CE956" w14:textId="77777777" w:rsidR="00946A27" w:rsidRDefault="00AF39C9" w:rsidP="00A04B0A">
      <w:pPr>
        <w:spacing w:line="480" w:lineRule="auto"/>
        <w:jc w:val="center"/>
      </w:pPr>
      <w:r>
        <w:rPr>
          <w:noProof/>
        </w:rPr>
        <w:lastRenderedPageBreak/>
        <w:drawing>
          <wp:inline distT="114300" distB="114300" distL="114300" distR="114300" wp14:anchorId="4BC7FEB1" wp14:editId="5282B99F">
            <wp:extent cx="5731200" cy="42926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731200" cy="4292600"/>
                    </a:xfrm>
                    <a:prstGeom prst="rect">
                      <a:avLst/>
                    </a:prstGeom>
                    <a:ln/>
                  </pic:spPr>
                </pic:pic>
              </a:graphicData>
            </a:graphic>
          </wp:inline>
        </w:drawing>
      </w:r>
    </w:p>
    <w:p w14:paraId="11105FFD" w14:textId="77777777" w:rsidR="00946A27" w:rsidRDefault="00AF39C9" w:rsidP="00A04B0A">
      <w:pPr>
        <w:spacing w:line="480" w:lineRule="auto"/>
      </w:pPr>
      <w:r>
        <w:t>Supplementary Figure 3: Density plots of the estimates for the different time effect parameters of our focal model: intraspecific, interspecific facilitative, and interspecific competitive. The short vertical black line displays the respective mean point estimate, the colour-filled space the 80%, and the lines the 95% credibility intervals of the posterior distribution.</w:t>
      </w:r>
    </w:p>
    <w:p w14:paraId="3C3F14EC" w14:textId="77777777" w:rsidR="00946A27" w:rsidRDefault="00946A27" w:rsidP="00A04B0A">
      <w:pPr>
        <w:spacing w:line="480" w:lineRule="auto"/>
      </w:pPr>
    </w:p>
    <w:p w14:paraId="5B127B6C" w14:textId="77777777" w:rsidR="00946A27" w:rsidRDefault="00AF39C9" w:rsidP="00A04B0A">
      <w:pPr>
        <w:spacing w:before="240" w:after="240" w:line="480" w:lineRule="auto"/>
      </w:pPr>
      <w:r>
        <w:rPr>
          <w:noProof/>
        </w:rPr>
        <w:lastRenderedPageBreak/>
        <w:drawing>
          <wp:inline distT="114300" distB="114300" distL="114300" distR="114300" wp14:anchorId="7C17E31F" wp14:editId="3B711EB6">
            <wp:extent cx="6480000" cy="55118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6480000" cy="5511800"/>
                    </a:xfrm>
                    <a:prstGeom prst="rect">
                      <a:avLst/>
                    </a:prstGeom>
                    <a:ln/>
                  </pic:spPr>
                </pic:pic>
              </a:graphicData>
            </a:graphic>
          </wp:inline>
        </w:drawing>
      </w:r>
    </w:p>
    <w:p w14:paraId="6F15C855" w14:textId="77777777" w:rsidR="00946A27" w:rsidRDefault="00AF39C9" w:rsidP="00A04B0A">
      <w:pPr>
        <w:spacing w:before="240" w:after="240" w:line="480" w:lineRule="auto"/>
        <w:rPr>
          <w:u w:val="single"/>
        </w:rPr>
      </w:pPr>
      <w:r>
        <w:t>Supplementary Figure 4: Model assumption checks and posterior predictive check based on iteration medians. (a) Residuals along next year’s biomass predictions (both on log-scale). (b) Quantile-quantile plot to check normality. (c) Observed next year’s biomass follows the predicted next year’s biomass (both on log-scale) well, indicating a good model fit. (d) The observed distribution of next year’s biomass falls within the predicted distributions of next year’s biomass from 1000 random iteration draws, which indicates a good model fit.</w:t>
      </w:r>
    </w:p>
    <w:p w14:paraId="31B34683" w14:textId="77777777" w:rsidR="00946A27" w:rsidRDefault="00946A27" w:rsidP="00A04B0A">
      <w:pPr>
        <w:spacing w:before="240" w:after="240" w:line="480" w:lineRule="auto"/>
      </w:pPr>
    </w:p>
    <w:p w14:paraId="45A4DD24" w14:textId="77777777" w:rsidR="00946A27" w:rsidRDefault="00AF39C9" w:rsidP="00A04B0A">
      <w:pPr>
        <w:spacing w:before="240" w:after="240" w:line="480" w:lineRule="auto"/>
      </w:pPr>
      <w:r>
        <w:rPr>
          <w:noProof/>
        </w:rPr>
        <w:lastRenderedPageBreak/>
        <w:drawing>
          <wp:inline distT="114300" distB="114300" distL="114300" distR="114300" wp14:anchorId="7DB40F18" wp14:editId="7FB409E5">
            <wp:extent cx="5731200" cy="47752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731200" cy="4775200"/>
                    </a:xfrm>
                    <a:prstGeom prst="rect">
                      <a:avLst/>
                    </a:prstGeom>
                    <a:ln/>
                  </pic:spPr>
                </pic:pic>
              </a:graphicData>
            </a:graphic>
          </wp:inline>
        </w:drawing>
      </w:r>
    </w:p>
    <w:p w14:paraId="60C487D7" w14:textId="77777777" w:rsidR="00946A27" w:rsidRDefault="00AF39C9" w:rsidP="00A04B0A">
      <w:pPr>
        <w:spacing w:before="240" w:after="240" w:line="480" w:lineRule="auto"/>
      </w:pPr>
      <w:r>
        <w:t xml:space="preserve">Supplementary Figure 5: Parameter estimates of pairwise-time-effect model in comparison to prior distribution. The red densities depict the posterior distributions of the estimations for the time effect of each species pair. The blue line overlaying the panels is the provided prior distribution of the model fitting: </w:t>
      </w:r>
      <m:oMath>
        <m:r>
          <w:rPr>
            <w:rFonts w:ascii="Cambria Math" w:hAnsi="Cambria Math"/>
          </w:rPr>
          <m:t>normal(mean = 0, sd = 1)</m:t>
        </m:r>
      </m:oMath>
      <w:r>
        <w:t xml:space="preserve">. Note cases like </w:t>
      </w:r>
      <m:oMath>
        <m:r>
          <w:rPr>
            <w:rFonts w:ascii="Cambria Math" w:hAnsi="Cambria Math"/>
          </w:rPr>
          <m:t>arrLambda[4,2]</m:t>
        </m:r>
      </m:oMath>
      <w:r>
        <w:t xml:space="preserve"> or </w:t>
      </w:r>
      <m:oMath>
        <m:r>
          <w:rPr>
            <w:rFonts w:ascii="Cambria Math" w:hAnsi="Cambria Math"/>
          </w:rPr>
          <m:t>arrLambda[8,7]</m:t>
        </m:r>
      </m:oMath>
      <w:r>
        <w:t>, where the density closely follows the prior distribution. This indicates that there were not enough observations for these species pairs across the years to properly inform a time effect specific to this interaction. Note, that this will not affect predictive performance, as there are not many - if any - observations of these interactions to predict with the uninformed time effect estimates. This renders a model comparison with the other time effect structures not informative.</w:t>
      </w:r>
    </w:p>
    <w:p w14:paraId="6E9C342B" w14:textId="77777777" w:rsidR="00946A27" w:rsidRDefault="00AF39C9" w:rsidP="00A04B0A">
      <w:pPr>
        <w:spacing w:before="240" w:after="240" w:line="480" w:lineRule="auto"/>
        <w:jc w:val="center"/>
      </w:pPr>
      <w:r>
        <w:rPr>
          <w:noProof/>
        </w:rPr>
        <w:lastRenderedPageBreak/>
        <w:drawing>
          <wp:inline distT="114300" distB="114300" distL="114300" distR="114300" wp14:anchorId="38EC91E6" wp14:editId="66A5FA32">
            <wp:extent cx="6480000" cy="36068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6480000" cy="3606800"/>
                    </a:xfrm>
                    <a:prstGeom prst="rect">
                      <a:avLst/>
                    </a:prstGeom>
                    <a:ln/>
                  </pic:spPr>
                </pic:pic>
              </a:graphicData>
            </a:graphic>
          </wp:inline>
        </w:drawing>
      </w:r>
    </w:p>
    <w:p w14:paraId="798A597E" w14:textId="77777777" w:rsidR="00946A27" w:rsidRDefault="00AF39C9" w:rsidP="00A04B0A">
      <w:pPr>
        <w:spacing w:before="240" w:after="240" w:line="480" w:lineRule="auto"/>
      </w:pPr>
      <w:r>
        <w:t>Supplementary Figure 6: Individual tree biomass increments of different simulation scenarios. Thin grey lines depict single virtual BEF experiments and connect mean tree biomass increments at respective degrees of diversity at different years. Solid coloured lines connect the mean biomass increment of respective degree of diversity across virtual BEF experiments at different years. In all three panels, the dashed lines connect the respective mean values of the Unshuffled scenario simulations, based on the originally estimated effects of time on pairwise interactions. See Tables S3 and S4 for the absolute and relative differences between 8-species mixtures and monocultures.</w:t>
      </w:r>
    </w:p>
    <w:p w14:paraId="4B982AFD" w14:textId="77777777" w:rsidR="00946A27" w:rsidRDefault="00946A27" w:rsidP="00A04B0A">
      <w:pPr>
        <w:spacing w:before="240" w:after="240" w:line="480" w:lineRule="auto"/>
      </w:pPr>
    </w:p>
    <w:p w14:paraId="27B5FB43" w14:textId="77777777" w:rsidR="00946A27" w:rsidRDefault="00AF39C9" w:rsidP="00A04B0A">
      <w:pPr>
        <w:spacing w:before="240" w:after="240" w:line="480" w:lineRule="auto"/>
        <w:jc w:val="center"/>
      </w:pPr>
      <w:r>
        <w:rPr>
          <w:noProof/>
        </w:rPr>
        <w:lastRenderedPageBreak/>
        <w:drawing>
          <wp:inline distT="114300" distB="114300" distL="114300" distR="114300" wp14:anchorId="087C419C" wp14:editId="21EDB14D">
            <wp:extent cx="1940550" cy="40500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1940550" cy="4050000"/>
                    </a:xfrm>
                    <a:prstGeom prst="rect">
                      <a:avLst/>
                    </a:prstGeom>
                    <a:ln/>
                  </pic:spPr>
                </pic:pic>
              </a:graphicData>
            </a:graphic>
          </wp:inline>
        </w:drawing>
      </w:r>
    </w:p>
    <w:p w14:paraId="6A79635D" w14:textId="286F2175" w:rsidR="00A04B0A" w:rsidRDefault="00AF39C9" w:rsidP="00A04B0A">
      <w:pPr>
        <w:spacing w:line="480" w:lineRule="auto"/>
      </w:pPr>
      <w:r>
        <w:t>Supplementary Figure 7: Net per-biomass interaction strength across time. This constitutes the average across all interaction types. The coloured line represents the mean net interaction strength over time. The thin grey lines surrounding the mean depict the mean net interaction strength calculated from the same 100 posterior draws as in Fig. 3.</w:t>
      </w:r>
    </w:p>
    <w:p w14:paraId="4A634CC3" w14:textId="7EA90E31" w:rsidR="0008004D" w:rsidRDefault="0008004D" w:rsidP="00A04B0A">
      <w:pPr>
        <w:spacing w:line="480" w:lineRule="auto"/>
      </w:pPr>
    </w:p>
    <w:p w14:paraId="36927306" w14:textId="1CE8DB01" w:rsidR="0008004D" w:rsidRDefault="0008004D" w:rsidP="00A04B0A">
      <w:pPr>
        <w:spacing w:line="480" w:lineRule="auto"/>
      </w:pPr>
    </w:p>
    <w:p w14:paraId="2C266B9D" w14:textId="49D2D269" w:rsidR="0008004D" w:rsidRDefault="0008004D" w:rsidP="00A04B0A">
      <w:pPr>
        <w:spacing w:line="480" w:lineRule="auto"/>
      </w:pPr>
    </w:p>
    <w:p w14:paraId="37DEE2D5" w14:textId="094600A1" w:rsidR="0008004D" w:rsidRDefault="0008004D" w:rsidP="00A04B0A">
      <w:pPr>
        <w:spacing w:line="480" w:lineRule="auto"/>
      </w:pPr>
    </w:p>
    <w:p w14:paraId="5D92E4E5" w14:textId="4BC14237" w:rsidR="0008004D" w:rsidRDefault="0008004D" w:rsidP="00A04B0A">
      <w:pPr>
        <w:spacing w:line="480" w:lineRule="auto"/>
      </w:pPr>
    </w:p>
    <w:p w14:paraId="501602D5" w14:textId="77777777" w:rsidR="0008004D" w:rsidRDefault="0008004D" w:rsidP="00A04B0A">
      <w:pPr>
        <w:spacing w:line="480" w:lineRule="auto"/>
      </w:pPr>
    </w:p>
    <w:p w14:paraId="626F52B7" w14:textId="77777777" w:rsidR="00A04B0A" w:rsidRDefault="00A04B0A" w:rsidP="00A04B0A">
      <w:pPr>
        <w:spacing w:line="480" w:lineRule="auto"/>
      </w:pPr>
    </w:p>
    <w:p w14:paraId="66C34844" w14:textId="06BC418C" w:rsidR="00A04B0A" w:rsidRDefault="00A04B0A" w:rsidP="00A04B0A">
      <w:pPr>
        <w:pStyle w:val="Heading1"/>
        <w:spacing w:line="480" w:lineRule="auto"/>
      </w:pPr>
      <w:r>
        <w:lastRenderedPageBreak/>
        <w:t>Supplementary References</w:t>
      </w:r>
    </w:p>
    <w:p w14:paraId="1B62959D" w14:textId="77777777" w:rsidR="00FA02C0" w:rsidRPr="00FA02C0" w:rsidRDefault="00A04B0A" w:rsidP="00FA02C0">
      <w:pPr>
        <w:pStyle w:val="Bibliography"/>
      </w:pPr>
      <w:r>
        <w:fldChar w:fldCharType="begin"/>
      </w:r>
      <w:r w:rsidR="00FA02C0">
        <w:instrText xml:space="preserve"> ADDIN ZOTERO_BIBL {"uncited":[],"omitted":[],"custom":[]} CSL_BIBLIOGRAPHY </w:instrText>
      </w:r>
      <w:r>
        <w:fldChar w:fldCharType="separate"/>
      </w:r>
      <w:r w:rsidR="00FA02C0" w:rsidRPr="00FA02C0">
        <w:t>1.</w:t>
      </w:r>
      <w:r w:rsidR="00FA02C0" w:rsidRPr="00FA02C0">
        <w:tab/>
        <w:t xml:space="preserve">Yu, W. </w:t>
      </w:r>
      <w:r w:rsidR="00FA02C0" w:rsidRPr="00FA02C0">
        <w:rPr>
          <w:i/>
          <w:iCs/>
        </w:rPr>
        <w:t>et al.</w:t>
      </w:r>
      <w:r w:rsidR="00FA02C0" w:rsidRPr="00FA02C0">
        <w:t xml:space="preserve"> Systematic distributions of interaction strengths across tree interaction networks yield positive diversity–productivity relationships. </w:t>
      </w:r>
      <w:r w:rsidR="00FA02C0" w:rsidRPr="00FA02C0">
        <w:rPr>
          <w:i/>
          <w:iCs/>
        </w:rPr>
        <w:t>Ecol. Lett.</w:t>
      </w:r>
      <w:r w:rsidR="00FA02C0" w:rsidRPr="00FA02C0">
        <w:t xml:space="preserve"> </w:t>
      </w:r>
      <w:r w:rsidR="00FA02C0" w:rsidRPr="00FA02C0">
        <w:rPr>
          <w:b/>
          <w:bCs/>
        </w:rPr>
        <w:t>27</w:t>
      </w:r>
      <w:r w:rsidR="00FA02C0" w:rsidRPr="00FA02C0">
        <w:t>, e14338 (2024).</w:t>
      </w:r>
    </w:p>
    <w:p w14:paraId="301277D6" w14:textId="77777777" w:rsidR="00FA02C0" w:rsidRPr="00FA02C0" w:rsidRDefault="00FA02C0" w:rsidP="00FA02C0">
      <w:pPr>
        <w:pStyle w:val="Bibliography"/>
      </w:pPr>
      <w:r w:rsidRPr="00FA02C0">
        <w:t>2.</w:t>
      </w:r>
      <w:r w:rsidRPr="00FA02C0">
        <w:tab/>
        <w:t xml:space="preserve">Bruelheide, H. </w:t>
      </w:r>
      <w:r w:rsidRPr="00FA02C0">
        <w:rPr>
          <w:i/>
          <w:iCs/>
        </w:rPr>
        <w:t>et al.</w:t>
      </w:r>
      <w:r w:rsidRPr="00FA02C0">
        <w:t xml:space="preserve"> Designing forest biodiversity experiments: general considerations illustrated by a new large experiment in subtropical China. </w:t>
      </w:r>
      <w:r w:rsidRPr="00FA02C0">
        <w:rPr>
          <w:i/>
          <w:iCs/>
        </w:rPr>
        <w:t>Methods Ecol. Evol.</w:t>
      </w:r>
      <w:r w:rsidRPr="00FA02C0">
        <w:t xml:space="preserve"> </w:t>
      </w:r>
      <w:r w:rsidRPr="00FA02C0">
        <w:rPr>
          <w:b/>
          <w:bCs/>
        </w:rPr>
        <w:t>5</w:t>
      </w:r>
      <w:r w:rsidRPr="00FA02C0">
        <w:t>, 74–89 (2014).</w:t>
      </w:r>
    </w:p>
    <w:p w14:paraId="4F8C1160" w14:textId="77777777" w:rsidR="00FA02C0" w:rsidRPr="00FA02C0" w:rsidRDefault="00FA02C0" w:rsidP="00FA02C0">
      <w:pPr>
        <w:pStyle w:val="Bibliography"/>
      </w:pPr>
      <w:r w:rsidRPr="00FA02C0">
        <w:t>3.</w:t>
      </w:r>
      <w:r w:rsidRPr="00FA02C0">
        <w:tab/>
        <w:t xml:space="preserve">Vehtari, A. </w:t>
      </w:r>
      <w:r w:rsidRPr="00FA02C0">
        <w:rPr>
          <w:i/>
          <w:iCs/>
        </w:rPr>
        <w:t>et al.</w:t>
      </w:r>
      <w:r w:rsidRPr="00FA02C0">
        <w:t xml:space="preserve"> loo: Efficient leave-one-out cross-validation and WAIC for Bayesian models. (2024).</w:t>
      </w:r>
    </w:p>
    <w:p w14:paraId="4B837866" w14:textId="77777777" w:rsidR="00FA02C0" w:rsidRPr="00FA02C0" w:rsidRDefault="00FA02C0" w:rsidP="00FA02C0">
      <w:pPr>
        <w:pStyle w:val="Bibliography"/>
      </w:pPr>
      <w:r w:rsidRPr="00FA02C0">
        <w:t>4.</w:t>
      </w:r>
      <w:r w:rsidRPr="00FA02C0">
        <w:tab/>
        <w:t xml:space="preserve">Sivula, T., Magnusson, M., Matamoros, A. A. &amp; Vehtari, A. Uncertainty in Bayesian Leave-One-Out Cross-Validation Based Model Comparison. </w:t>
      </w:r>
      <w:r w:rsidRPr="00FA02C0">
        <w:rPr>
          <w:i/>
          <w:iCs/>
        </w:rPr>
        <w:t>Bayesian Anal.</w:t>
      </w:r>
      <w:r w:rsidRPr="00FA02C0">
        <w:t xml:space="preserve"> </w:t>
      </w:r>
      <w:r w:rsidRPr="00FA02C0">
        <w:rPr>
          <w:b/>
          <w:bCs/>
        </w:rPr>
        <w:t>1</w:t>
      </w:r>
      <w:r w:rsidRPr="00FA02C0">
        <w:t>, 1–31 (2025).</w:t>
      </w:r>
    </w:p>
    <w:p w14:paraId="76EA7E94" w14:textId="0580BB22" w:rsidR="00A04B0A" w:rsidRPr="00A04B0A" w:rsidRDefault="00A04B0A" w:rsidP="00A04B0A">
      <w:pPr>
        <w:spacing w:line="480" w:lineRule="auto"/>
      </w:pPr>
      <w:r>
        <w:fldChar w:fldCharType="end"/>
      </w:r>
    </w:p>
    <w:sectPr w:rsidR="00A04B0A" w:rsidRPr="00A04B0A" w:rsidSect="009D43C3">
      <w:headerReference w:type="default" r:id="rId16"/>
      <w:footerReference w:type="default" r:id="rId17"/>
      <w:pgSz w:w="11909" w:h="16834"/>
      <w:pgMar w:top="1417" w:right="1417" w:bottom="1134" w:left="1417"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B291E" w14:textId="77777777" w:rsidR="00CF6785" w:rsidRDefault="00CF6785">
      <w:pPr>
        <w:spacing w:line="240" w:lineRule="auto"/>
      </w:pPr>
      <w:r>
        <w:separator/>
      </w:r>
    </w:p>
  </w:endnote>
  <w:endnote w:type="continuationSeparator" w:id="0">
    <w:p w14:paraId="7D6F0A06" w14:textId="77777777" w:rsidR="00CF6785" w:rsidRDefault="00CF6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5A7F8A6B-96A1-47CF-820F-A9A2ACD5B217}"/>
    <w:embedItalic r:id="rId2" w:fontKey="{41735A9E-653C-4410-8549-8033D245FE5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43274C74-3F49-41B4-94B7-74D80802728B}"/>
  </w:font>
  <w:font w:name="Cambria">
    <w:panose1 w:val="02040503050406030204"/>
    <w:charset w:val="00"/>
    <w:family w:val="roman"/>
    <w:pitch w:val="variable"/>
    <w:sig w:usb0="E00006FF" w:usb1="420024FF" w:usb2="02000000" w:usb3="00000000" w:csb0="0000019F" w:csb1="00000000"/>
    <w:embedRegular r:id="rId4" w:fontKey="{3DED4C13-EA01-464C-AFFA-6224B26E5B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CD5E" w14:textId="77777777" w:rsidR="00946A27" w:rsidRDefault="00AF39C9">
    <w:pPr>
      <w:jc w:val="right"/>
    </w:pPr>
    <w:r>
      <w:fldChar w:fldCharType="begin"/>
    </w:r>
    <w:r>
      <w:instrText>PAGE</w:instrText>
    </w:r>
    <w:r>
      <w:fldChar w:fldCharType="separate"/>
    </w:r>
    <w:r w:rsidR="009D43C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4A11C" w14:textId="77777777" w:rsidR="00CF6785" w:rsidRDefault="00CF6785">
      <w:pPr>
        <w:spacing w:line="240" w:lineRule="auto"/>
      </w:pPr>
      <w:r>
        <w:separator/>
      </w:r>
    </w:p>
  </w:footnote>
  <w:footnote w:type="continuationSeparator" w:id="0">
    <w:p w14:paraId="636582FA" w14:textId="77777777" w:rsidR="00CF6785" w:rsidRDefault="00CF67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FF36" w14:textId="77777777" w:rsidR="00946A27" w:rsidRDefault="00946A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A6DB2"/>
    <w:multiLevelType w:val="multilevel"/>
    <w:tmpl w:val="10DE6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27"/>
    <w:rsid w:val="0003454F"/>
    <w:rsid w:val="0008004D"/>
    <w:rsid w:val="00176D93"/>
    <w:rsid w:val="00334BA9"/>
    <w:rsid w:val="005A4CE2"/>
    <w:rsid w:val="005D0B9A"/>
    <w:rsid w:val="00654651"/>
    <w:rsid w:val="006A5468"/>
    <w:rsid w:val="007E417A"/>
    <w:rsid w:val="00822ED9"/>
    <w:rsid w:val="008B5841"/>
    <w:rsid w:val="008F4BC1"/>
    <w:rsid w:val="009208BF"/>
    <w:rsid w:val="00946A27"/>
    <w:rsid w:val="009D43C3"/>
    <w:rsid w:val="00A04B0A"/>
    <w:rsid w:val="00A12097"/>
    <w:rsid w:val="00AF39C9"/>
    <w:rsid w:val="00B73A8D"/>
    <w:rsid w:val="00CE5E1D"/>
    <w:rsid w:val="00CF6785"/>
    <w:rsid w:val="00FA02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44B3C"/>
  <w15:docId w15:val="{EF9C0301-7164-4BD7-B71D-91A7CD3E2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character" w:styleId="LineNumber">
    <w:name w:val="line number"/>
    <w:basedOn w:val="DefaultParagraphFont"/>
    <w:uiPriority w:val="99"/>
    <w:semiHidden/>
    <w:unhideWhenUsed/>
    <w:rsid w:val="009D43C3"/>
  </w:style>
  <w:style w:type="paragraph" w:styleId="Bibliography">
    <w:name w:val="Bibliography"/>
    <w:basedOn w:val="Normal"/>
    <w:next w:val="Normal"/>
    <w:uiPriority w:val="37"/>
    <w:unhideWhenUsed/>
    <w:rsid w:val="009D43C3"/>
    <w:pPr>
      <w:tabs>
        <w:tab w:val="left" w:pos="384"/>
      </w:tabs>
      <w:spacing w:line="480" w:lineRule="auto"/>
      <w:ind w:left="384" w:hanging="384"/>
    </w:pPr>
  </w:style>
  <w:style w:type="table" w:styleId="PlainTable2">
    <w:name w:val="Plain Table 2"/>
    <w:basedOn w:val="TableNormal"/>
    <w:uiPriority w:val="42"/>
    <w:rsid w:val="00822ED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4-Accent4">
    <w:name w:val="List Table 4 Accent 4"/>
    <w:basedOn w:val="TableNormal"/>
    <w:uiPriority w:val="49"/>
    <w:rsid w:val="00822ED9"/>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
    <w:name w:val="List Table 4"/>
    <w:basedOn w:val="TableNormal"/>
    <w:uiPriority w:val="49"/>
    <w:rsid w:val="00822ED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MyTable1">
    <w:name w:val="My Table 1"/>
    <w:basedOn w:val="TableGrid4"/>
    <w:uiPriority w:val="99"/>
    <w:rsid w:val="00654651"/>
    <w:pPr>
      <w:spacing w:line="240" w:lineRule="auto"/>
      <w:jc w:val="right"/>
    </w:pPr>
    <w:tblPr>
      <w:tblStyleRowBandSize w:val="1"/>
      <w:tblBorders>
        <w:left w:val="none" w:sz="0" w:space="0" w:color="auto"/>
        <w:bottom w:val="single" w:sz="4" w:space="0" w:color="auto"/>
        <w:right w:val="none" w:sz="0" w:space="0" w:color="auto"/>
        <w:insideH w:val="single" w:sz="2" w:space="0" w:color="auto"/>
        <w:insideV w:val="none" w:sz="0" w:space="0" w:color="auto"/>
      </w:tblBorders>
    </w:tblPr>
    <w:tcPr>
      <w:shd w:val="clear" w:color="auto" w:fill="auto"/>
      <w:vAlign w:val="center"/>
    </w:tcPr>
    <w:tblStylePr w:type="firstRow">
      <w:pPr>
        <w:jc w:val="right"/>
      </w:pPr>
      <w:rPr>
        <w:b/>
        <w:color w:val="auto"/>
      </w:rPr>
      <w:tblPr/>
      <w:tcPr>
        <w:tcBorders>
          <w:top w:val="single" w:sz="12" w:space="0" w:color="auto"/>
          <w:left w:val="nil"/>
          <w:bottom w:val="single" w:sz="12" w:space="0" w:color="auto"/>
          <w:right w:val="nil"/>
          <w:insideH w:val="nil"/>
          <w:insideV w:val="nil"/>
          <w:tl2br w:val="none" w:sz="0" w:space="0" w:color="auto"/>
          <w:tr2bl w:val="none" w:sz="0" w:space="0" w:color="auto"/>
        </w:tcBorders>
        <w:shd w:val="clear" w:color="auto" w:fill="BFBFBF" w:themeFill="background1" w:themeFillShade="BF"/>
      </w:tcPr>
    </w:tblStylePr>
    <w:tblStylePr w:type="lastRow">
      <w:rPr>
        <w:b/>
        <w:bCs/>
        <w:color w:val="auto"/>
      </w:rPr>
      <w:tblPr/>
      <w:tcPr>
        <w:tcBorders>
          <w:top w:val="single" w:sz="4" w:space="0" w:color="auto"/>
          <w:left w:val="nil"/>
          <w:bottom w:val="single" w:sz="4" w:space="0" w:color="auto"/>
          <w:right w:val="nil"/>
          <w:insideH w:val="nil"/>
          <w:insideV w:val="nil"/>
          <w:tl2br w:val="none" w:sz="0" w:space="0" w:color="auto"/>
          <w:tr2bl w:val="none" w:sz="0" w:space="0" w:color="auto"/>
        </w:tcBorders>
        <w:shd w:val="pct30" w:color="FFFF00" w:fill="FFFFFF"/>
      </w:tcPr>
    </w:tblStylePr>
    <w:tblStylePr w:type="firstCol">
      <w:pPr>
        <w:jc w:val="left"/>
      </w:pPr>
    </w:tblStylePr>
    <w:tblStylePr w:type="lastCol">
      <w:rPr>
        <w:b w:val="0"/>
        <w:bCs/>
        <w:color w:val="auto"/>
      </w:rPr>
      <w:tblPr/>
      <w:tcPr>
        <w:tcBorders>
          <w:tl2br w:val="none" w:sz="0" w:space="0" w:color="auto"/>
          <w:tr2bl w:val="none" w:sz="0" w:space="0" w:color="auto"/>
        </w:tcBorders>
      </w:tcPr>
    </w:tblStylePr>
    <w:tblStylePr w:type="band2Horz">
      <w:tblPr/>
      <w:tcPr>
        <w:shd w:val="clear" w:color="auto" w:fill="F2F2F2" w:themeFill="background1" w:themeFillShade="F2"/>
      </w:tcPr>
    </w:tblStylePr>
  </w:style>
  <w:style w:type="table" w:styleId="TableGrid">
    <w:name w:val="Table Grid"/>
    <w:basedOn w:val="TableNormal"/>
    <w:uiPriority w:val="39"/>
    <w:rsid w:val="005A4C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4">
    <w:name w:val="Table Grid 4"/>
    <w:basedOn w:val="TableNormal"/>
    <w:uiPriority w:val="99"/>
    <w:semiHidden/>
    <w:unhideWhenUsed/>
    <w:rsid w:val="00A1209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8B5841"/>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floras.org/"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766EE-05BC-4E22-87F9-518756E43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3612</Words>
  <Characters>20593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iDiv</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Mader, Sebastian</dc:creator>
  <cp:lastModifiedBy>Mader, Sebastian</cp:lastModifiedBy>
  <cp:revision>11</cp:revision>
  <dcterms:created xsi:type="dcterms:W3CDTF">2026-07-14T12:09:00Z</dcterms:created>
  <dcterms:modified xsi:type="dcterms:W3CDTF">2026-07-18T13:18:00Z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{"style":{"styleID":"http://www.zotero.org/styles/nature","hasBibliography":true,"bibliographyStyleHasBeenSet":true},"prefs":{"fieldType":"Field","automaticJournalAbbreviations":true,"delayCitationUpdates":false,"noteType":0},"sessionID":"5cKZ9M78","zoter</vt:lpwstr>
  </property>
  <property fmtid="{D5CDD505-2E9C-101B-9397-08002B2CF9AE}" pid="3" name="ZOTERO_PREF_2">
    <vt:lpwstr>oVersion":"9.0.6","dataVersion":4}</vt:lpwstr>
  </property>
</Properties>
</file>