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t>• Cross-city distributional inequality comparison across 12 cities using a standardized STR-GPAQ Inequality Index (SII).</w:t>
      </w:r>
    </w:p>
    <w:p>
      <w:pPr>
        <w:spacing w:after="120"/>
      </w:pPr>
      <w:r>
        <w:t>• Descriptive association: highly restrictive STR regimes (Amsterdam) show lowest distributional inequality (SII = 0.031); moderate-restrictive regimes show highest (Barcelona = 0.115).</w:t>
      </w:r>
    </w:p>
    <w:p>
      <w:pPr>
        <w:spacing w:after="120"/>
      </w:pPr>
      <w:r>
        <w:rPr>
          <w:rFonts w:ascii="Times New Roman" w:hAnsi="Times New Roman"/>
          <w:sz w:val="22"/>
        </w:rPr>
        <w:t>• Explainable spatial machine learning (XGBoost-SHAP) decomposes feature effects with local SHAP spatial mapping in Barcelona, New York, and Amsterdam.</w:t>
      </w:r>
    </w:p>
    <w:p>
      <w:pPr>
        <w:spacing w:after="120"/>
      </w:pPr>
      <w:r>
        <w:t>• SII—a distributional inequality index validated through spatial aggregation sensitivity (0.5–2.0 km grids), random spatial baselines, and spatial block cross-validation.</w:t>
      </w:r>
    </w:p>
    <w:p>
      <w:pPr>
        <w:spacing w:after="120"/>
      </w:pPr>
      <w:r>
        <w:t>• Replicable analytical framework transferable to other distributional inequality domains: crime, environmental justice, and healthcare accessibility.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