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24"/>
        </w:rPr>
        <w:t>Table S1. Spatial Lag Regression Results (Pooled Model, n = 297,227)</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Variable</w:t>
            </w:r>
          </w:p>
        </w:tc>
        <w:tc>
          <w:tcPr>
            <w:tcW w:type="dxa" w:w="1440"/>
          </w:tcPr>
          <w:p>
            <w:r>
              <w:rPr>
                <w:b/>
              </w:rPr>
              <w:t>Coefficient</w:t>
            </w:r>
          </w:p>
        </w:tc>
        <w:tc>
          <w:tcPr>
            <w:tcW w:type="dxa" w:w="1440"/>
          </w:tcPr>
          <w:p>
            <w:r>
              <w:rPr>
                <w:b/>
              </w:rPr>
              <w:t>Std. Error</w:t>
            </w:r>
          </w:p>
        </w:tc>
        <w:tc>
          <w:tcPr>
            <w:tcW w:type="dxa" w:w="1440"/>
          </w:tcPr>
          <w:p>
            <w:r>
              <w:rPr>
                <w:b/>
              </w:rPr>
              <w:t>z-value</w:t>
            </w:r>
          </w:p>
        </w:tc>
        <w:tc>
          <w:tcPr>
            <w:tcW w:type="dxa" w:w="1440"/>
          </w:tcPr>
          <w:p>
            <w:r>
              <w:rPr>
                <w:b/>
              </w:rPr>
              <w:t>p-value</w:t>
            </w:r>
          </w:p>
        </w:tc>
        <w:tc>
          <w:tcPr>
            <w:tcW w:type="dxa" w:w="1440"/>
          </w:tcPr>
          <w:p>
            <w:r>
              <w:rPr>
                <w:b/>
              </w:rPr>
              <w:t>Significance</w:t>
            </w:r>
          </w:p>
        </w:tc>
      </w:tr>
      <w:tr>
        <w:tc>
          <w:tcPr>
            <w:tcW w:type="dxa" w:w="1440"/>
          </w:tcPr>
          <w:p>
            <w:r>
              <w:t>Intercept</w:t>
            </w:r>
          </w:p>
        </w:tc>
        <w:tc>
          <w:tcPr>
            <w:tcW w:type="dxa" w:w="1440"/>
          </w:tcPr>
          <w:p>
            <w:r>
              <w:t>0.847</w:t>
            </w:r>
          </w:p>
        </w:tc>
        <w:tc>
          <w:tcPr>
            <w:tcW w:type="dxa" w:w="1440"/>
          </w:tcPr>
          <w:p>
            <w:r>
              <w:t>0.012</w:t>
            </w:r>
          </w:p>
        </w:tc>
        <w:tc>
          <w:tcPr>
            <w:tcW w:type="dxa" w:w="1440"/>
          </w:tcPr>
          <w:p>
            <w:r>
              <w:t>70.58</w:t>
            </w:r>
          </w:p>
        </w:tc>
        <w:tc>
          <w:tcPr>
            <w:tcW w:type="dxa" w:w="1440"/>
          </w:tcPr>
          <w:p>
            <w:r>
              <w:t>&lt;0.001</w:t>
            </w:r>
          </w:p>
        </w:tc>
        <w:tc>
          <w:tcPr>
            <w:tcW w:type="dxa" w:w="1440"/>
          </w:tcPr>
          <w:p>
            <w:r>
              <w:t>***</w:t>
            </w:r>
          </w:p>
        </w:tc>
      </w:tr>
      <w:tr>
        <w:tc>
          <w:tcPr>
            <w:tcW w:type="dxa" w:w="1440"/>
          </w:tcPr>
          <w:p>
            <w:r>
              <w:t>host_is_superhost</w:t>
            </w:r>
          </w:p>
        </w:tc>
        <w:tc>
          <w:tcPr>
            <w:tcW w:type="dxa" w:w="1440"/>
          </w:tcPr>
          <w:p>
            <w:r>
              <w:t>0.312</w:t>
            </w:r>
          </w:p>
        </w:tc>
        <w:tc>
          <w:tcPr>
            <w:tcW w:type="dxa" w:w="1440"/>
          </w:tcPr>
          <w:p>
            <w:r>
              <w:t>0.008</w:t>
            </w:r>
          </w:p>
        </w:tc>
        <w:tc>
          <w:tcPr>
            <w:tcW w:type="dxa" w:w="1440"/>
          </w:tcPr>
          <w:p>
            <w:r>
              <w:t>39.00</w:t>
            </w:r>
          </w:p>
        </w:tc>
        <w:tc>
          <w:tcPr>
            <w:tcW w:type="dxa" w:w="1440"/>
          </w:tcPr>
          <w:p>
            <w:r>
              <w:t>&lt;0.001</w:t>
            </w:r>
          </w:p>
        </w:tc>
        <w:tc>
          <w:tcPr>
            <w:tcW w:type="dxa" w:w="1440"/>
          </w:tcPr>
          <w:p>
            <w:r>
              <w:t>***</w:t>
            </w:r>
          </w:p>
        </w:tc>
      </w:tr>
      <w:tr>
        <w:tc>
          <w:tcPr>
            <w:tcW w:type="dxa" w:w="1440"/>
          </w:tcPr>
          <w:p>
            <w:r>
              <w:t>approx_distance_to_center</w:t>
            </w:r>
          </w:p>
        </w:tc>
        <w:tc>
          <w:tcPr>
            <w:tcW w:type="dxa" w:w="1440"/>
          </w:tcPr>
          <w:p>
            <w:r>
              <w:t>−0.045</w:t>
            </w:r>
          </w:p>
        </w:tc>
        <w:tc>
          <w:tcPr>
            <w:tcW w:type="dxa" w:w="1440"/>
          </w:tcPr>
          <w:p>
            <w:r>
              <w:t>0.003</w:t>
            </w:r>
          </w:p>
        </w:tc>
        <w:tc>
          <w:tcPr>
            <w:tcW w:type="dxa" w:w="1440"/>
          </w:tcPr>
          <w:p>
            <w:r>
              <w:t>−15.00</w:t>
            </w:r>
          </w:p>
        </w:tc>
        <w:tc>
          <w:tcPr>
            <w:tcW w:type="dxa" w:w="1440"/>
          </w:tcPr>
          <w:p>
            <w:r>
              <w:t>&lt;0.001</w:t>
            </w:r>
          </w:p>
        </w:tc>
        <w:tc>
          <w:tcPr>
            <w:tcW w:type="dxa" w:w="1440"/>
          </w:tcPr>
          <w:p>
            <w:r>
              <w:t>***</w:t>
            </w:r>
          </w:p>
        </w:tc>
      </w:tr>
      <w:tr>
        <w:tc>
          <w:tcPr>
            <w:tcW w:type="dxa" w:w="1440"/>
          </w:tcPr>
          <w:p>
            <w:r>
              <w:t>price (log)</w:t>
            </w:r>
          </w:p>
        </w:tc>
        <w:tc>
          <w:tcPr>
            <w:tcW w:type="dxa" w:w="1440"/>
          </w:tcPr>
          <w:p>
            <w:r>
              <w:t>0.018</w:t>
            </w:r>
          </w:p>
        </w:tc>
        <w:tc>
          <w:tcPr>
            <w:tcW w:type="dxa" w:w="1440"/>
          </w:tcPr>
          <w:p>
            <w:r>
              <w:t>0.004</w:t>
            </w:r>
          </w:p>
        </w:tc>
        <w:tc>
          <w:tcPr>
            <w:tcW w:type="dxa" w:w="1440"/>
          </w:tcPr>
          <w:p>
            <w:r>
              <w:t>4.50</w:t>
            </w:r>
          </w:p>
        </w:tc>
        <w:tc>
          <w:tcPr>
            <w:tcW w:type="dxa" w:w="1440"/>
          </w:tcPr>
          <w:p>
            <w:r>
              <w:t>&lt;0.001</w:t>
            </w:r>
          </w:p>
        </w:tc>
        <w:tc>
          <w:tcPr>
            <w:tcW w:type="dxa" w:w="1440"/>
          </w:tcPr>
          <w:p>
            <w:r>
              <w:t>***</w:t>
            </w:r>
          </w:p>
        </w:tc>
      </w:tr>
      <w:tr>
        <w:tc>
          <w:tcPr>
            <w:tcW w:type="dxa" w:w="1440"/>
          </w:tcPr>
          <w:p>
            <w:r>
              <w:t>minimum_nights</w:t>
            </w:r>
          </w:p>
        </w:tc>
        <w:tc>
          <w:tcPr>
            <w:tcW w:type="dxa" w:w="1440"/>
          </w:tcPr>
          <w:p>
            <w:r>
              <w:t>0.008</w:t>
            </w:r>
          </w:p>
        </w:tc>
        <w:tc>
          <w:tcPr>
            <w:tcW w:type="dxa" w:w="1440"/>
          </w:tcPr>
          <w:p>
            <w:r>
              <w:t>0.002</w:t>
            </w:r>
          </w:p>
        </w:tc>
        <w:tc>
          <w:tcPr>
            <w:tcW w:type="dxa" w:w="1440"/>
          </w:tcPr>
          <w:p>
            <w:r>
              <w:t>4.00</w:t>
            </w:r>
          </w:p>
        </w:tc>
        <w:tc>
          <w:tcPr>
            <w:tcW w:type="dxa" w:w="1440"/>
          </w:tcPr>
          <w:p>
            <w:r>
              <w:t>&lt;0.001</w:t>
            </w:r>
          </w:p>
        </w:tc>
        <w:tc>
          <w:tcPr>
            <w:tcW w:type="dxa" w:w="1440"/>
          </w:tcPr>
          <w:p>
            <w:r>
              <w:t>***</w:t>
            </w:r>
          </w:p>
        </w:tc>
      </w:tr>
      <w:tr>
        <w:tc>
          <w:tcPr>
            <w:tcW w:type="dxa" w:w="1440"/>
          </w:tcPr>
          <w:p>
            <w:r>
              <w:t>room_type_num</w:t>
            </w:r>
          </w:p>
        </w:tc>
        <w:tc>
          <w:tcPr>
            <w:tcW w:type="dxa" w:w="1440"/>
          </w:tcPr>
          <w:p>
            <w:r>
              <w:t>0.015</w:t>
            </w:r>
          </w:p>
        </w:tc>
        <w:tc>
          <w:tcPr>
            <w:tcW w:type="dxa" w:w="1440"/>
          </w:tcPr>
          <w:p>
            <w:r>
              <w:t>0.005</w:t>
            </w:r>
          </w:p>
        </w:tc>
        <w:tc>
          <w:tcPr>
            <w:tcW w:type="dxa" w:w="1440"/>
          </w:tcPr>
          <w:p>
            <w:r>
              <w:t>3.00</w:t>
            </w:r>
          </w:p>
        </w:tc>
        <w:tc>
          <w:tcPr>
            <w:tcW w:type="dxa" w:w="1440"/>
          </w:tcPr>
          <w:p>
            <w:r>
              <w:t>0.003</w:t>
            </w:r>
          </w:p>
        </w:tc>
        <w:tc>
          <w:tcPr>
            <w:tcW w:type="dxa" w:w="1440"/>
          </w:tcPr>
          <w:p>
            <w:r>
              <w:t>**</w:t>
            </w:r>
          </w:p>
        </w:tc>
      </w:tr>
      <w:tr>
        <w:tc>
          <w:tcPr>
            <w:tcW w:type="dxa" w:w="1440"/>
          </w:tcPr>
          <w:p>
            <w:r>
              <w:t>number_of_reviews (log)</w:t>
            </w:r>
          </w:p>
        </w:tc>
        <w:tc>
          <w:tcPr>
            <w:tcW w:type="dxa" w:w="1440"/>
          </w:tcPr>
          <w:p>
            <w:r>
              <w:t>0.012</w:t>
            </w:r>
          </w:p>
        </w:tc>
        <w:tc>
          <w:tcPr>
            <w:tcW w:type="dxa" w:w="1440"/>
          </w:tcPr>
          <w:p>
            <w:r>
              <w:t>0.003</w:t>
            </w:r>
          </w:p>
        </w:tc>
        <w:tc>
          <w:tcPr>
            <w:tcW w:type="dxa" w:w="1440"/>
          </w:tcPr>
          <w:p>
            <w:r>
              <w:t>4.00</w:t>
            </w:r>
          </w:p>
        </w:tc>
        <w:tc>
          <w:tcPr>
            <w:tcW w:type="dxa" w:w="1440"/>
          </w:tcPr>
          <w:p>
            <w:r>
              <w:t>&lt;0.001</w:t>
            </w:r>
          </w:p>
        </w:tc>
        <w:tc>
          <w:tcPr>
            <w:tcW w:type="dxa" w:w="1440"/>
          </w:tcPr>
          <w:p>
            <w:r>
              <w:t>***</w:t>
            </w:r>
          </w:p>
        </w:tc>
      </w:tr>
      <w:tr>
        <w:tc>
          <w:tcPr>
            <w:tcW w:type="dxa" w:w="1440"/>
          </w:tcPr>
          <w:p>
            <w:r>
              <w:t>Spatial lag parameter (ρ)</w:t>
            </w:r>
          </w:p>
        </w:tc>
        <w:tc>
          <w:tcPr>
            <w:tcW w:type="dxa" w:w="1440"/>
          </w:tcPr>
          <w:p>
            <w:r>
              <w:t>0.042</w:t>
            </w:r>
          </w:p>
        </w:tc>
        <w:tc>
          <w:tcPr>
            <w:tcW w:type="dxa" w:w="1440"/>
          </w:tcPr>
          <w:p>
            <w:r>
              <w:t>0.006</w:t>
            </w:r>
          </w:p>
        </w:tc>
        <w:tc>
          <w:tcPr>
            <w:tcW w:type="dxa" w:w="1440"/>
          </w:tcPr>
          <w:p>
            <w:r>
              <w:t>7.00</w:t>
            </w:r>
          </w:p>
        </w:tc>
        <w:tc>
          <w:tcPr>
            <w:tcW w:type="dxa" w:w="1440"/>
          </w:tcPr>
          <w:p>
            <w:r>
              <w:t>&lt;0.001</w:t>
            </w:r>
          </w:p>
        </w:tc>
        <w:tc>
          <w:tcPr>
            <w:tcW w:type="dxa" w:w="1440"/>
          </w:tcPr>
          <w:p>
            <w:r>
              <w:t>***</w:t>
            </w:r>
          </w:p>
        </w:tc>
      </w:tr>
    </w:tbl>
    <w:p/>
    <w:p>
      <w:r>
        <w:rPr>
          <w:b w:val="0"/>
          <w:i w:val="0"/>
        </w:rPr>
        <w:t xml:space="preserve">Note: Standard errors robust to heteroskedasticity. Significance: </w:t>
      </w:r>
      <w:r>
        <w:rPr>
          <w:b/>
          <w:i w:val="0"/>
        </w:rPr>
        <w:t xml:space="preserve">* p &lt; 0.001, </w:t>
      </w:r>
      <w:r>
        <w:rPr>
          <w:b w:val="0"/>
          <w:i w:val="0"/>
        </w:rPr>
        <w:t xml:space="preserve"> p &lt; 0.01.</w:t>
      </w:r>
    </w:p>
    <w:p>
      <w:r>
        <w:rPr>
          <w:b/>
          <w:sz w:val="24"/>
        </w:rPr>
        <w:t>Table S2. Detailed Regulatory Profiles and Policy History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b/>
              </w:rPr>
              <w:t>City</w:t>
            </w:r>
          </w:p>
        </w:tc>
        <w:tc>
          <w:tcPr>
            <w:tcW w:type="dxa" w:w="1728"/>
          </w:tcPr>
          <w:p>
            <w:r>
              <w:rPr>
                <w:b/>
              </w:rPr>
              <w:t>Primary Regulation</w:t>
            </w:r>
          </w:p>
        </w:tc>
        <w:tc>
          <w:tcPr>
            <w:tcW w:type="dxa" w:w="1728"/>
          </w:tcPr>
          <w:p>
            <w:r>
              <w:rPr>
                <w:b/>
              </w:rPr>
              <w:t>Enforcement Level</w:t>
            </w:r>
          </w:p>
        </w:tc>
        <w:tc>
          <w:tcPr>
            <w:tcW w:type="dxa" w:w="1728"/>
          </w:tcPr>
          <w:p>
            <w:r>
              <w:rPr>
                <w:b/>
              </w:rPr>
              <w:t>Key Policy Details</w:t>
            </w:r>
          </w:p>
        </w:tc>
        <w:tc>
          <w:tcPr>
            <w:tcW w:type="dxa" w:w="1728"/>
          </w:tcPr>
          <w:p>
            <w:r>
              <w:rPr>
                <w:b/>
              </w:rPr>
              <w:t>Data Collection Date</w:t>
            </w:r>
          </w:p>
        </w:tc>
      </w:tr>
      <w:tr>
        <w:tc>
          <w:tcPr>
            <w:tcW w:type="dxa" w:w="1728"/>
          </w:tcPr>
          <w:p>
            <w:r>
              <w:t>Amsterdam</w:t>
            </w:r>
          </w:p>
        </w:tc>
        <w:tc>
          <w:tcPr>
            <w:tcW w:type="dxa" w:w="1728"/>
          </w:tcPr>
          <w:p>
            <w:r>
              <w:t>30-day annual cap, permit required</w:t>
            </w:r>
          </w:p>
        </w:tc>
        <w:tc>
          <w:tcPr>
            <w:tcW w:type="dxa" w:w="1728"/>
          </w:tcPr>
          <w:p>
            <w:r>
              <w:t>High</w:t>
            </w:r>
          </w:p>
        </w:tc>
        <w:tc>
          <w:tcPr>
            <w:tcW w:type="dxa" w:w="1728"/>
          </w:tcPr>
          <w:p>
            <w:r>
              <w:t>Home-sharing only; professional operators prohibited; strict zoning enforcement since 2019.</w:t>
            </w:r>
          </w:p>
        </w:tc>
        <w:tc>
          <w:tcPr>
            <w:tcW w:type="dxa" w:w="1728"/>
          </w:tcPr>
          <w:p>
            <w:r>
              <w:t>June 2026</w:t>
            </w:r>
          </w:p>
        </w:tc>
      </w:tr>
      <w:tr>
        <w:tc>
          <w:tcPr>
            <w:tcW w:type="dxa" w:w="1728"/>
          </w:tcPr>
          <w:p>
            <w:r>
              <w:t>Paris</w:t>
            </w:r>
          </w:p>
        </w:tc>
        <w:tc>
          <w:tcPr>
            <w:tcW w:type="dxa" w:w="1728"/>
          </w:tcPr>
          <w:p>
            <w:r>
              <w:t>120-day annual cap, registration</w:t>
            </w:r>
          </w:p>
        </w:tc>
        <w:tc>
          <w:tcPr>
            <w:tcW w:type="dxa" w:w="1728"/>
          </w:tcPr>
          <w:p>
            <w:r>
              <w:t>High</w:t>
            </w:r>
          </w:p>
        </w:tc>
        <w:tc>
          <w:tcPr>
            <w:tcW w:type="dxa" w:w="1728"/>
          </w:tcPr>
          <w:p>
            <w:r>
              <w:t>Mandatory registration; automated detection of illegal listings; €50K fines.</w:t>
            </w:r>
          </w:p>
        </w:tc>
        <w:tc>
          <w:tcPr>
            <w:tcW w:type="dxa" w:w="1728"/>
          </w:tcPr>
          <w:p>
            <w:r>
              <w:t>June 2026</w:t>
            </w:r>
          </w:p>
        </w:tc>
      </w:tr>
      <w:tr>
        <w:tc>
          <w:tcPr>
            <w:tcW w:type="dxa" w:w="1728"/>
          </w:tcPr>
          <w:p>
            <w:r>
              <w:t>Barcelona</w:t>
            </w:r>
          </w:p>
        </w:tc>
        <w:tc>
          <w:tcPr>
            <w:tcW w:type="dxa" w:w="1728"/>
          </w:tcPr>
          <w:p>
            <w:r>
              <w:t>Tourist license freeze, strict zoning</w:t>
            </w:r>
          </w:p>
        </w:tc>
        <w:tc>
          <w:tcPr>
            <w:tcW w:type="dxa" w:w="1728"/>
          </w:tcPr>
          <w:p>
            <w:r>
              <w:t>Moderate-High</w:t>
            </w:r>
          </w:p>
        </w:tc>
        <w:tc>
          <w:tcPr>
            <w:tcW w:type="dxa" w:w="1728"/>
          </w:tcPr>
          <w:p>
            <w:r>
              <w:t>2014 tourism license moratorium; 2021 enforcement campaign; geographic restrictions in historic core.</w:t>
            </w:r>
          </w:p>
        </w:tc>
        <w:tc>
          <w:tcPr>
            <w:tcW w:type="dxa" w:w="1728"/>
          </w:tcPr>
          <w:p>
            <w:r>
              <w:t>June 2026</w:t>
            </w:r>
          </w:p>
        </w:tc>
      </w:tr>
      <w:tr>
        <w:tc>
          <w:tcPr>
            <w:tcW w:type="dxa" w:w="1728"/>
          </w:tcPr>
          <w:p>
            <w:r>
              <w:t>London</w:t>
            </w:r>
          </w:p>
        </w:tc>
        <w:tc>
          <w:tcPr>
            <w:tcW w:type="dxa" w:w="1728"/>
          </w:tcPr>
          <w:p>
            <w:r>
              <w:t>90-day annual cap, planning permission</w:t>
            </w:r>
          </w:p>
        </w:tc>
        <w:tc>
          <w:tcPr>
            <w:tcW w:type="dxa" w:w="1728"/>
          </w:tcPr>
          <w:p>
            <w:r>
              <w:t>Moderate</w:t>
            </w:r>
          </w:p>
        </w:tc>
        <w:tc>
          <w:tcPr>
            <w:tcW w:type="dxa" w:w="1728"/>
          </w:tcPr>
          <w:p>
            <w:r>
              <w:t>Automatic 90-day cap enforced by platform; planning permission required beyond 90 days.</w:t>
            </w:r>
          </w:p>
        </w:tc>
        <w:tc>
          <w:tcPr>
            <w:tcW w:type="dxa" w:w="1728"/>
          </w:tcPr>
          <w:p>
            <w:r>
              <w:t>June 2026</w:t>
            </w:r>
          </w:p>
        </w:tc>
      </w:tr>
      <w:tr>
        <w:tc>
          <w:tcPr>
            <w:tcW w:type="dxa" w:w="1728"/>
          </w:tcPr>
          <w:p>
            <w:r>
              <w:t>Sydney</w:t>
            </w:r>
          </w:p>
        </w:tc>
        <w:tc>
          <w:tcPr>
            <w:tcW w:type="dxa" w:w="1728"/>
          </w:tcPr>
          <w:p>
            <w:r>
              <w:t>180-day cap, registration</w:t>
            </w:r>
          </w:p>
        </w:tc>
        <w:tc>
          <w:tcPr>
            <w:tcW w:type="dxa" w:w="1728"/>
          </w:tcPr>
          <w:p>
            <w:r>
              <w:t>Moderate</w:t>
            </w:r>
          </w:p>
        </w:tc>
        <w:tc>
          <w:tcPr>
            <w:tcW w:type="dxa" w:w="1728"/>
          </w:tcPr>
          <w:p>
            <w:r>
              <w:t>State-level registration; 180-day cap in Greater Sydney; enforced through platform cooperation.</w:t>
            </w:r>
          </w:p>
        </w:tc>
        <w:tc>
          <w:tcPr>
            <w:tcW w:type="dxa" w:w="1728"/>
          </w:tcPr>
          <w:p>
            <w:r>
              <w:t>June 2026</w:t>
            </w:r>
          </w:p>
        </w:tc>
      </w:tr>
      <w:tr>
        <w:tc>
          <w:tcPr>
            <w:tcW w:type="dxa" w:w="1728"/>
          </w:tcPr>
          <w:p>
            <w:r>
              <w:t>Melbourne</w:t>
            </w:r>
          </w:p>
        </w:tc>
        <w:tc>
          <w:tcPr>
            <w:tcW w:type="dxa" w:w="1728"/>
          </w:tcPr>
          <w:p>
            <w:r>
              <w:t>180-day cap, registration</w:t>
            </w:r>
          </w:p>
        </w:tc>
        <w:tc>
          <w:tcPr>
            <w:tcW w:type="dxa" w:w="1728"/>
          </w:tcPr>
          <w:p>
            <w:r>
              <w:t>Moderate</w:t>
            </w:r>
          </w:p>
        </w:tc>
        <w:tc>
          <w:tcPr>
            <w:tcW w:type="dxa" w:w="1728"/>
          </w:tcPr>
          <w:p>
            <w:r>
              <w:t>Similar to Sydney but with municipal-level variation; less strict enforcement in suburban areas.</w:t>
            </w:r>
          </w:p>
        </w:tc>
        <w:tc>
          <w:tcPr>
            <w:tcW w:type="dxa" w:w="1728"/>
          </w:tcPr>
          <w:p>
            <w:r>
              <w:t>June 2026</w:t>
            </w:r>
          </w:p>
        </w:tc>
      </w:tr>
      <w:tr>
        <w:tc>
          <w:tcPr>
            <w:tcW w:type="dxa" w:w="1728"/>
          </w:tcPr>
          <w:p>
            <w:r>
              <w:t>Vienna</w:t>
            </w:r>
          </w:p>
        </w:tc>
        <w:tc>
          <w:tcPr>
            <w:tcW w:type="dxa" w:w="1728"/>
          </w:tcPr>
          <w:p>
            <w:r>
              <w:t>Registration, zoning restrictions</w:t>
            </w:r>
          </w:p>
        </w:tc>
        <w:tc>
          <w:tcPr>
            <w:tcW w:type="dxa" w:w="1728"/>
          </w:tcPr>
          <w:p>
            <w:r>
              <w:t>Moderate</w:t>
            </w:r>
          </w:p>
        </w:tc>
        <w:tc>
          <w:tcPr>
            <w:tcW w:type="dxa" w:w="1728"/>
          </w:tcPr>
          <w:p>
            <w:r>
              <w:t>Registration required since 2019; zoning restrictions in historic districts.</w:t>
            </w:r>
          </w:p>
        </w:tc>
        <w:tc>
          <w:tcPr>
            <w:tcW w:type="dxa" w:w="1728"/>
          </w:tcPr>
          <w:p>
            <w:r>
              <w:t>June 2026</w:t>
            </w:r>
          </w:p>
        </w:tc>
      </w:tr>
      <w:tr>
        <w:tc>
          <w:tcPr>
            <w:tcW w:type="dxa" w:w="1728"/>
          </w:tcPr>
          <w:p>
            <w:r>
              <w:t>New York</w:t>
            </w:r>
          </w:p>
        </w:tc>
        <w:tc>
          <w:tcPr>
            <w:tcW w:type="dxa" w:w="1728"/>
          </w:tcPr>
          <w:p>
            <w:r>
              <w:t>Local Law 18 (registration, 30-day min)</w:t>
            </w:r>
          </w:p>
        </w:tc>
        <w:tc>
          <w:tcPr>
            <w:tcW w:type="dxa" w:w="1728"/>
          </w:tcPr>
          <w:p>
            <w:r>
              <w:t>Low-Moderate</w:t>
            </w:r>
          </w:p>
        </w:tc>
        <w:tc>
          <w:tcPr>
            <w:tcW w:type="dxa" w:w="1728"/>
          </w:tcPr>
          <w:p>
            <w:r>
              <w:t>2023 law requires registration and 30-day minimum stay; limited pre-2023 enforcement.</w:t>
            </w:r>
          </w:p>
        </w:tc>
        <w:tc>
          <w:tcPr>
            <w:tcW w:type="dxa" w:w="1728"/>
          </w:tcPr>
          <w:p>
            <w:r>
              <w:t>June 2026</w:t>
            </w:r>
          </w:p>
        </w:tc>
      </w:tr>
      <w:tr>
        <w:tc>
          <w:tcPr>
            <w:tcW w:type="dxa" w:w="1728"/>
          </w:tcPr>
          <w:p>
            <w:r>
              <w:t>Los Angeles</w:t>
            </w:r>
          </w:p>
        </w:tc>
        <w:tc>
          <w:tcPr>
            <w:tcW w:type="dxa" w:w="1728"/>
          </w:tcPr>
          <w:p>
            <w:r>
              <w:t>Home-sharing ordinance</w:t>
            </w:r>
          </w:p>
        </w:tc>
        <w:tc>
          <w:tcPr>
            <w:tcW w:type="dxa" w:w="1728"/>
          </w:tcPr>
          <w:p>
            <w:r>
              <w:t>Low</w:t>
            </w:r>
          </w:p>
        </w:tc>
        <w:tc>
          <w:tcPr>
            <w:tcW w:type="dxa" w:w="1728"/>
          </w:tcPr>
          <w:p>
            <w:r>
              <w:t>Registration required since 2019; limited proactive enforcement; resource-constrained monitoring.</w:t>
            </w:r>
          </w:p>
        </w:tc>
        <w:tc>
          <w:tcPr>
            <w:tcW w:type="dxa" w:w="1728"/>
          </w:tcPr>
          <w:p>
            <w:r>
              <w:t>June 2026</w:t>
            </w:r>
          </w:p>
        </w:tc>
      </w:tr>
      <w:tr>
        <w:tc>
          <w:tcPr>
            <w:tcW w:type="dxa" w:w="1728"/>
          </w:tcPr>
          <w:p>
            <w:r>
              <w:t>Toronto</w:t>
            </w:r>
          </w:p>
        </w:tc>
        <w:tc>
          <w:tcPr>
            <w:tcW w:type="dxa" w:w="1728"/>
          </w:tcPr>
          <w:p>
            <w:r>
              <w:t>Registration required, limited enforcement</w:t>
            </w:r>
          </w:p>
        </w:tc>
        <w:tc>
          <w:tcPr>
            <w:tcW w:type="dxa" w:w="1728"/>
          </w:tcPr>
          <w:p>
            <w:r>
              <w:t>Low</w:t>
            </w:r>
          </w:p>
        </w:tc>
        <w:tc>
          <w:tcPr>
            <w:tcW w:type="dxa" w:w="1728"/>
          </w:tcPr>
          <w:p>
            <w:r>
              <w:t>Registration system since 2020; no hard caps; enforcement primarily complaint-driven.</w:t>
            </w:r>
          </w:p>
        </w:tc>
        <w:tc>
          <w:tcPr>
            <w:tcW w:type="dxa" w:w="1728"/>
          </w:tcPr>
          <w:p>
            <w:r>
              <w:t>June 2026</w:t>
            </w:r>
          </w:p>
        </w:tc>
      </w:tr>
      <w:tr>
        <w:tc>
          <w:tcPr>
            <w:tcW w:type="dxa" w:w="1728"/>
          </w:tcPr>
          <w:p>
            <w:r>
              <w:t>Tokyo</w:t>
            </w:r>
          </w:p>
        </w:tc>
        <w:tc>
          <w:tcPr>
            <w:tcW w:type="dxa" w:w="1728"/>
          </w:tcPr>
          <w:p>
            <w:r>
              <w:t>Minpaku Law (180-day cap)</w:t>
            </w:r>
          </w:p>
        </w:tc>
        <w:tc>
          <w:tcPr>
            <w:tcW w:type="dxa" w:w="1728"/>
          </w:tcPr>
          <w:p>
            <w:r>
              <w:t>Low</w:t>
            </w:r>
          </w:p>
        </w:tc>
        <w:tc>
          <w:tcPr>
            <w:tcW w:type="dxa" w:w="1728"/>
          </w:tcPr>
          <w:p>
            <w:r>
              <w:t>National law since 2018; 180-day annual cap; relaxed enforcement in practice.</w:t>
            </w:r>
          </w:p>
        </w:tc>
        <w:tc>
          <w:tcPr>
            <w:tcW w:type="dxa" w:w="1728"/>
          </w:tcPr>
          <w:p>
            <w:r>
              <w:t>June 2026</w:t>
            </w:r>
          </w:p>
        </w:tc>
      </w:tr>
      <w:tr>
        <w:tc>
          <w:tcPr>
            <w:tcW w:type="dxa" w:w="1728"/>
          </w:tcPr>
          <w:p>
            <w:r>
              <w:t>Bangkok</w:t>
            </w:r>
          </w:p>
        </w:tc>
        <w:tc>
          <w:tcPr>
            <w:tcW w:type="dxa" w:w="1728"/>
          </w:tcPr>
          <w:p>
            <w:r>
              <w:t>Minimal regulation</w:t>
            </w:r>
          </w:p>
        </w:tc>
        <w:tc>
          <w:tcPr>
            <w:tcW w:type="dxa" w:w="1728"/>
          </w:tcPr>
          <w:p>
            <w:r>
              <w:t>Very Low</w:t>
            </w:r>
          </w:p>
        </w:tc>
        <w:tc>
          <w:tcPr>
            <w:tcW w:type="dxa" w:w="1728"/>
          </w:tcPr>
          <w:p>
            <w:r>
              <w:t>No dedicated STR legislation; general hotel act applies; effectively unregulated market.</w:t>
            </w:r>
          </w:p>
        </w:tc>
        <w:tc>
          <w:tcPr>
            <w:tcW w:type="dxa" w:w="1728"/>
          </w:tcPr>
          <w:p>
            <w:r>
              <w:t>June 2026</w:t>
            </w:r>
          </w:p>
        </w:tc>
      </w:tr>
    </w:tbl>
    <w:p/>
    <w:p>
      <w:r>
        <w:rPr>
          <w:b/>
          <w:sz w:val="24"/>
        </w:rPr>
        <w:t>Table S3. Complete SHAP Feature Importance Rankings (All Features)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Rank</w:t>
            </w:r>
          </w:p>
        </w:tc>
        <w:tc>
          <w:tcPr>
            <w:tcW w:type="dxa" w:w="2160"/>
          </w:tcPr>
          <w:p>
            <w:r>
              <w:rPr>
                <w:b/>
              </w:rPr>
              <w:t>Feature</w:t>
            </w:r>
          </w:p>
        </w:tc>
        <w:tc>
          <w:tcPr>
            <w:tcW w:type="dxa" w:w="2160"/>
          </w:tcPr>
          <w:p>
            <w:r>
              <w:rPr>
                <w:b/>
              </w:rPr>
              <w:t>SHAP Importance</w:t>
            </w:r>
          </w:p>
        </w:tc>
        <w:tc>
          <w:tcPr>
            <w:tcW w:type="dxa" w:w="2160"/>
          </w:tcPr>
          <w:p>
            <w:r>
              <w:rPr>
                <w:b/>
              </w:rPr>
              <w:t>Cumulative (%)</w:t>
            </w:r>
          </w:p>
        </w:tc>
      </w:tr>
      <w:tr>
        <w:tc>
          <w:tcPr>
            <w:tcW w:type="dxa" w:w="2160"/>
          </w:tcPr>
          <w:p>
            <w:r>
              <w:t>1</w:t>
            </w:r>
          </w:p>
        </w:tc>
        <w:tc>
          <w:tcPr>
            <w:tcW w:type="dxa" w:w="2160"/>
          </w:tcPr>
          <w:p>
            <w:r>
              <w:t>host_is_superhost</w:t>
            </w:r>
          </w:p>
        </w:tc>
        <w:tc>
          <w:tcPr>
            <w:tcW w:type="dxa" w:w="2160"/>
          </w:tcPr>
          <w:p>
            <w:r>
              <w:t>0.6215</w:t>
            </w:r>
          </w:p>
        </w:tc>
        <w:tc>
          <w:tcPr>
            <w:tcW w:type="dxa" w:w="2160"/>
          </w:tcPr>
          <w:p>
            <w:r>
              <w:t>62.15%</w:t>
            </w:r>
          </w:p>
        </w:tc>
      </w:tr>
      <w:tr>
        <w:tc>
          <w:tcPr>
            <w:tcW w:type="dxa" w:w="2160"/>
          </w:tcPr>
          <w:p>
            <w:r>
              <w:t>2</w:t>
            </w:r>
          </w:p>
        </w:tc>
        <w:tc>
          <w:tcPr>
            <w:tcW w:type="dxa" w:w="2160"/>
          </w:tcPr>
          <w:p>
            <w:r>
              <w:t>city_London</w:t>
            </w:r>
          </w:p>
        </w:tc>
        <w:tc>
          <w:tcPr>
            <w:tcW w:type="dxa" w:w="2160"/>
          </w:tcPr>
          <w:p>
            <w:r>
              <w:t>0.0612</w:t>
            </w:r>
          </w:p>
        </w:tc>
        <w:tc>
          <w:tcPr>
            <w:tcW w:type="dxa" w:w="2160"/>
          </w:tcPr>
          <w:p>
            <w:r>
              <w:t>68.27%</w:t>
            </w:r>
          </w:p>
        </w:tc>
      </w:tr>
      <w:tr>
        <w:tc>
          <w:tcPr>
            <w:tcW w:type="dxa" w:w="2160"/>
          </w:tcPr>
          <w:p>
            <w:r>
              <w:t>3</w:t>
            </w:r>
          </w:p>
        </w:tc>
        <w:tc>
          <w:tcPr>
            <w:tcW w:type="dxa" w:w="2160"/>
          </w:tcPr>
          <w:p>
            <w:r>
              <w:t>city_Amsterdam</w:t>
            </w:r>
          </w:p>
        </w:tc>
        <w:tc>
          <w:tcPr>
            <w:tcW w:type="dxa" w:w="2160"/>
          </w:tcPr>
          <w:p>
            <w:r>
              <w:t>0.0541</w:t>
            </w:r>
          </w:p>
        </w:tc>
        <w:tc>
          <w:tcPr>
            <w:tcW w:type="dxa" w:w="2160"/>
          </w:tcPr>
          <w:p>
            <w:r>
              <w:t>72.38%</w:t>
            </w:r>
          </w:p>
        </w:tc>
      </w:tr>
      <w:tr>
        <w:tc>
          <w:tcPr>
            <w:tcW w:type="dxa" w:w="2160"/>
          </w:tcPr>
          <w:p>
            <w:r>
              <w:t>4</w:t>
            </w:r>
          </w:p>
        </w:tc>
        <w:tc>
          <w:tcPr>
            <w:tcW w:type="dxa" w:w="2160"/>
          </w:tcPr>
          <w:p>
            <w:r>
              <w:t>city_Barcelona</w:t>
            </w:r>
          </w:p>
        </w:tc>
        <w:tc>
          <w:tcPr>
            <w:tcW w:type="dxa" w:w="2160"/>
          </w:tcPr>
          <w:p>
            <w:r>
              <w:t>0.0458</w:t>
            </w:r>
          </w:p>
        </w:tc>
        <w:tc>
          <w:tcPr>
            <w:tcW w:type="dxa" w:w="2160"/>
          </w:tcPr>
          <w:p>
            <w:r>
              <w:t>77.96%</w:t>
            </w:r>
          </w:p>
        </w:tc>
      </w:tr>
      <w:tr>
        <w:tc>
          <w:tcPr>
            <w:tcW w:type="dxa" w:w="2160"/>
          </w:tcPr>
          <w:p>
            <w:r>
              <w:t>5</w:t>
            </w:r>
          </w:p>
        </w:tc>
        <w:tc>
          <w:tcPr>
            <w:tcW w:type="dxa" w:w="2160"/>
          </w:tcPr>
          <w:p>
            <w:r>
              <w:t>city_Toronto</w:t>
            </w:r>
          </w:p>
        </w:tc>
        <w:tc>
          <w:tcPr>
            <w:tcW w:type="dxa" w:w="2160"/>
          </w:tcPr>
          <w:p>
            <w:r>
              <w:t>0.0243</w:t>
            </w:r>
          </w:p>
        </w:tc>
        <w:tc>
          <w:tcPr>
            <w:tcW w:type="dxa" w:w="2160"/>
          </w:tcPr>
          <w:p>
            <w:r>
              <w:t>82.29%</w:t>
            </w:r>
          </w:p>
        </w:tc>
      </w:tr>
      <w:tr>
        <w:tc>
          <w:tcPr>
            <w:tcW w:type="dxa" w:w="2160"/>
          </w:tcPr>
          <w:p>
            <w:r>
              <w:t>6</w:t>
            </w:r>
          </w:p>
        </w:tc>
        <w:tc>
          <w:tcPr>
            <w:tcW w:type="dxa" w:w="2160"/>
          </w:tcPr>
          <w:p>
            <w:r>
              <w:t>number_of_reviews</w:t>
            </w:r>
          </w:p>
        </w:tc>
        <w:tc>
          <w:tcPr>
            <w:tcW w:type="dxa" w:w="2160"/>
          </w:tcPr>
          <w:p>
            <w:r>
              <w:t>0.0226</w:t>
            </w:r>
          </w:p>
        </w:tc>
        <w:tc>
          <w:tcPr>
            <w:tcW w:type="dxa" w:w="2160"/>
          </w:tcPr>
          <w:p>
            <w:r>
              <w:t>84.55%</w:t>
            </w:r>
          </w:p>
        </w:tc>
      </w:tr>
      <w:tr>
        <w:tc>
          <w:tcPr>
            <w:tcW w:type="dxa" w:w="2160"/>
          </w:tcPr>
          <w:p>
            <w:r>
              <w:t>7</w:t>
            </w:r>
          </w:p>
        </w:tc>
        <w:tc>
          <w:tcPr>
            <w:tcW w:type="dxa" w:w="2160"/>
          </w:tcPr>
          <w:p>
            <w:r>
              <w:t>city_Paris</w:t>
            </w:r>
          </w:p>
        </w:tc>
        <w:tc>
          <w:tcPr>
            <w:tcW w:type="dxa" w:w="2160"/>
          </w:tcPr>
          <w:p>
            <w:r>
              <w:t>0.0210</w:t>
            </w:r>
          </w:p>
        </w:tc>
        <w:tc>
          <w:tcPr>
            <w:tcW w:type="dxa" w:w="2160"/>
          </w:tcPr>
          <w:p>
            <w:r>
              <w:t>86.55%</w:t>
            </w:r>
          </w:p>
        </w:tc>
      </w:tr>
      <w:tr>
        <w:tc>
          <w:tcPr>
            <w:tcW w:type="dxa" w:w="2160"/>
          </w:tcPr>
          <w:p>
            <w:r>
              <w:t>8</w:t>
            </w:r>
          </w:p>
        </w:tc>
        <w:tc>
          <w:tcPr>
            <w:tcW w:type="dxa" w:w="2160"/>
          </w:tcPr>
          <w:p>
            <w:r>
              <w:t>city_Los Angeles</w:t>
            </w:r>
          </w:p>
        </w:tc>
        <w:tc>
          <w:tcPr>
            <w:tcW w:type="dxa" w:w="2160"/>
          </w:tcPr>
          <w:p>
            <w:r>
              <w:t>0.0188</w:t>
            </w:r>
          </w:p>
        </w:tc>
        <w:tc>
          <w:tcPr>
            <w:tcW w:type="dxa" w:w="2160"/>
          </w:tcPr>
          <w:p>
            <w:r>
              <w:t>88.43%</w:t>
            </w:r>
          </w:p>
        </w:tc>
      </w:tr>
      <w:tr>
        <w:tc>
          <w:tcPr>
            <w:tcW w:type="dxa" w:w="2160"/>
          </w:tcPr>
          <w:p>
            <w:r>
              <w:t>9</w:t>
            </w:r>
          </w:p>
        </w:tc>
        <w:tc>
          <w:tcPr>
            <w:tcW w:type="dxa" w:w="2160"/>
          </w:tcPr>
          <w:p>
            <w:r>
              <w:t>minimum_nights</w:t>
            </w:r>
          </w:p>
        </w:tc>
        <w:tc>
          <w:tcPr>
            <w:tcW w:type="dxa" w:w="2160"/>
          </w:tcPr>
          <w:p>
            <w:r>
              <w:t>0.0185</w:t>
            </w:r>
          </w:p>
        </w:tc>
        <w:tc>
          <w:tcPr>
            <w:tcW w:type="dxa" w:w="2160"/>
          </w:tcPr>
          <w:p>
            <w:r>
              <w:t>90.18%</w:t>
            </w:r>
          </w:p>
        </w:tc>
      </w:tr>
      <w:tr>
        <w:tc>
          <w:tcPr>
            <w:tcW w:type="dxa" w:w="2160"/>
          </w:tcPr>
          <w:p>
            <w:r>
              <w:t>10</w:t>
            </w:r>
          </w:p>
        </w:tc>
        <w:tc>
          <w:tcPr>
            <w:tcW w:type="dxa" w:w="2160"/>
          </w:tcPr>
          <w:p>
            <w:r>
              <w:t>city_Sydney</w:t>
            </w:r>
          </w:p>
        </w:tc>
        <w:tc>
          <w:tcPr>
            <w:tcW w:type="dxa" w:w="2160"/>
          </w:tcPr>
          <w:p>
            <w:r>
              <w:t>0.0161</w:t>
            </w:r>
          </w:p>
        </w:tc>
        <w:tc>
          <w:tcPr>
            <w:tcW w:type="dxa" w:w="2160"/>
          </w:tcPr>
          <w:p>
            <w:r>
              <w:t>91.29%</w:t>
            </w:r>
          </w:p>
        </w:tc>
      </w:tr>
      <w:tr>
        <w:tc>
          <w:tcPr>
            <w:tcW w:type="dxa" w:w="2160"/>
          </w:tcPr>
          <w:p>
            <w:r>
              <w:t>11</w:t>
            </w:r>
          </w:p>
        </w:tc>
        <w:tc>
          <w:tcPr>
            <w:tcW w:type="dxa" w:w="2160"/>
          </w:tcPr>
          <w:p>
            <w:r>
              <w:t>city_Bangkok</w:t>
            </w:r>
          </w:p>
        </w:tc>
        <w:tc>
          <w:tcPr>
            <w:tcW w:type="dxa" w:w="2160"/>
          </w:tcPr>
          <w:p>
            <w:r>
              <w:t>0.0143</w:t>
            </w:r>
          </w:p>
        </w:tc>
        <w:tc>
          <w:tcPr>
            <w:tcW w:type="dxa" w:w="2160"/>
          </w:tcPr>
          <w:p>
            <w:r>
              <w:t>92.62%</w:t>
            </w:r>
          </w:p>
        </w:tc>
      </w:tr>
      <w:tr>
        <w:tc>
          <w:tcPr>
            <w:tcW w:type="dxa" w:w="2160"/>
          </w:tcPr>
          <w:p>
            <w:r>
              <w:t>12</w:t>
            </w:r>
          </w:p>
        </w:tc>
        <w:tc>
          <w:tcPr>
            <w:tcW w:type="dxa" w:w="2160"/>
          </w:tcPr>
          <w:p>
            <w:r>
              <w:t>city_Tokyo</w:t>
            </w:r>
          </w:p>
        </w:tc>
        <w:tc>
          <w:tcPr>
            <w:tcW w:type="dxa" w:w="2160"/>
          </w:tcPr>
          <w:p>
            <w:r>
              <w:t>0.0141</w:t>
            </w:r>
          </w:p>
        </w:tc>
        <w:tc>
          <w:tcPr>
            <w:tcW w:type="dxa" w:w="2160"/>
          </w:tcPr>
          <w:p>
            <w:r>
              <w:t>93.73%</w:t>
            </w:r>
          </w:p>
        </w:tc>
      </w:tr>
      <w:tr>
        <w:tc>
          <w:tcPr>
            <w:tcW w:type="dxa" w:w="2160"/>
          </w:tcPr>
          <w:p>
            <w:r>
              <w:t>13</w:t>
            </w:r>
          </w:p>
        </w:tc>
        <w:tc>
          <w:tcPr>
            <w:tcW w:type="dxa" w:w="2160"/>
          </w:tcPr>
          <w:p>
            <w:r>
              <w:t>latitude</w:t>
            </w:r>
          </w:p>
        </w:tc>
        <w:tc>
          <w:tcPr>
            <w:tcW w:type="dxa" w:w="2160"/>
          </w:tcPr>
          <w:p>
            <w:r>
              <w:t>0.0111</w:t>
            </w:r>
          </w:p>
        </w:tc>
        <w:tc>
          <w:tcPr>
            <w:tcW w:type="dxa" w:w="2160"/>
          </w:tcPr>
          <w:p>
            <w:r>
              <w:t>94.84%</w:t>
            </w:r>
          </w:p>
        </w:tc>
      </w:tr>
      <w:tr>
        <w:tc>
          <w:tcPr>
            <w:tcW w:type="dxa" w:w="2160"/>
          </w:tcPr>
          <w:p>
            <w:r>
              <w:t>14</w:t>
            </w:r>
          </w:p>
        </w:tc>
        <w:tc>
          <w:tcPr>
            <w:tcW w:type="dxa" w:w="2160"/>
          </w:tcPr>
          <w:p>
            <w:r>
              <w:t>price</w:t>
            </w:r>
          </w:p>
        </w:tc>
        <w:tc>
          <w:tcPr>
            <w:tcW w:type="dxa" w:w="2160"/>
          </w:tcPr>
          <w:p>
            <w:r>
              <w:t>0.0105</w:t>
            </w:r>
          </w:p>
        </w:tc>
        <w:tc>
          <w:tcPr>
            <w:tcW w:type="dxa" w:w="2160"/>
          </w:tcPr>
          <w:p>
            <w:r>
              <w:t>95.89%</w:t>
            </w:r>
          </w:p>
        </w:tc>
      </w:tr>
      <w:tr>
        <w:tc>
          <w:tcPr>
            <w:tcW w:type="dxa" w:w="2160"/>
          </w:tcPr>
          <w:p>
            <w:r>
              <w:t>15</w:t>
            </w:r>
          </w:p>
        </w:tc>
        <w:tc>
          <w:tcPr>
            <w:tcW w:type="dxa" w:w="2160"/>
          </w:tcPr>
          <w:p>
            <w:r>
              <w:t>longitude</w:t>
            </w:r>
          </w:p>
        </w:tc>
        <w:tc>
          <w:tcPr>
            <w:tcW w:type="dxa" w:w="2160"/>
          </w:tcPr>
          <w:p>
            <w:r>
              <w:t>0.0104</w:t>
            </w:r>
          </w:p>
        </w:tc>
        <w:tc>
          <w:tcPr>
            <w:tcW w:type="dxa" w:w="2160"/>
          </w:tcPr>
          <w:p>
            <w:r>
              <w:t>96.93%</w:t>
            </w:r>
          </w:p>
        </w:tc>
      </w:tr>
      <w:tr>
        <w:tc>
          <w:tcPr>
            <w:tcW w:type="dxa" w:w="2160"/>
          </w:tcPr>
          <w:p>
            <w:r>
              <w:t>16</w:t>
            </w:r>
          </w:p>
        </w:tc>
        <w:tc>
          <w:tcPr>
            <w:tcW w:type="dxa" w:w="2160"/>
          </w:tcPr>
          <w:p>
            <w:r>
              <w:t>city_Vienna</w:t>
            </w:r>
          </w:p>
        </w:tc>
        <w:tc>
          <w:tcPr>
            <w:tcW w:type="dxa" w:w="2160"/>
          </w:tcPr>
          <w:p>
            <w:r>
              <w:t>0.0098</w:t>
            </w:r>
          </w:p>
        </w:tc>
        <w:tc>
          <w:tcPr>
            <w:tcW w:type="dxa" w:w="2160"/>
          </w:tcPr>
          <w:p>
            <w:r>
              <w:t>97.73%</w:t>
            </w:r>
          </w:p>
        </w:tc>
      </w:tr>
      <w:tr>
        <w:tc>
          <w:tcPr>
            <w:tcW w:type="dxa" w:w="2160"/>
          </w:tcPr>
          <w:p>
            <w:r>
              <w:t>17</w:t>
            </w:r>
          </w:p>
        </w:tc>
        <w:tc>
          <w:tcPr>
            <w:tcW w:type="dxa" w:w="2160"/>
          </w:tcPr>
          <w:p>
            <w:r>
              <w:t>room_type_num</w:t>
            </w:r>
          </w:p>
        </w:tc>
        <w:tc>
          <w:tcPr>
            <w:tcW w:type="dxa" w:w="2160"/>
          </w:tcPr>
          <w:p>
            <w:r>
              <w:t>0.0097</w:t>
            </w:r>
          </w:p>
        </w:tc>
        <w:tc>
          <w:tcPr>
            <w:tcW w:type="dxa" w:w="2160"/>
          </w:tcPr>
          <w:p>
            <w:r>
              <w:t>98.40%</w:t>
            </w:r>
          </w:p>
        </w:tc>
      </w:tr>
      <w:tr>
        <w:tc>
          <w:tcPr>
            <w:tcW w:type="dxa" w:w="2160"/>
          </w:tcPr>
          <w:p>
            <w:r>
              <w:t>18</w:t>
            </w:r>
          </w:p>
        </w:tc>
        <w:tc>
          <w:tcPr>
            <w:tcW w:type="dxa" w:w="2160"/>
          </w:tcPr>
          <w:p>
            <w:r>
              <w:t>city_New York</w:t>
            </w:r>
          </w:p>
        </w:tc>
        <w:tc>
          <w:tcPr>
            <w:tcW w:type="dxa" w:w="2160"/>
          </w:tcPr>
          <w:p>
            <w:r>
              <w:t>0.0085</w:t>
            </w:r>
          </w:p>
        </w:tc>
        <w:tc>
          <w:tcPr>
            <w:tcW w:type="dxa" w:w="2160"/>
          </w:tcPr>
          <w:p>
            <w:r>
              <w:t>98.98%</w:t>
            </w:r>
          </w:p>
        </w:tc>
      </w:tr>
      <w:tr>
        <w:tc>
          <w:tcPr>
            <w:tcW w:type="dxa" w:w="2160"/>
          </w:tcPr>
          <w:p>
            <w:r>
              <w:t>19</w:t>
            </w:r>
          </w:p>
        </w:tc>
        <w:tc>
          <w:tcPr>
            <w:tcW w:type="dxa" w:w="2160"/>
          </w:tcPr>
          <w:p>
            <w:r>
              <w:t>city_Melbourne</w:t>
            </w:r>
          </w:p>
        </w:tc>
        <w:tc>
          <w:tcPr>
            <w:tcW w:type="dxa" w:w="2160"/>
          </w:tcPr>
          <w:p>
            <w:r>
              <w:t>0.0077</w:t>
            </w:r>
          </w:p>
        </w:tc>
        <w:tc>
          <w:tcPr>
            <w:tcW w:type="dxa" w:w="2160"/>
          </w:tcPr>
          <w:p>
            <w:r>
              <w:t>99.75%</w:t>
            </w:r>
          </w:p>
        </w:tc>
      </w:tr>
      <w:tr>
        <w:tc>
          <w:tcPr>
            <w:tcW w:type="dxa" w:w="2160"/>
          </w:tcPr>
          <w:p>
            <w:r>
              <w:t>20</w:t>
            </w:r>
          </w:p>
        </w:tc>
        <w:tc>
          <w:tcPr>
            <w:tcW w:type="dxa" w:w="2160"/>
          </w:tcPr>
          <w:p>
            <w:r>
              <w:t>(other features)</w:t>
            </w:r>
          </w:p>
        </w:tc>
        <w:tc>
          <w:tcPr>
            <w:tcW w:type="dxa" w:w="2160"/>
          </w:tcPr>
          <w:p>
            <w:r>
              <w:t>0.0025</w:t>
            </w:r>
          </w:p>
        </w:tc>
        <w:tc>
          <w:tcPr>
            <w:tcW w:type="dxa" w:w="2160"/>
          </w:tcPr>
          <w:p>
            <w:r>
              <w:t>100.00%</w:t>
            </w:r>
          </w:p>
        </w:tc>
      </w:tr>
    </w:tbl>
    <w:p/>
    <w:p>
      <w:r>
        <w:rPr>
          <w:b/>
          <w:sz w:val="24"/>
        </w:rPr>
        <w:t>Table S4. Framework Transferability: Required Inputs and Expected Outputs by Policy Domain</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Policy Domain</w:t>
            </w:r>
          </w:p>
        </w:tc>
        <w:tc>
          <w:tcPr>
            <w:tcW w:type="dxa" w:w="1440"/>
          </w:tcPr>
          <w:p>
            <w:r>
              <w:rPr>
                <w:b/>
              </w:rPr>
              <w:t>Geolocated Outcome Data</w:t>
            </w:r>
          </w:p>
        </w:tc>
        <w:tc>
          <w:tcPr>
            <w:tcW w:type="dxa" w:w="1440"/>
          </w:tcPr>
          <w:p>
            <w:r>
              <w:rPr>
                <w:b/>
              </w:rPr>
              <w:t>Structural Covariates</w:t>
            </w:r>
          </w:p>
        </w:tc>
        <w:tc>
          <w:tcPr>
            <w:tcW w:type="dxa" w:w="1440"/>
          </w:tcPr>
          <w:p>
            <w:r>
              <w:rPr>
                <w:b/>
              </w:rPr>
              <w:t>Spatial Unit</w:t>
            </w:r>
          </w:p>
        </w:tc>
        <w:tc>
          <w:tcPr>
            <w:tcW w:type="dxa" w:w="1440"/>
          </w:tcPr>
          <w:p>
            <w:r>
              <w:rPr>
                <w:b/>
              </w:rPr>
              <w:t>SII Interpretation</w:t>
            </w:r>
          </w:p>
        </w:tc>
        <w:tc>
          <w:tcPr>
            <w:tcW w:type="dxa" w:w="1440"/>
          </w:tcPr>
          <w:p>
            <w:r>
              <w:rPr>
                <w:b/>
              </w:rPr>
              <w:t>SHAP Interpretation</w:t>
            </w:r>
          </w:p>
        </w:tc>
      </w:tr>
      <w:tr>
        <w:tc>
          <w:tcPr>
            <w:tcW w:type="dxa" w:w="1440"/>
          </w:tcPr>
          <w:p>
            <w:r>
              <w:t>Crime hotspot analysis</w:t>
            </w:r>
          </w:p>
        </w:tc>
        <w:tc>
          <w:tcPr>
            <w:tcW w:type="dxa" w:w="1440"/>
          </w:tcPr>
          <w:p>
            <w:r>
              <w:t>Geocoded incident reports</w:t>
            </w:r>
          </w:p>
        </w:tc>
        <w:tc>
          <w:tcPr>
            <w:tcW w:type="dxa" w:w="1440"/>
          </w:tcPr>
          <w:p>
            <w:r>
              <w:t>Neighborhood demographics, land use, lighting</w:t>
            </w:r>
          </w:p>
        </w:tc>
        <w:tc>
          <w:tcPr>
            <w:tcW w:type="dxa" w:w="1440"/>
          </w:tcPr>
          <w:p>
            <w:r>
              <w:t>Police precinct / census tract</w:t>
            </w:r>
          </w:p>
        </w:tc>
        <w:tc>
          <w:tcPr>
            <w:tcW w:type="dxa" w:w="1440"/>
          </w:tcPr>
          <w:p>
            <w:r>
              <w:t>Hypothesized inequality of crime exposure across neighborhoods</w:t>
            </w:r>
          </w:p>
        </w:tc>
        <w:tc>
          <w:tcPr>
            <w:tcW w:type="dxa" w:w="1440"/>
          </w:tcPr>
          <w:p>
            <w:r>
              <w:t>Drivers of crime risk (e.g., lighting, vacancy)</w:t>
            </w:r>
          </w:p>
        </w:tc>
      </w:tr>
      <w:tr>
        <w:tc>
          <w:tcPr>
            <w:tcW w:type="dxa" w:w="1440"/>
          </w:tcPr>
          <w:p>
            <w:r>
              <w:t>Environmental justice</w:t>
            </w:r>
          </w:p>
        </w:tc>
        <w:tc>
          <w:tcPr>
            <w:tcW w:type="dxa" w:w="1440"/>
          </w:tcPr>
          <w:p>
            <w:r>
              <w:t>Pollutant exposure (PM2.5, NO₂)</w:t>
            </w:r>
          </w:p>
        </w:tc>
        <w:tc>
          <w:tcPr>
            <w:tcW w:type="dxa" w:w="1440"/>
          </w:tcPr>
          <w:p>
            <w:r>
              <w:t>Demographics, industry locations, traffic</w:t>
            </w:r>
          </w:p>
        </w:tc>
        <w:tc>
          <w:tcPr>
            <w:tcW w:type="dxa" w:w="1440"/>
          </w:tcPr>
          <w:p>
            <w:r>
              <w:t>Census tract / grid cell</w:t>
            </w:r>
          </w:p>
        </w:tc>
        <w:tc>
          <w:tcPr>
            <w:tcW w:type="dxa" w:w="1440"/>
          </w:tcPr>
          <w:p>
            <w:r>
              <w:t>Hypothesized inequality of environmental burden</w:t>
            </w:r>
          </w:p>
        </w:tc>
        <w:tc>
          <w:tcPr>
            <w:tcW w:type="dxa" w:w="1440"/>
          </w:tcPr>
          <w:p>
            <w:r>
              <w:t>Drivers of exposure (e.g., proximity to highways)</w:t>
            </w:r>
          </w:p>
        </w:tc>
      </w:tr>
      <w:tr>
        <w:tc>
          <w:tcPr>
            <w:tcW w:type="dxa" w:w="1440"/>
          </w:tcPr>
          <w:p>
            <w:r>
              <w:t>Healthcare accessibility</w:t>
            </w:r>
          </w:p>
        </w:tc>
        <w:tc>
          <w:tcPr>
            <w:tcW w:type="dxa" w:w="1440"/>
          </w:tcPr>
          <w:p>
            <w:r>
              <w:t>Facility locations + patient flows</w:t>
            </w:r>
          </w:p>
        </w:tc>
        <w:tc>
          <w:tcPr>
            <w:tcW w:type="dxa" w:w="1440"/>
          </w:tcPr>
          <w:p>
            <w:r>
              <w:t>Population density, transit network, insurance</w:t>
            </w:r>
          </w:p>
        </w:tc>
        <w:tc>
          <w:tcPr>
            <w:tcW w:type="dxa" w:w="1440"/>
          </w:tcPr>
          <w:p>
            <w:r>
              <w:t>Service area / catchment</w:t>
            </w:r>
          </w:p>
        </w:tc>
        <w:tc>
          <w:tcPr>
            <w:tcW w:type="dxa" w:w="1440"/>
          </w:tcPr>
          <w:p>
            <w:r>
              <w:t>Hypothesized inequality of healthcare access</w:t>
            </w:r>
          </w:p>
        </w:tc>
        <w:tc>
          <w:tcPr>
            <w:tcW w:type="dxa" w:w="1440"/>
          </w:tcPr>
          <w:p>
            <w:r>
              <w:t>Drivers of access barriers (e.g., transit distance)</w:t>
            </w:r>
          </w:p>
        </w:tc>
      </w:tr>
      <w:tr>
        <w:tc>
          <w:tcPr>
            <w:tcW w:type="dxa" w:w="1440"/>
          </w:tcPr>
          <w:p>
            <w:r>
              <w:t>Retail service provision</w:t>
            </w:r>
          </w:p>
        </w:tc>
        <w:tc>
          <w:tcPr>
            <w:tcW w:type="dxa" w:w="1440"/>
          </w:tcPr>
          <w:p>
            <w:r>
              <w:t>Business locations + revenue</w:t>
            </w:r>
          </w:p>
        </w:tc>
        <w:tc>
          <w:tcPr>
            <w:tcW w:type="dxa" w:w="1440"/>
          </w:tcPr>
          <w:p>
            <w:r>
              <w:t>Population density, income, competition</w:t>
            </w:r>
          </w:p>
        </w:tc>
        <w:tc>
          <w:tcPr>
            <w:tcW w:type="dxa" w:w="1440"/>
          </w:tcPr>
          <w:p>
            <w:r>
              <w:t>Retail catchment area</w:t>
            </w:r>
          </w:p>
        </w:tc>
        <w:tc>
          <w:tcPr>
            <w:tcW w:type="dxa" w:w="1440"/>
          </w:tcPr>
          <w:p>
            <w:r>
              <w:t>Hypothesized inequality of retail access</w:t>
            </w:r>
          </w:p>
        </w:tc>
        <w:tc>
          <w:tcPr>
            <w:tcW w:type="dxa" w:w="1440"/>
          </w:tcPr>
          <w:p>
            <w:r>
              <w:t>Drivers of service provision (e.g., income level)</w:t>
            </w:r>
          </w:p>
        </w:tc>
      </w:tr>
      <w:tr>
        <w:tc>
          <w:tcPr>
            <w:tcW w:type="dxa" w:w="1440"/>
          </w:tcPr>
          <w:p>
            <w:r>
              <w:t>STR housing (this study)</w:t>
            </w:r>
          </w:p>
        </w:tc>
        <w:tc>
          <w:tcPr>
            <w:tcW w:type="dxa" w:w="1440"/>
          </w:tcPr>
          <w:p>
            <w:r>
              <w:t>Airbnb listings + review scores</w:t>
            </w:r>
          </w:p>
        </w:tc>
        <w:tc>
          <w:tcPr>
            <w:tcW w:type="dxa" w:w="1440"/>
          </w:tcPr>
          <w:p>
            <w:r>
              <w:t>Property characteristics, host features, location</w:t>
            </w:r>
          </w:p>
        </w:tc>
        <w:tc>
          <w:tcPr>
            <w:tcW w:type="dxa" w:w="1440"/>
          </w:tcPr>
          <w:p>
            <w:r>
              <w:t>Listing / grid cell</w:t>
            </w:r>
          </w:p>
        </w:tc>
        <w:tc>
          <w:tcPr>
            <w:tcW w:type="dxa" w:w="1440"/>
          </w:tcPr>
          <w:p>
            <w:r>
              <w:t>Inequality of accommodation quality</w:t>
            </w:r>
          </w:p>
        </w:tc>
        <w:tc>
          <w:tcPr>
            <w:tcW w:type="dxa" w:w="1440"/>
          </w:tcPr>
          <w:p>
            <w:r>
              <w:t>Drivers of quality (e.g., Superhost, centrality)</w:t>
            </w:r>
          </w:p>
        </w:tc>
      </w:tr>
    </w:tbl>
    <w:p/>
    <w:p>
      <w:r>
        <w:rPr>
          <w:b w:val="0"/>
          <w:i w:val="0"/>
        </w:rPr>
        <w:t xml:space="preserve">Note: We do not claim that the SII is a drop-in replacement for domain-specific inequality metrics; rather, we propose the </w:t>
      </w:r>
      <w:r>
        <w:rPr>
          <w:b w:val="0"/>
          <w:i/>
        </w:rPr>
        <w:t>architecture</w:t>
      </w:r>
      <w:r>
        <w:rPr>
          <w:b w:val="0"/>
          <w:i w:val="0"/>
        </w:rPr>
        <w:t xml:space="preserve"> (XGBoost + SHAP + scalar index + spatial diagnostics) as a transferable template, with the scalar index itself being domain-adaptable.</w:t>
      </w:r>
    </w:p>
    <w:p>
      <w:r>
        <w:rPr>
          <w:b/>
          <w:sz w:val="24"/>
        </w:rPr>
        <w:t>Table S5. Classification Metrics by City (Full Model, 5-fold CV)</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b/>
              </w:rPr>
              <w:t>City</w:t>
            </w:r>
          </w:p>
        </w:tc>
        <w:tc>
          <w:tcPr>
            <w:tcW w:type="dxa" w:w="1234"/>
          </w:tcPr>
          <w:p>
            <w:r>
              <w:rPr>
                <w:b/>
              </w:rPr>
              <w:t>Listings (n)</w:t>
            </w:r>
          </w:p>
        </w:tc>
        <w:tc>
          <w:tcPr>
            <w:tcW w:type="dxa" w:w="1234"/>
          </w:tcPr>
          <w:p>
            <w:r>
              <w:rPr>
                <w:b/>
              </w:rPr>
              <w:t>Accuracy</w:t>
            </w:r>
          </w:p>
        </w:tc>
        <w:tc>
          <w:tcPr>
            <w:tcW w:type="dxa" w:w="1234"/>
          </w:tcPr>
          <w:p>
            <w:r>
              <w:rPr>
                <w:b/>
              </w:rPr>
              <w:t>AUC</w:t>
            </w:r>
          </w:p>
        </w:tc>
        <w:tc>
          <w:tcPr>
            <w:tcW w:type="dxa" w:w="1234"/>
          </w:tcPr>
          <w:p>
            <w:r>
              <w:rPr>
                <w:b/>
              </w:rPr>
              <w:t>F1</w:t>
            </w:r>
          </w:p>
        </w:tc>
        <w:tc>
          <w:tcPr>
            <w:tcW w:type="dxa" w:w="1234"/>
          </w:tcPr>
          <w:p>
            <w:r>
              <w:rPr>
                <w:b/>
              </w:rPr>
              <w:t>Precision</w:t>
            </w:r>
          </w:p>
        </w:tc>
        <w:tc>
          <w:tcPr>
            <w:tcW w:type="dxa" w:w="1234"/>
          </w:tcPr>
          <w:p>
            <w:r>
              <w:rPr>
                <w:b/>
              </w:rPr>
              <w:t>Recall</w:t>
            </w:r>
          </w:p>
        </w:tc>
      </w:tr>
      <w:tr>
        <w:tc>
          <w:tcPr>
            <w:tcW w:type="dxa" w:w="1234"/>
          </w:tcPr>
          <w:p>
            <w:r>
              <w:t>Amsterdam</w:t>
            </w:r>
          </w:p>
        </w:tc>
        <w:tc>
          <w:tcPr>
            <w:tcW w:type="dxa" w:w="1234"/>
          </w:tcPr>
          <w:p>
            <w:r>
              <w:t>9,346</w:t>
            </w:r>
          </w:p>
        </w:tc>
        <w:tc>
          <w:tcPr>
            <w:tcW w:type="dxa" w:w="1234"/>
          </w:tcPr>
          <w:p>
            <w:r>
              <w:t>0.880</w:t>
            </w:r>
          </w:p>
        </w:tc>
        <w:tc>
          <w:tcPr>
            <w:tcW w:type="dxa" w:w="1234"/>
          </w:tcPr>
          <w:p>
            <w:r>
              <w:t>0.808</w:t>
            </w:r>
          </w:p>
        </w:tc>
        <w:tc>
          <w:tcPr>
            <w:tcW w:type="dxa" w:w="1234"/>
          </w:tcPr>
          <w:p>
            <w:r>
              <w:t>0.935</w:t>
            </w:r>
          </w:p>
        </w:tc>
        <w:tc>
          <w:tcPr>
            <w:tcW w:type="dxa" w:w="1234"/>
          </w:tcPr>
          <w:p>
            <w:r>
              <w:t>0.938</w:t>
            </w:r>
          </w:p>
        </w:tc>
        <w:tc>
          <w:tcPr>
            <w:tcW w:type="dxa" w:w="1234"/>
          </w:tcPr>
          <w:p>
            <w:r>
              <w:t>0.998</w:t>
            </w:r>
          </w:p>
        </w:tc>
      </w:tr>
      <w:tr>
        <w:tc>
          <w:tcPr>
            <w:tcW w:type="dxa" w:w="1234"/>
          </w:tcPr>
          <w:p>
            <w:r>
              <w:t>Toronto</w:t>
            </w:r>
          </w:p>
        </w:tc>
        <w:tc>
          <w:tcPr>
            <w:tcW w:type="dxa" w:w="1234"/>
          </w:tcPr>
          <w:p>
            <w:r>
              <w:t>17,145</w:t>
            </w:r>
          </w:p>
        </w:tc>
        <w:tc>
          <w:tcPr>
            <w:tcW w:type="dxa" w:w="1234"/>
          </w:tcPr>
          <w:p>
            <w:r>
              <w:t>0.862</w:t>
            </w:r>
          </w:p>
        </w:tc>
        <w:tc>
          <w:tcPr>
            <w:tcW w:type="dxa" w:w="1234"/>
          </w:tcPr>
          <w:p>
            <w:r>
              <w:t>0.782</w:t>
            </w:r>
          </w:p>
        </w:tc>
        <w:tc>
          <w:tcPr>
            <w:tcW w:type="dxa" w:w="1234"/>
          </w:tcPr>
          <w:p>
            <w:r>
              <w:t>0.925</w:t>
            </w:r>
          </w:p>
        </w:tc>
        <w:tc>
          <w:tcPr>
            <w:tcW w:type="dxa" w:w="1234"/>
          </w:tcPr>
          <w:p>
            <w:r>
              <w:t>0.921</w:t>
            </w:r>
          </w:p>
        </w:tc>
        <w:tc>
          <w:tcPr>
            <w:tcW w:type="dxa" w:w="1234"/>
          </w:tcPr>
          <w:p>
            <w:r>
              <w:t>0.996</w:t>
            </w:r>
          </w:p>
        </w:tc>
      </w:tr>
      <w:tr>
        <w:tc>
          <w:tcPr>
            <w:tcW w:type="dxa" w:w="1234"/>
          </w:tcPr>
          <w:p>
            <w:r>
              <w:t>Los Angeles</w:t>
            </w:r>
          </w:p>
        </w:tc>
        <w:tc>
          <w:tcPr>
            <w:tcW w:type="dxa" w:w="1234"/>
          </w:tcPr>
          <w:p>
            <w:r>
              <w:t>32,494</w:t>
            </w:r>
          </w:p>
        </w:tc>
        <w:tc>
          <w:tcPr>
            <w:tcW w:type="dxa" w:w="1234"/>
          </w:tcPr>
          <w:p>
            <w:r>
              <w:t>0.869</w:t>
            </w:r>
          </w:p>
        </w:tc>
        <w:tc>
          <w:tcPr>
            <w:tcW w:type="dxa" w:w="1234"/>
          </w:tcPr>
          <w:p>
            <w:r>
              <w:t>0.795</w:t>
            </w:r>
          </w:p>
        </w:tc>
        <w:tc>
          <w:tcPr>
            <w:tcW w:type="dxa" w:w="1234"/>
          </w:tcPr>
          <w:p>
            <w:r>
              <w:t>0.929</w:t>
            </w:r>
          </w:p>
        </w:tc>
        <w:tc>
          <w:tcPr>
            <w:tcW w:type="dxa" w:w="1234"/>
          </w:tcPr>
          <w:p>
            <w:r>
              <w:t>0.930</w:t>
            </w:r>
          </w:p>
        </w:tc>
        <w:tc>
          <w:tcPr>
            <w:tcW w:type="dxa" w:w="1234"/>
          </w:tcPr>
          <w:p>
            <w:r>
              <w:t>0.997</w:t>
            </w:r>
          </w:p>
        </w:tc>
      </w:tr>
      <w:tr>
        <w:tc>
          <w:tcPr>
            <w:tcW w:type="dxa" w:w="1234"/>
          </w:tcPr>
          <w:p>
            <w:r>
              <w:t>Paris</w:t>
            </w:r>
          </w:p>
        </w:tc>
        <w:tc>
          <w:tcPr>
            <w:tcW w:type="dxa" w:w="1234"/>
          </w:tcPr>
          <w:p>
            <w:r>
              <w:t>61,781</w:t>
            </w:r>
          </w:p>
        </w:tc>
        <w:tc>
          <w:tcPr>
            <w:tcW w:type="dxa" w:w="1234"/>
          </w:tcPr>
          <w:p>
            <w:r>
              <w:t>0.871</w:t>
            </w:r>
          </w:p>
        </w:tc>
        <w:tc>
          <w:tcPr>
            <w:tcW w:type="dxa" w:w="1234"/>
          </w:tcPr>
          <w:p>
            <w:r>
              <w:t>0.798</w:t>
            </w:r>
          </w:p>
        </w:tc>
        <w:tc>
          <w:tcPr>
            <w:tcW w:type="dxa" w:w="1234"/>
          </w:tcPr>
          <w:p>
            <w:r>
              <w:t>0.930</w:t>
            </w:r>
          </w:p>
        </w:tc>
        <w:tc>
          <w:tcPr>
            <w:tcW w:type="dxa" w:w="1234"/>
          </w:tcPr>
          <w:p>
            <w:r>
              <w:t>0.931</w:t>
            </w:r>
          </w:p>
        </w:tc>
        <w:tc>
          <w:tcPr>
            <w:tcW w:type="dxa" w:w="1234"/>
          </w:tcPr>
          <w:p>
            <w:r>
              <w:t>0.997</w:t>
            </w:r>
          </w:p>
        </w:tc>
      </w:tr>
      <w:tr>
        <w:tc>
          <w:tcPr>
            <w:tcW w:type="dxa" w:w="1234"/>
          </w:tcPr>
          <w:p>
            <w:r>
              <w:t>Tokyo</w:t>
            </w:r>
          </w:p>
        </w:tc>
        <w:tc>
          <w:tcPr>
            <w:tcW w:type="dxa" w:w="1234"/>
          </w:tcPr>
          <w:p>
            <w:r>
              <w:t>30,091</w:t>
            </w:r>
          </w:p>
        </w:tc>
        <w:tc>
          <w:tcPr>
            <w:tcW w:type="dxa" w:w="1234"/>
          </w:tcPr>
          <w:p>
            <w:r>
              <w:t>0.868</w:t>
            </w:r>
          </w:p>
        </w:tc>
        <w:tc>
          <w:tcPr>
            <w:tcW w:type="dxa" w:w="1234"/>
          </w:tcPr>
          <w:p>
            <w:r>
              <w:t>0.791</w:t>
            </w:r>
          </w:p>
        </w:tc>
        <w:tc>
          <w:tcPr>
            <w:tcW w:type="dxa" w:w="1234"/>
          </w:tcPr>
          <w:p>
            <w:r>
              <w:t>0.928</w:t>
            </w:r>
          </w:p>
        </w:tc>
        <w:tc>
          <w:tcPr>
            <w:tcW w:type="dxa" w:w="1234"/>
          </w:tcPr>
          <w:p>
            <w:r>
              <w:t>0.929</w:t>
            </w:r>
          </w:p>
        </w:tc>
        <w:tc>
          <w:tcPr>
            <w:tcW w:type="dxa" w:w="1234"/>
          </w:tcPr>
          <w:p>
            <w:r>
              <w:t>0.997</w:t>
            </w:r>
          </w:p>
        </w:tc>
      </w:tr>
      <w:tr>
        <w:tc>
          <w:tcPr>
            <w:tcW w:type="dxa" w:w="1234"/>
          </w:tcPr>
          <w:p>
            <w:r>
              <w:t>New York</w:t>
            </w:r>
          </w:p>
        </w:tc>
        <w:tc>
          <w:tcPr>
            <w:tcW w:type="dxa" w:w="1234"/>
          </w:tcPr>
          <w:p>
            <w:r>
              <w:t>15,438</w:t>
            </w:r>
          </w:p>
        </w:tc>
        <w:tc>
          <w:tcPr>
            <w:tcW w:type="dxa" w:w="1234"/>
          </w:tcPr>
          <w:p>
            <w:r>
              <w:t>0.865</w:t>
            </w:r>
          </w:p>
        </w:tc>
        <w:tc>
          <w:tcPr>
            <w:tcW w:type="dxa" w:w="1234"/>
          </w:tcPr>
          <w:p>
            <w:r>
              <w:t>0.788</w:t>
            </w:r>
          </w:p>
        </w:tc>
        <w:tc>
          <w:tcPr>
            <w:tcW w:type="dxa" w:w="1234"/>
          </w:tcPr>
          <w:p>
            <w:r>
              <w:t>0.927</w:t>
            </w:r>
          </w:p>
        </w:tc>
        <w:tc>
          <w:tcPr>
            <w:tcW w:type="dxa" w:w="1234"/>
          </w:tcPr>
          <w:p>
            <w:r>
              <w:t>0.927</w:t>
            </w:r>
          </w:p>
        </w:tc>
        <w:tc>
          <w:tcPr>
            <w:tcW w:type="dxa" w:w="1234"/>
          </w:tcPr>
          <w:p>
            <w:r>
              <w:t>0.997</w:t>
            </w:r>
          </w:p>
        </w:tc>
      </w:tr>
      <w:tr>
        <w:tc>
          <w:tcPr>
            <w:tcW w:type="dxa" w:w="1234"/>
          </w:tcPr>
          <w:p>
            <w:r>
              <w:t>Melbourne</w:t>
            </w:r>
          </w:p>
        </w:tc>
        <w:tc>
          <w:tcPr>
            <w:tcW w:type="dxa" w:w="1234"/>
          </w:tcPr>
          <w:p>
            <w:r>
              <w:t>21,251</w:t>
            </w:r>
          </w:p>
        </w:tc>
        <w:tc>
          <w:tcPr>
            <w:tcW w:type="dxa" w:w="1234"/>
          </w:tcPr>
          <w:p>
            <w:r>
              <w:t>0.867</w:t>
            </w:r>
          </w:p>
        </w:tc>
        <w:tc>
          <w:tcPr>
            <w:tcW w:type="dxa" w:w="1234"/>
          </w:tcPr>
          <w:p>
            <w:r>
              <w:t>0.790</w:t>
            </w:r>
          </w:p>
        </w:tc>
        <w:tc>
          <w:tcPr>
            <w:tcW w:type="dxa" w:w="1234"/>
          </w:tcPr>
          <w:p>
            <w:r>
              <w:t>0.928</w:t>
            </w:r>
          </w:p>
        </w:tc>
        <w:tc>
          <w:tcPr>
            <w:tcW w:type="dxa" w:w="1234"/>
          </w:tcPr>
          <w:p>
            <w:r>
              <w:t>0.928</w:t>
            </w:r>
          </w:p>
        </w:tc>
        <w:tc>
          <w:tcPr>
            <w:tcW w:type="dxa" w:w="1234"/>
          </w:tcPr>
          <w:p>
            <w:r>
              <w:t>0.997</w:t>
            </w:r>
          </w:p>
        </w:tc>
      </w:tr>
      <w:tr>
        <w:tc>
          <w:tcPr>
            <w:tcW w:type="dxa" w:w="1234"/>
          </w:tcPr>
          <w:p>
            <w:r>
              <w:t>Vienna</w:t>
            </w:r>
          </w:p>
        </w:tc>
        <w:tc>
          <w:tcPr>
            <w:tcW w:type="dxa" w:w="1234"/>
          </w:tcPr>
          <w:p>
            <w:r>
              <w:t>11,203</w:t>
            </w:r>
          </w:p>
        </w:tc>
        <w:tc>
          <w:tcPr>
            <w:tcW w:type="dxa" w:w="1234"/>
          </w:tcPr>
          <w:p>
            <w:r>
              <w:t>0.864</w:t>
            </w:r>
          </w:p>
        </w:tc>
        <w:tc>
          <w:tcPr>
            <w:tcW w:type="dxa" w:w="1234"/>
          </w:tcPr>
          <w:p>
            <w:r>
              <w:t>0.786</w:t>
            </w:r>
          </w:p>
        </w:tc>
        <w:tc>
          <w:tcPr>
            <w:tcW w:type="dxa" w:w="1234"/>
          </w:tcPr>
          <w:p>
            <w:r>
              <w:t>0.926</w:t>
            </w:r>
          </w:p>
        </w:tc>
        <w:tc>
          <w:tcPr>
            <w:tcW w:type="dxa" w:w="1234"/>
          </w:tcPr>
          <w:p>
            <w:r>
              <w:t>0.926</w:t>
            </w:r>
          </w:p>
        </w:tc>
        <w:tc>
          <w:tcPr>
            <w:tcW w:type="dxa" w:w="1234"/>
          </w:tcPr>
          <w:p>
            <w:r>
              <w:t>0.997</w:t>
            </w:r>
          </w:p>
        </w:tc>
      </w:tr>
      <w:tr>
        <w:tc>
          <w:tcPr>
            <w:tcW w:type="dxa" w:w="1234"/>
          </w:tcPr>
          <w:p>
            <w:r>
              <w:t>Bangkok</w:t>
            </w:r>
          </w:p>
        </w:tc>
        <w:tc>
          <w:tcPr>
            <w:tcW w:type="dxa" w:w="1234"/>
          </w:tcPr>
          <w:p>
            <w:r>
              <w:t>20,816</w:t>
            </w:r>
          </w:p>
        </w:tc>
        <w:tc>
          <w:tcPr>
            <w:tcW w:type="dxa" w:w="1234"/>
          </w:tcPr>
          <w:p>
            <w:r>
              <w:t>0.866</w:t>
            </w:r>
          </w:p>
        </w:tc>
        <w:tc>
          <w:tcPr>
            <w:tcW w:type="dxa" w:w="1234"/>
          </w:tcPr>
          <w:p>
            <w:r>
              <w:t>0.789</w:t>
            </w:r>
          </w:p>
        </w:tc>
        <w:tc>
          <w:tcPr>
            <w:tcW w:type="dxa" w:w="1234"/>
          </w:tcPr>
          <w:p>
            <w:r>
              <w:t>0.927</w:t>
            </w:r>
          </w:p>
        </w:tc>
        <w:tc>
          <w:tcPr>
            <w:tcW w:type="dxa" w:w="1234"/>
          </w:tcPr>
          <w:p>
            <w:r>
              <w:t>0.928</w:t>
            </w:r>
          </w:p>
        </w:tc>
        <w:tc>
          <w:tcPr>
            <w:tcW w:type="dxa" w:w="1234"/>
          </w:tcPr>
          <w:p>
            <w:r>
              <w:t>0.997</w:t>
            </w:r>
          </w:p>
        </w:tc>
      </w:tr>
      <w:tr>
        <w:tc>
          <w:tcPr>
            <w:tcW w:type="dxa" w:w="1234"/>
          </w:tcPr>
          <w:p>
            <w:r>
              <w:t>Sydney</w:t>
            </w:r>
          </w:p>
        </w:tc>
        <w:tc>
          <w:tcPr>
            <w:tcW w:type="dxa" w:w="1234"/>
          </w:tcPr>
          <w:p>
            <w:r>
              <w:t>17,247</w:t>
            </w:r>
          </w:p>
        </w:tc>
        <w:tc>
          <w:tcPr>
            <w:tcW w:type="dxa" w:w="1234"/>
          </w:tcPr>
          <w:p>
            <w:r>
              <w:t>0.863</w:t>
            </w:r>
          </w:p>
        </w:tc>
        <w:tc>
          <w:tcPr>
            <w:tcW w:type="dxa" w:w="1234"/>
          </w:tcPr>
          <w:p>
            <w:r>
              <w:t>0.784</w:t>
            </w:r>
          </w:p>
        </w:tc>
        <w:tc>
          <w:tcPr>
            <w:tcW w:type="dxa" w:w="1234"/>
          </w:tcPr>
          <w:p>
            <w:r>
              <w:t>0.926</w:t>
            </w:r>
          </w:p>
        </w:tc>
        <w:tc>
          <w:tcPr>
            <w:tcW w:type="dxa" w:w="1234"/>
          </w:tcPr>
          <w:p>
            <w:r>
              <w:t>0.925</w:t>
            </w:r>
          </w:p>
        </w:tc>
        <w:tc>
          <w:tcPr>
            <w:tcW w:type="dxa" w:w="1234"/>
          </w:tcPr>
          <w:p>
            <w:r>
              <w:t>0.996</w:t>
            </w:r>
          </w:p>
        </w:tc>
      </w:tr>
      <w:tr>
        <w:tc>
          <w:tcPr>
            <w:tcW w:type="dxa" w:w="1234"/>
          </w:tcPr>
          <w:p>
            <w:r>
              <w:t>London</w:t>
            </w:r>
          </w:p>
        </w:tc>
        <w:tc>
          <w:tcPr>
            <w:tcW w:type="dxa" w:w="1234"/>
          </w:tcPr>
          <w:p>
            <w:r>
              <w:t>48,670</w:t>
            </w:r>
          </w:p>
        </w:tc>
        <w:tc>
          <w:tcPr>
            <w:tcW w:type="dxa" w:w="1234"/>
          </w:tcPr>
          <w:p>
            <w:r>
              <w:t>0.858</w:t>
            </w:r>
          </w:p>
        </w:tc>
        <w:tc>
          <w:tcPr>
            <w:tcW w:type="dxa" w:w="1234"/>
          </w:tcPr>
          <w:p>
            <w:r>
              <w:t>0.778</w:t>
            </w:r>
          </w:p>
        </w:tc>
        <w:tc>
          <w:tcPr>
            <w:tcW w:type="dxa" w:w="1234"/>
          </w:tcPr>
          <w:p>
            <w:r>
              <w:t>0.923</w:t>
            </w:r>
          </w:p>
        </w:tc>
        <w:tc>
          <w:tcPr>
            <w:tcW w:type="dxa" w:w="1234"/>
          </w:tcPr>
          <w:p>
            <w:r>
              <w:t>0.922</w:t>
            </w:r>
          </w:p>
        </w:tc>
        <w:tc>
          <w:tcPr>
            <w:tcW w:type="dxa" w:w="1234"/>
          </w:tcPr>
          <w:p>
            <w:r>
              <w:t>0.996</w:t>
            </w:r>
          </w:p>
        </w:tc>
      </w:tr>
      <w:tr>
        <w:tc>
          <w:tcPr>
            <w:tcW w:type="dxa" w:w="1234"/>
          </w:tcPr>
          <w:p>
            <w:r>
              <w:t>Barcelona</w:t>
            </w:r>
          </w:p>
        </w:tc>
        <w:tc>
          <w:tcPr>
            <w:tcW w:type="dxa" w:w="1234"/>
          </w:tcPr>
          <w:p>
            <w:r>
              <w:t>11,745</w:t>
            </w:r>
          </w:p>
        </w:tc>
        <w:tc>
          <w:tcPr>
            <w:tcW w:type="dxa" w:w="1234"/>
          </w:tcPr>
          <w:p>
            <w:r>
              <w:t>0.855</w:t>
            </w:r>
          </w:p>
        </w:tc>
        <w:tc>
          <w:tcPr>
            <w:tcW w:type="dxa" w:w="1234"/>
          </w:tcPr>
          <w:p>
            <w:r>
              <w:t>0.772</w:t>
            </w:r>
          </w:p>
        </w:tc>
        <w:tc>
          <w:tcPr>
            <w:tcW w:type="dxa" w:w="1234"/>
          </w:tcPr>
          <w:p>
            <w:r>
              <w:t>0.921</w:t>
            </w:r>
          </w:p>
        </w:tc>
        <w:tc>
          <w:tcPr>
            <w:tcW w:type="dxa" w:w="1234"/>
          </w:tcPr>
          <w:p>
            <w:r>
              <w:t>0.919</w:t>
            </w:r>
          </w:p>
        </w:tc>
        <w:tc>
          <w:tcPr>
            <w:tcW w:type="dxa" w:w="1234"/>
          </w:tcPr>
          <w:p>
            <w:r>
              <w:t>0.996</w:t>
            </w:r>
          </w:p>
        </w:tc>
      </w:tr>
    </w:tbl>
    <w:p/>
    <w:p>
      <w:r>
        <w:t>Note: Per-city metrics estimated from city-specific hold-out samples within 5-fold CV. Values are mean ± std across folds.</w:t>
      </w:r>
    </w:p>
    <w:p>
      <w:r>
        <w:rPr>
          <w:b/>
          <w:sz w:val="24"/>
        </w:rPr>
        <w:t>Table S6. SII by Spatial Aggregation Scale (Grid Cell Averaging)</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City</w:t>
            </w:r>
          </w:p>
        </w:tc>
        <w:tc>
          <w:tcPr>
            <w:tcW w:type="dxa" w:w="2160"/>
          </w:tcPr>
          <w:p>
            <w:r>
              <w:rPr>
                <w:b/>
              </w:rPr>
              <w:t>0.5 km Grid</w:t>
            </w:r>
          </w:p>
        </w:tc>
        <w:tc>
          <w:tcPr>
            <w:tcW w:type="dxa" w:w="2160"/>
          </w:tcPr>
          <w:p>
            <w:r>
              <w:rPr>
                <w:b/>
              </w:rPr>
              <w:t>1.0 km Grid</w:t>
            </w:r>
          </w:p>
        </w:tc>
        <w:tc>
          <w:tcPr>
            <w:tcW w:type="dxa" w:w="2160"/>
          </w:tcPr>
          <w:p>
            <w:r>
              <w:rPr>
                <w:b/>
              </w:rPr>
              <w:t>2.0 km Grid</w:t>
            </w:r>
          </w:p>
        </w:tc>
      </w:tr>
      <w:tr>
        <w:tc>
          <w:tcPr>
            <w:tcW w:type="dxa" w:w="2160"/>
          </w:tcPr>
          <w:p>
            <w:r>
              <w:t>Amsterdam</w:t>
            </w:r>
          </w:p>
        </w:tc>
        <w:tc>
          <w:tcPr>
            <w:tcW w:type="dxa" w:w="2160"/>
          </w:tcPr>
          <w:p>
            <w:r>
              <w:t>0.0261</w:t>
            </w:r>
          </w:p>
        </w:tc>
        <w:tc>
          <w:tcPr>
            <w:tcW w:type="dxa" w:w="2160"/>
          </w:tcPr>
          <w:p>
            <w:r>
              <w:t>0.0235</w:t>
            </w:r>
          </w:p>
        </w:tc>
        <w:tc>
          <w:tcPr>
            <w:tcW w:type="dxa" w:w="2160"/>
          </w:tcPr>
          <w:p>
            <w:r>
              <w:t>0.0227</w:t>
            </w:r>
          </w:p>
        </w:tc>
      </w:tr>
      <w:tr>
        <w:tc>
          <w:tcPr>
            <w:tcW w:type="dxa" w:w="2160"/>
          </w:tcPr>
          <w:p>
            <w:r>
              <w:t>Barcelona</w:t>
            </w:r>
          </w:p>
        </w:tc>
        <w:tc>
          <w:tcPr>
            <w:tcW w:type="dxa" w:w="2160"/>
          </w:tcPr>
          <w:p>
            <w:r>
              <w:t>0.0633</w:t>
            </w:r>
          </w:p>
        </w:tc>
        <w:tc>
          <w:tcPr>
            <w:tcW w:type="dxa" w:w="2160"/>
          </w:tcPr>
          <w:p>
            <w:r>
              <w:t>0.0501</w:t>
            </w:r>
          </w:p>
        </w:tc>
        <w:tc>
          <w:tcPr>
            <w:tcW w:type="dxa" w:w="2160"/>
          </w:tcPr>
          <w:p>
            <w:r>
              <w:t>0.0403</w:t>
            </w:r>
          </w:p>
        </w:tc>
      </w:tr>
      <w:tr>
        <w:tc>
          <w:tcPr>
            <w:tcW w:type="dxa" w:w="2160"/>
          </w:tcPr>
          <w:p>
            <w:r>
              <w:t>London</w:t>
            </w:r>
          </w:p>
        </w:tc>
        <w:tc>
          <w:tcPr>
            <w:tcW w:type="dxa" w:w="2160"/>
          </w:tcPr>
          <w:p>
            <w:r>
              <w:t>0.0572</w:t>
            </w:r>
          </w:p>
        </w:tc>
        <w:tc>
          <w:tcPr>
            <w:tcW w:type="dxa" w:w="2160"/>
          </w:tcPr>
          <w:p>
            <w:r>
              <w:t>0.0477</w:t>
            </w:r>
          </w:p>
        </w:tc>
        <w:tc>
          <w:tcPr>
            <w:tcW w:type="dxa" w:w="2160"/>
          </w:tcPr>
          <w:p>
            <w:r>
              <w:t>0.0395</w:t>
            </w:r>
          </w:p>
        </w:tc>
      </w:tr>
      <w:tr>
        <w:tc>
          <w:tcPr>
            <w:tcW w:type="dxa" w:w="2160"/>
          </w:tcPr>
          <w:p>
            <w:r>
              <w:t>Los Angeles</w:t>
            </w:r>
          </w:p>
        </w:tc>
        <w:tc>
          <w:tcPr>
            <w:tcW w:type="dxa" w:w="2160"/>
          </w:tcPr>
          <w:p>
            <w:r>
              <w:t>0.0418</w:t>
            </w:r>
          </w:p>
        </w:tc>
        <w:tc>
          <w:tcPr>
            <w:tcW w:type="dxa" w:w="2160"/>
          </w:tcPr>
          <w:p>
            <w:r>
              <w:t>0.0368</w:t>
            </w:r>
          </w:p>
        </w:tc>
        <w:tc>
          <w:tcPr>
            <w:tcW w:type="dxa" w:w="2160"/>
          </w:tcPr>
          <w:p>
            <w:r>
              <w:t>0.0320</w:t>
            </w:r>
          </w:p>
        </w:tc>
      </w:tr>
      <w:tr>
        <w:tc>
          <w:tcPr>
            <w:tcW w:type="dxa" w:w="2160"/>
          </w:tcPr>
          <w:p>
            <w:r>
              <w:t>New York</w:t>
            </w:r>
          </w:p>
        </w:tc>
        <w:tc>
          <w:tcPr>
            <w:tcW w:type="dxa" w:w="2160"/>
          </w:tcPr>
          <w:p>
            <w:r>
              <w:t>0.0460</w:t>
            </w:r>
          </w:p>
        </w:tc>
        <w:tc>
          <w:tcPr>
            <w:tcW w:type="dxa" w:w="2160"/>
          </w:tcPr>
          <w:p>
            <w:r>
              <w:t>0.0385</w:t>
            </w:r>
          </w:p>
        </w:tc>
        <w:tc>
          <w:tcPr>
            <w:tcW w:type="dxa" w:w="2160"/>
          </w:tcPr>
          <w:p>
            <w:r>
              <w:t>0.0278</w:t>
            </w:r>
          </w:p>
        </w:tc>
      </w:tr>
      <w:tr>
        <w:tc>
          <w:tcPr>
            <w:tcW w:type="dxa" w:w="2160"/>
          </w:tcPr>
          <w:p>
            <w:r>
              <w:t>Paris</w:t>
            </w:r>
          </w:p>
        </w:tc>
        <w:tc>
          <w:tcPr>
            <w:tcW w:type="dxa" w:w="2160"/>
          </w:tcPr>
          <w:p>
            <w:r>
              <w:t>0.0182</w:t>
            </w:r>
          </w:p>
        </w:tc>
        <w:tc>
          <w:tcPr>
            <w:tcW w:type="dxa" w:w="2160"/>
          </w:tcPr>
          <w:p>
            <w:r>
              <w:t>0.0156</w:t>
            </w:r>
          </w:p>
        </w:tc>
        <w:tc>
          <w:tcPr>
            <w:tcW w:type="dxa" w:w="2160"/>
          </w:tcPr>
          <w:p>
            <w:r>
              <w:t>0.0153</w:t>
            </w:r>
          </w:p>
        </w:tc>
      </w:tr>
      <w:tr>
        <w:tc>
          <w:tcPr>
            <w:tcW w:type="dxa" w:w="2160"/>
          </w:tcPr>
          <w:p>
            <w:r>
              <w:t>Sydney</w:t>
            </w:r>
          </w:p>
        </w:tc>
        <w:tc>
          <w:tcPr>
            <w:tcW w:type="dxa" w:w="2160"/>
          </w:tcPr>
          <w:p>
            <w:r>
              <w:t>0.0838</w:t>
            </w:r>
          </w:p>
        </w:tc>
        <w:tc>
          <w:tcPr>
            <w:tcW w:type="dxa" w:w="2160"/>
          </w:tcPr>
          <w:p>
            <w:r>
              <w:t>0.0803</w:t>
            </w:r>
          </w:p>
        </w:tc>
        <w:tc>
          <w:tcPr>
            <w:tcW w:type="dxa" w:w="2160"/>
          </w:tcPr>
          <w:p>
            <w:r>
              <w:t>0.0728</w:t>
            </w:r>
          </w:p>
        </w:tc>
      </w:tr>
      <w:tr>
        <w:tc>
          <w:tcPr>
            <w:tcW w:type="dxa" w:w="2160"/>
          </w:tcPr>
          <w:p>
            <w:r>
              <w:t>Toronto</w:t>
            </w:r>
          </w:p>
        </w:tc>
        <w:tc>
          <w:tcPr>
            <w:tcW w:type="dxa" w:w="2160"/>
          </w:tcPr>
          <w:p>
            <w:r>
              <w:t>0.0366</w:t>
            </w:r>
          </w:p>
        </w:tc>
        <w:tc>
          <w:tcPr>
            <w:tcW w:type="dxa" w:w="2160"/>
          </w:tcPr>
          <w:p>
            <w:r>
              <w:t>0.0301</w:t>
            </w:r>
          </w:p>
        </w:tc>
        <w:tc>
          <w:tcPr>
            <w:tcW w:type="dxa" w:w="2160"/>
          </w:tcPr>
          <w:p>
            <w:r>
              <w:t>0.0233</w:t>
            </w:r>
          </w:p>
        </w:tc>
      </w:tr>
      <w:tr>
        <w:tc>
          <w:tcPr>
            <w:tcW w:type="dxa" w:w="2160"/>
          </w:tcPr>
          <w:p>
            <w:r>
              <w:t>Tokyo</w:t>
            </w:r>
          </w:p>
        </w:tc>
        <w:tc>
          <w:tcPr>
            <w:tcW w:type="dxa" w:w="2160"/>
          </w:tcPr>
          <w:p>
            <w:r>
              <w:t>0.0458</w:t>
            </w:r>
          </w:p>
        </w:tc>
        <w:tc>
          <w:tcPr>
            <w:tcW w:type="dxa" w:w="2160"/>
          </w:tcPr>
          <w:p>
            <w:r>
              <w:t>0.0448</w:t>
            </w:r>
          </w:p>
        </w:tc>
        <w:tc>
          <w:tcPr>
            <w:tcW w:type="dxa" w:w="2160"/>
          </w:tcPr>
          <w:p>
            <w:r>
              <w:t>0.0406</w:t>
            </w:r>
          </w:p>
        </w:tc>
      </w:tr>
      <w:tr>
        <w:tc>
          <w:tcPr>
            <w:tcW w:type="dxa" w:w="2160"/>
          </w:tcPr>
          <w:p>
            <w:r>
              <w:t>Melbourne</w:t>
            </w:r>
          </w:p>
        </w:tc>
        <w:tc>
          <w:tcPr>
            <w:tcW w:type="dxa" w:w="2160"/>
          </w:tcPr>
          <w:p>
            <w:r>
              <w:t>0.0597</w:t>
            </w:r>
          </w:p>
        </w:tc>
        <w:tc>
          <w:tcPr>
            <w:tcW w:type="dxa" w:w="2160"/>
          </w:tcPr>
          <w:p>
            <w:r>
              <w:t>0.0554</w:t>
            </w:r>
          </w:p>
        </w:tc>
        <w:tc>
          <w:tcPr>
            <w:tcW w:type="dxa" w:w="2160"/>
          </w:tcPr>
          <w:p>
            <w:r>
              <w:t>0.0490</w:t>
            </w:r>
          </w:p>
        </w:tc>
      </w:tr>
      <w:tr>
        <w:tc>
          <w:tcPr>
            <w:tcW w:type="dxa" w:w="2160"/>
          </w:tcPr>
          <w:p>
            <w:r>
              <w:t>Vienna</w:t>
            </w:r>
          </w:p>
        </w:tc>
        <w:tc>
          <w:tcPr>
            <w:tcW w:type="dxa" w:w="2160"/>
          </w:tcPr>
          <w:p>
            <w:r>
              <w:t>0.0522</w:t>
            </w:r>
          </w:p>
        </w:tc>
        <w:tc>
          <w:tcPr>
            <w:tcW w:type="dxa" w:w="2160"/>
          </w:tcPr>
          <w:p>
            <w:r>
              <w:t>0.0501</w:t>
            </w:r>
          </w:p>
        </w:tc>
        <w:tc>
          <w:tcPr>
            <w:tcW w:type="dxa" w:w="2160"/>
          </w:tcPr>
          <w:p>
            <w:r>
              <w:t>0.0443</w:t>
            </w:r>
          </w:p>
        </w:tc>
      </w:tr>
      <w:tr>
        <w:tc>
          <w:tcPr>
            <w:tcW w:type="dxa" w:w="2160"/>
          </w:tcPr>
          <w:p>
            <w:r>
              <w:t>Bangkok</w:t>
            </w:r>
          </w:p>
        </w:tc>
        <w:tc>
          <w:tcPr>
            <w:tcW w:type="dxa" w:w="2160"/>
          </w:tcPr>
          <w:p>
            <w:r>
              <w:t>0.0691</w:t>
            </w:r>
          </w:p>
        </w:tc>
        <w:tc>
          <w:tcPr>
            <w:tcW w:type="dxa" w:w="2160"/>
          </w:tcPr>
          <w:p>
            <w:r>
              <w:t>0.0641</w:t>
            </w:r>
          </w:p>
        </w:tc>
        <w:tc>
          <w:tcPr>
            <w:tcW w:type="dxa" w:w="2160"/>
          </w:tcPr>
          <w:p>
            <w:r>
              <w:t>0.0563</w:t>
            </w:r>
          </w:p>
        </w:tc>
      </w:tr>
    </w:tbl>
    <w:p/>
    <w:p>
      <w:r>
        <w:rPr>
          <w:b/>
          <w:sz w:val="24"/>
        </w:rPr>
        <w:t>Table S7. Observed SII vs. Random Spatial Baseline SII (100 permutations): Confirmation of SII as a Distributional, Not Spatial-Clustering, Measure</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City</w:t>
            </w:r>
          </w:p>
        </w:tc>
        <w:tc>
          <w:tcPr>
            <w:tcW w:type="dxa" w:w="2160"/>
          </w:tcPr>
          <w:p>
            <w:r>
              <w:rPr>
                <w:b/>
              </w:rPr>
              <w:t>Observed SII</w:t>
            </w:r>
          </w:p>
        </w:tc>
        <w:tc>
          <w:tcPr>
            <w:tcW w:type="dxa" w:w="2160"/>
          </w:tcPr>
          <w:p>
            <w:r>
              <w:rPr>
                <w:b/>
              </w:rPr>
              <w:t>Random Baseline</w:t>
            </w:r>
          </w:p>
        </w:tc>
        <w:tc>
          <w:tcPr>
            <w:tcW w:type="dxa" w:w="2160"/>
          </w:tcPr>
          <w:p>
            <w:r>
              <w:rPr>
                <w:b/>
              </w:rPr>
              <w:t>Absolute Difference</w:t>
            </w:r>
          </w:p>
        </w:tc>
      </w:tr>
      <w:tr>
        <w:tc>
          <w:tcPr>
            <w:tcW w:type="dxa" w:w="2160"/>
          </w:tcPr>
          <w:p>
            <w:r>
              <w:t>Amsterdam</w:t>
            </w:r>
          </w:p>
        </w:tc>
        <w:tc>
          <w:tcPr>
            <w:tcW w:type="dxa" w:w="2160"/>
          </w:tcPr>
          <w:p>
            <w:r>
              <w:t>0.0306</w:t>
            </w:r>
          </w:p>
        </w:tc>
        <w:tc>
          <w:tcPr>
            <w:tcW w:type="dxa" w:w="2160"/>
          </w:tcPr>
          <w:p>
            <w:r>
              <w:t>0.0306</w:t>
            </w:r>
          </w:p>
        </w:tc>
        <w:tc>
          <w:tcPr>
            <w:tcW w:type="dxa" w:w="2160"/>
          </w:tcPr>
          <w:p>
            <w:r>
              <w:t>0.0000</w:t>
            </w:r>
          </w:p>
        </w:tc>
      </w:tr>
      <w:tr>
        <w:tc>
          <w:tcPr>
            <w:tcW w:type="dxa" w:w="2160"/>
          </w:tcPr>
          <w:p>
            <w:r>
              <w:t>Barcelona</w:t>
            </w:r>
          </w:p>
        </w:tc>
        <w:tc>
          <w:tcPr>
            <w:tcW w:type="dxa" w:w="2160"/>
          </w:tcPr>
          <w:p>
            <w:r>
              <w:t>0.1152</w:t>
            </w:r>
          </w:p>
        </w:tc>
        <w:tc>
          <w:tcPr>
            <w:tcW w:type="dxa" w:w="2160"/>
          </w:tcPr>
          <w:p>
            <w:r>
              <w:t>0.1152</w:t>
            </w:r>
          </w:p>
        </w:tc>
        <w:tc>
          <w:tcPr>
            <w:tcW w:type="dxa" w:w="2160"/>
          </w:tcPr>
          <w:p>
            <w:r>
              <w:t>0.0000</w:t>
            </w:r>
          </w:p>
        </w:tc>
      </w:tr>
      <w:tr>
        <w:tc>
          <w:tcPr>
            <w:tcW w:type="dxa" w:w="2160"/>
          </w:tcPr>
          <w:p>
            <w:r>
              <w:t>London</w:t>
            </w:r>
          </w:p>
        </w:tc>
        <w:tc>
          <w:tcPr>
            <w:tcW w:type="dxa" w:w="2160"/>
          </w:tcPr>
          <w:p>
            <w:r>
              <w:t>0.0991</w:t>
            </w:r>
          </w:p>
        </w:tc>
        <w:tc>
          <w:tcPr>
            <w:tcW w:type="dxa" w:w="2160"/>
          </w:tcPr>
          <w:p>
            <w:r>
              <w:t>0.0991</w:t>
            </w:r>
          </w:p>
        </w:tc>
        <w:tc>
          <w:tcPr>
            <w:tcW w:type="dxa" w:w="2160"/>
          </w:tcPr>
          <w:p>
            <w:r>
              <w:t>0.0000</w:t>
            </w:r>
          </w:p>
        </w:tc>
      </w:tr>
      <w:tr>
        <w:tc>
          <w:tcPr>
            <w:tcW w:type="dxa" w:w="2160"/>
          </w:tcPr>
          <w:p>
            <w:r>
              <w:t>Sydney</w:t>
            </w:r>
          </w:p>
        </w:tc>
        <w:tc>
          <w:tcPr>
            <w:tcW w:type="dxa" w:w="2160"/>
          </w:tcPr>
          <w:p>
            <w:r>
              <w:t>0.0940</w:t>
            </w:r>
          </w:p>
        </w:tc>
        <w:tc>
          <w:tcPr>
            <w:tcW w:type="dxa" w:w="2160"/>
          </w:tcPr>
          <w:p>
            <w:r>
              <w:t>0.0940</w:t>
            </w:r>
          </w:p>
        </w:tc>
        <w:tc>
          <w:tcPr>
            <w:tcW w:type="dxa" w:w="2160"/>
          </w:tcPr>
          <w:p>
            <w:r>
              <w:t>0.0000</w:t>
            </w:r>
          </w:p>
        </w:tc>
      </w:tr>
      <w:tr>
        <w:tc>
          <w:tcPr>
            <w:tcW w:type="dxa" w:w="2160"/>
          </w:tcPr>
          <w:p>
            <w:r>
              <w:t>Toronto</w:t>
            </w:r>
          </w:p>
        </w:tc>
        <w:tc>
          <w:tcPr>
            <w:tcW w:type="dxa" w:w="2160"/>
          </w:tcPr>
          <w:p>
            <w:r>
              <w:t>0.0470</w:t>
            </w:r>
          </w:p>
        </w:tc>
        <w:tc>
          <w:tcPr>
            <w:tcW w:type="dxa" w:w="2160"/>
          </w:tcPr>
          <w:p>
            <w:r>
              <w:t>0.0470</w:t>
            </w:r>
          </w:p>
        </w:tc>
        <w:tc>
          <w:tcPr>
            <w:tcW w:type="dxa" w:w="2160"/>
          </w:tcPr>
          <w:p>
            <w:r>
              <w:t>0.0000</w:t>
            </w:r>
          </w:p>
        </w:tc>
      </w:tr>
      <w:tr>
        <w:tc>
          <w:tcPr>
            <w:tcW w:type="dxa" w:w="2160"/>
          </w:tcPr>
          <w:p>
            <w:r>
              <w:t>Los Angeles</w:t>
            </w:r>
          </w:p>
        </w:tc>
        <w:tc>
          <w:tcPr>
            <w:tcW w:type="dxa" w:w="2160"/>
          </w:tcPr>
          <w:p>
            <w:r>
              <w:t>0.0568</w:t>
            </w:r>
          </w:p>
        </w:tc>
        <w:tc>
          <w:tcPr>
            <w:tcW w:type="dxa" w:w="2160"/>
          </w:tcPr>
          <w:p>
            <w:r>
              <w:t>0.0568</w:t>
            </w:r>
          </w:p>
        </w:tc>
        <w:tc>
          <w:tcPr>
            <w:tcW w:type="dxa" w:w="2160"/>
          </w:tcPr>
          <w:p>
            <w:r>
              <w:t>0.0000</w:t>
            </w:r>
          </w:p>
        </w:tc>
      </w:tr>
      <w:tr>
        <w:tc>
          <w:tcPr>
            <w:tcW w:type="dxa" w:w="2160"/>
          </w:tcPr>
          <w:p>
            <w:r>
              <w:t>Paris</w:t>
            </w:r>
          </w:p>
        </w:tc>
        <w:tc>
          <w:tcPr>
            <w:tcW w:type="dxa" w:w="2160"/>
          </w:tcPr>
          <w:p>
            <w:r>
              <w:t>0.0612</w:t>
            </w:r>
          </w:p>
        </w:tc>
        <w:tc>
          <w:tcPr>
            <w:tcW w:type="dxa" w:w="2160"/>
          </w:tcPr>
          <w:p>
            <w:r>
              <w:t>0.0612</w:t>
            </w:r>
          </w:p>
        </w:tc>
        <w:tc>
          <w:tcPr>
            <w:tcW w:type="dxa" w:w="2160"/>
          </w:tcPr>
          <w:p>
            <w:r>
              <w:t>0.0000</w:t>
            </w:r>
          </w:p>
        </w:tc>
      </w:tr>
      <w:tr>
        <w:tc>
          <w:tcPr>
            <w:tcW w:type="dxa" w:w="2160"/>
          </w:tcPr>
          <w:p>
            <w:r>
              <w:t>Tokyo</w:t>
            </w:r>
          </w:p>
        </w:tc>
        <w:tc>
          <w:tcPr>
            <w:tcW w:type="dxa" w:w="2160"/>
          </w:tcPr>
          <w:p>
            <w:r>
              <w:t>0.0689</w:t>
            </w:r>
          </w:p>
        </w:tc>
        <w:tc>
          <w:tcPr>
            <w:tcW w:type="dxa" w:w="2160"/>
          </w:tcPr>
          <w:p>
            <w:r>
              <w:t>0.0689</w:t>
            </w:r>
          </w:p>
        </w:tc>
        <w:tc>
          <w:tcPr>
            <w:tcW w:type="dxa" w:w="2160"/>
          </w:tcPr>
          <w:p>
            <w:r>
              <w:t>0.0000</w:t>
            </w:r>
          </w:p>
        </w:tc>
      </w:tr>
      <w:tr>
        <w:tc>
          <w:tcPr>
            <w:tcW w:type="dxa" w:w="2160"/>
          </w:tcPr>
          <w:p>
            <w:r>
              <w:t>New York</w:t>
            </w:r>
          </w:p>
        </w:tc>
        <w:tc>
          <w:tcPr>
            <w:tcW w:type="dxa" w:w="2160"/>
          </w:tcPr>
          <w:p>
            <w:r>
              <w:t>0.0752</w:t>
            </w:r>
          </w:p>
        </w:tc>
        <w:tc>
          <w:tcPr>
            <w:tcW w:type="dxa" w:w="2160"/>
          </w:tcPr>
          <w:p>
            <w:r>
              <w:t>0.0752</w:t>
            </w:r>
          </w:p>
        </w:tc>
        <w:tc>
          <w:tcPr>
            <w:tcW w:type="dxa" w:w="2160"/>
          </w:tcPr>
          <w:p>
            <w:r>
              <w:t>0.0000</w:t>
            </w:r>
          </w:p>
        </w:tc>
      </w:tr>
      <w:tr>
        <w:tc>
          <w:tcPr>
            <w:tcW w:type="dxa" w:w="2160"/>
          </w:tcPr>
          <w:p>
            <w:r>
              <w:t>Melbourne</w:t>
            </w:r>
          </w:p>
        </w:tc>
        <w:tc>
          <w:tcPr>
            <w:tcW w:type="dxa" w:w="2160"/>
          </w:tcPr>
          <w:p>
            <w:r>
              <w:t>0.0782</w:t>
            </w:r>
          </w:p>
        </w:tc>
        <w:tc>
          <w:tcPr>
            <w:tcW w:type="dxa" w:w="2160"/>
          </w:tcPr>
          <w:p>
            <w:r>
              <w:t>0.0782</w:t>
            </w:r>
          </w:p>
        </w:tc>
        <w:tc>
          <w:tcPr>
            <w:tcW w:type="dxa" w:w="2160"/>
          </w:tcPr>
          <w:p>
            <w:r>
              <w:t>0.0000</w:t>
            </w:r>
          </w:p>
        </w:tc>
      </w:tr>
      <w:tr>
        <w:tc>
          <w:tcPr>
            <w:tcW w:type="dxa" w:w="2160"/>
          </w:tcPr>
          <w:p>
            <w:r>
              <w:t>Vienna</w:t>
            </w:r>
          </w:p>
        </w:tc>
        <w:tc>
          <w:tcPr>
            <w:tcW w:type="dxa" w:w="2160"/>
          </w:tcPr>
          <w:p>
            <w:r>
              <w:t>0.0827</w:t>
            </w:r>
          </w:p>
        </w:tc>
        <w:tc>
          <w:tcPr>
            <w:tcW w:type="dxa" w:w="2160"/>
          </w:tcPr>
          <w:p>
            <w:r>
              <w:t>0.0827</w:t>
            </w:r>
          </w:p>
        </w:tc>
        <w:tc>
          <w:tcPr>
            <w:tcW w:type="dxa" w:w="2160"/>
          </w:tcPr>
          <w:p>
            <w:r>
              <w:t>0.0000</w:t>
            </w:r>
          </w:p>
        </w:tc>
      </w:tr>
      <w:tr>
        <w:tc>
          <w:tcPr>
            <w:tcW w:type="dxa" w:w="2160"/>
          </w:tcPr>
          <w:p>
            <w:r>
              <w:t>Bangkok</w:t>
            </w:r>
          </w:p>
        </w:tc>
        <w:tc>
          <w:tcPr>
            <w:tcW w:type="dxa" w:w="2160"/>
          </w:tcPr>
          <w:p>
            <w:r>
              <w:t>0.0834</w:t>
            </w:r>
          </w:p>
        </w:tc>
        <w:tc>
          <w:tcPr>
            <w:tcW w:type="dxa" w:w="2160"/>
          </w:tcPr>
          <w:p>
            <w:r>
              <w:t>0.0834</w:t>
            </w:r>
          </w:p>
        </w:tc>
        <w:tc>
          <w:tcPr>
            <w:tcW w:type="dxa" w:w="2160"/>
          </w:tcPr>
          <w:p>
            <w:r>
              <w:t>0.0000</w:t>
            </w:r>
          </w:p>
        </w:tc>
      </w:tr>
    </w:tbl>
    <w:p/>
    <w:p>
      <w:r>
        <w:rPr>
          <w:b w:val="0"/>
          <w:i w:val="0"/>
        </w:rPr>
        <w:t xml:space="preserve">Note: Random baseline computed by permuting spatial coordinates within each city while preserving predicted probabilities, averaged across 100 repetitions. City rankings remain identical (Spearman's ρ = 1.0) across all iterations. The equivalence between observed and randomized SII values confirms that SII is a measure of </w:t>
      </w:r>
      <w:r>
        <w:rPr>
          <w:b w:val="0"/>
          <w:i/>
        </w:rPr>
        <w:t>distributional</w:t>
      </w:r>
      <w:r>
        <w:rPr>
          <w:b w:val="0"/>
          <w:i w:val="0"/>
        </w:rPr>
        <w:t xml:space="preserve"> inequality of predicted probabilities, not of </w:t>
      </w:r>
      <w:r>
        <w:rPr>
          <w:b w:val="0"/>
          <w:i/>
        </w:rPr>
        <w:t>spatial clustering</w:t>
      </w:r>
      <w:r>
        <w:rPr>
          <w:b w:val="0"/>
          <w:i w:val="0"/>
        </w:rPr>
        <w:t xml:space="preserve"> per se. This is an intentional design choice: SII provides a city-level scalar of service quality dispersion that is comparable across cities regardless of their spatial geometries. The spatial interpretation of these disparities is derived from subsequent mapping and spatial autocorrelation analyses, not from the index itself. The equivalence is not an empirical coincidence but a definitional property: SII is a Gini coefficient computed over the ranked probability distribution, and permuting spatial coordinates does not alter the empirical distribution of probabilities. The baseline test therefore serves as a conceptual verification that SII is mathematically independent of spatial arrangement, rather than a statistical test of spatial dependence.</w:t>
      </w:r>
    </w:p>
    <w:p>
      <w:r>
        <w:rPr>
          <w:b/>
          <w:sz w:val="24"/>
        </w:rPr>
        <w:t>Table S8. Spatial Block Cross-Validation Results (9 Blocks)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Block</w:t>
            </w:r>
          </w:p>
        </w:tc>
        <w:tc>
          <w:tcPr>
            <w:tcW w:type="dxa" w:w="2160"/>
          </w:tcPr>
          <w:p>
            <w:r>
              <w:rPr>
                <w:b/>
              </w:rPr>
              <w:t>Latitude Range</w:t>
            </w:r>
          </w:p>
        </w:tc>
        <w:tc>
          <w:tcPr>
            <w:tcW w:type="dxa" w:w="2160"/>
          </w:tcPr>
          <w:p>
            <w:r>
              <w:rPr>
                <w:b/>
              </w:rPr>
              <w:t>Longitude Range</w:t>
            </w:r>
          </w:p>
        </w:tc>
        <w:tc>
          <w:tcPr>
            <w:tcW w:type="dxa" w:w="2160"/>
          </w:tcPr>
          <w:p>
            <w:r>
              <w:rPr>
                <w:b/>
              </w:rPr>
              <w:t>AUC-ROC</w:t>
            </w:r>
          </w:p>
        </w:tc>
      </w:tr>
      <w:tr>
        <w:tc>
          <w:tcPr>
            <w:tcW w:type="dxa" w:w="2160"/>
          </w:tcPr>
          <w:p>
            <w:r>
              <w:t>Block 1</w:t>
            </w:r>
          </w:p>
        </w:tc>
        <w:tc>
          <w:tcPr>
            <w:tcW w:type="dxa" w:w="2160"/>
          </w:tcPr>
          <w:p>
            <w:r>
              <w:t>Quantile 0</w:t>
            </w:r>
          </w:p>
        </w:tc>
        <w:tc>
          <w:tcPr>
            <w:tcW w:type="dxa" w:w="2160"/>
          </w:tcPr>
          <w:p>
            <w:r>
              <w:t>Quantile 0</w:t>
            </w:r>
          </w:p>
        </w:tc>
        <w:tc>
          <w:tcPr>
            <w:tcW w:type="dxa" w:w="2160"/>
          </w:tcPr>
          <w:p>
            <w:r>
              <w:t>0.768</w:t>
            </w:r>
          </w:p>
        </w:tc>
      </w:tr>
      <w:tr>
        <w:tc>
          <w:tcPr>
            <w:tcW w:type="dxa" w:w="2160"/>
          </w:tcPr>
          <w:p>
            <w:r>
              <w:t>Block 2</w:t>
            </w:r>
          </w:p>
        </w:tc>
        <w:tc>
          <w:tcPr>
            <w:tcW w:type="dxa" w:w="2160"/>
          </w:tcPr>
          <w:p>
            <w:r>
              <w:t>Quantile 0</w:t>
            </w:r>
          </w:p>
        </w:tc>
        <w:tc>
          <w:tcPr>
            <w:tcW w:type="dxa" w:w="2160"/>
          </w:tcPr>
          <w:p>
            <w:r>
              <w:t>Quantile 1</w:t>
            </w:r>
          </w:p>
        </w:tc>
        <w:tc>
          <w:tcPr>
            <w:tcW w:type="dxa" w:w="2160"/>
          </w:tcPr>
          <w:p>
            <w:r>
              <w:t>0.739</w:t>
            </w:r>
          </w:p>
        </w:tc>
      </w:tr>
      <w:tr>
        <w:tc>
          <w:tcPr>
            <w:tcW w:type="dxa" w:w="2160"/>
          </w:tcPr>
          <w:p>
            <w:r>
              <w:t>Block 3</w:t>
            </w:r>
          </w:p>
        </w:tc>
        <w:tc>
          <w:tcPr>
            <w:tcW w:type="dxa" w:w="2160"/>
          </w:tcPr>
          <w:p>
            <w:r>
              <w:t>Quantile 0</w:t>
            </w:r>
          </w:p>
        </w:tc>
        <w:tc>
          <w:tcPr>
            <w:tcW w:type="dxa" w:w="2160"/>
          </w:tcPr>
          <w:p>
            <w:r>
              <w:t>Quantile 2</w:t>
            </w:r>
          </w:p>
        </w:tc>
        <w:tc>
          <w:tcPr>
            <w:tcW w:type="dxa" w:w="2160"/>
          </w:tcPr>
          <w:p>
            <w:r>
              <w:t>0.747</w:t>
            </w:r>
          </w:p>
        </w:tc>
      </w:tr>
      <w:tr>
        <w:tc>
          <w:tcPr>
            <w:tcW w:type="dxa" w:w="2160"/>
          </w:tcPr>
          <w:p>
            <w:r>
              <w:t>Block 4</w:t>
            </w:r>
          </w:p>
        </w:tc>
        <w:tc>
          <w:tcPr>
            <w:tcW w:type="dxa" w:w="2160"/>
          </w:tcPr>
          <w:p>
            <w:r>
              <w:t>Quantile 1</w:t>
            </w:r>
          </w:p>
        </w:tc>
        <w:tc>
          <w:tcPr>
            <w:tcW w:type="dxa" w:w="2160"/>
          </w:tcPr>
          <w:p>
            <w:r>
              <w:t>Quantile 0</w:t>
            </w:r>
          </w:p>
        </w:tc>
        <w:tc>
          <w:tcPr>
            <w:tcW w:type="dxa" w:w="2160"/>
          </w:tcPr>
          <w:p>
            <w:r>
              <w:t>0.715</w:t>
            </w:r>
          </w:p>
        </w:tc>
      </w:tr>
      <w:tr>
        <w:tc>
          <w:tcPr>
            <w:tcW w:type="dxa" w:w="2160"/>
          </w:tcPr>
          <w:p>
            <w:r>
              <w:t>Block 5</w:t>
            </w:r>
          </w:p>
        </w:tc>
        <w:tc>
          <w:tcPr>
            <w:tcW w:type="dxa" w:w="2160"/>
          </w:tcPr>
          <w:p>
            <w:r>
              <w:t>Quantile 1</w:t>
            </w:r>
          </w:p>
        </w:tc>
        <w:tc>
          <w:tcPr>
            <w:tcW w:type="dxa" w:w="2160"/>
          </w:tcPr>
          <w:p>
            <w:r>
              <w:t>Quantile 1</w:t>
            </w:r>
          </w:p>
        </w:tc>
        <w:tc>
          <w:tcPr>
            <w:tcW w:type="dxa" w:w="2160"/>
          </w:tcPr>
          <w:p>
            <w:r>
              <w:t>0.784</w:t>
            </w:r>
          </w:p>
        </w:tc>
      </w:tr>
      <w:tr>
        <w:tc>
          <w:tcPr>
            <w:tcW w:type="dxa" w:w="2160"/>
          </w:tcPr>
          <w:p>
            <w:r>
              <w:t>Block 6</w:t>
            </w:r>
          </w:p>
        </w:tc>
        <w:tc>
          <w:tcPr>
            <w:tcW w:type="dxa" w:w="2160"/>
          </w:tcPr>
          <w:p>
            <w:r>
              <w:t>Quantile 1</w:t>
            </w:r>
          </w:p>
        </w:tc>
        <w:tc>
          <w:tcPr>
            <w:tcW w:type="dxa" w:w="2160"/>
          </w:tcPr>
          <w:p>
            <w:r>
              <w:t>Quantile 2</w:t>
            </w:r>
          </w:p>
        </w:tc>
        <w:tc>
          <w:tcPr>
            <w:tcW w:type="dxa" w:w="2160"/>
          </w:tcPr>
          <w:p>
            <w:r>
              <w:t>0.751</w:t>
            </w:r>
          </w:p>
        </w:tc>
      </w:tr>
      <w:tr>
        <w:tc>
          <w:tcPr>
            <w:tcW w:type="dxa" w:w="2160"/>
          </w:tcPr>
          <w:p>
            <w:r>
              <w:t>Block 7</w:t>
            </w:r>
          </w:p>
        </w:tc>
        <w:tc>
          <w:tcPr>
            <w:tcW w:type="dxa" w:w="2160"/>
          </w:tcPr>
          <w:p>
            <w:r>
              <w:t>Quantile 2</w:t>
            </w:r>
          </w:p>
        </w:tc>
        <w:tc>
          <w:tcPr>
            <w:tcW w:type="dxa" w:w="2160"/>
          </w:tcPr>
          <w:p>
            <w:r>
              <w:t>Quantile 0</w:t>
            </w:r>
          </w:p>
        </w:tc>
        <w:tc>
          <w:tcPr>
            <w:tcW w:type="dxa" w:w="2160"/>
          </w:tcPr>
          <w:p>
            <w:r>
              <w:t>0.741</w:t>
            </w:r>
          </w:p>
        </w:tc>
      </w:tr>
      <w:tr>
        <w:tc>
          <w:tcPr>
            <w:tcW w:type="dxa" w:w="2160"/>
          </w:tcPr>
          <w:p>
            <w:r>
              <w:t>Block 8</w:t>
            </w:r>
          </w:p>
        </w:tc>
        <w:tc>
          <w:tcPr>
            <w:tcW w:type="dxa" w:w="2160"/>
          </w:tcPr>
          <w:p>
            <w:r>
              <w:t>Quantile 2</w:t>
            </w:r>
          </w:p>
        </w:tc>
        <w:tc>
          <w:tcPr>
            <w:tcW w:type="dxa" w:w="2160"/>
          </w:tcPr>
          <w:p>
            <w:r>
              <w:t>Quantile 1</w:t>
            </w:r>
          </w:p>
        </w:tc>
        <w:tc>
          <w:tcPr>
            <w:tcW w:type="dxa" w:w="2160"/>
          </w:tcPr>
          <w:p>
            <w:r>
              <w:t>0.729</w:t>
            </w:r>
          </w:p>
        </w:tc>
      </w:tr>
      <w:tr>
        <w:tc>
          <w:tcPr>
            <w:tcW w:type="dxa" w:w="2160"/>
          </w:tcPr>
          <w:p>
            <w:r>
              <w:t>Block 9</w:t>
            </w:r>
          </w:p>
        </w:tc>
        <w:tc>
          <w:tcPr>
            <w:tcW w:type="dxa" w:w="2160"/>
          </w:tcPr>
          <w:p>
            <w:r>
              <w:t>Quantile 2</w:t>
            </w:r>
          </w:p>
        </w:tc>
        <w:tc>
          <w:tcPr>
            <w:tcW w:type="dxa" w:w="2160"/>
          </w:tcPr>
          <w:p>
            <w:r>
              <w:t>Quantile 2</w:t>
            </w:r>
          </w:p>
        </w:tc>
        <w:tc>
          <w:tcPr>
            <w:tcW w:type="dxa" w:w="2160"/>
          </w:tcPr>
          <w:p>
            <w:r>
              <w:t>0.758</w:t>
            </w:r>
          </w:p>
        </w:tc>
      </w:tr>
    </w:tbl>
    <w:p/>
    <w:p>
      <w:r>
        <w:t>Mean AUC = 0.749 (SD = 0.020). Random k-fold CV mean AUC = 0.789 (SD = 0.001).</w:t>
      </w:r>
    </w:p>
    <w:p>
      <w:r>
        <w:rPr>
          <w:b/>
          <w:sz w:val="24"/>
        </w:rPr>
        <w:t>Table S9. Robustness Check: Model Performance Excluding Review-Count Variables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b/>
              </w:rPr>
              <w:t>Metric</w:t>
            </w:r>
          </w:p>
        </w:tc>
        <w:tc>
          <w:tcPr>
            <w:tcW w:type="dxa" w:w="2160"/>
          </w:tcPr>
          <w:p>
            <w:r>
              <w:rPr>
                <w:b/>
              </w:rPr>
              <w:t>Full Model</w:t>
            </w:r>
          </w:p>
        </w:tc>
        <w:tc>
          <w:tcPr>
            <w:tcW w:type="dxa" w:w="2160"/>
          </w:tcPr>
          <w:p>
            <w:r>
              <w:rPr>
                <w:b/>
              </w:rPr>
              <w:t>Excl. Reviews</w:t>
            </w:r>
          </w:p>
        </w:tc>
        <w:tc>
          <w:tcPr>
            <w:tcW w:type="dxa" w:w="2160"/>
          </w:tcPr>
          <w:p>
            <w:r>
              <w:rPr>
                <w:b/>
              </w:rPr>
              <w:t>Difference</w:t>
            </w:r>
          </w:p>
        </w:tc>
      </w:tr>
      <w:tr>
        <w:tc>
          <w:tcPr>
            <w:tcW w:type="dxa" w:w="2160"/>
          </w:tcPr>
          <w:p>
            <w:r>
              <w:t>AUC-ROC</w:t>
            </w:r>
          </w:p>
        </w:tc>
        <w:tc>
          <w:tcPr>
            <w:tcW w:type="dxa" w:w="2160"/>
          </w:tcPr>
          <w:p>
            <w:r>
              <w:t>0.789 (±0.001)</w:t>
            </w:r>
          </w:p>
        </w:tc>
        <w:tc>
          <w:tcPr>
            <w:tcW w:type="dxa" w:w="2160"/>
          </w:tcPr>
          <w:p>
            <w:r>
              <w:t>0.766 (±0.002)</w:t>
            </w:r>
          </w:p>
        </w:tc>
        <w:tc>
          <w:tcPr>
            <w:tcW w:type="dxa" w:w="2160"/>
          </w:tcPr>
          <w:p>
            <w:r>
              <w:t>−0.023</w:t>
            </w:r>
          </w:p>
        </w:tc>
      </w:tr>
      <w:tr>
        <w:tc>
          <w:tcPr>
            <w:tcW w:type="dxa" w:w="2160"/>
          </w:tcPr>
          <w:p>
            <w:r>
              <w:t>Accuracy</w:t>
            </w:r>
          </w:p>
        </w:tc>
        <w:tc>
          <w:tcPr>
            <w:tcW w:type="dxa" w:w="2160"/>
          </w:tcPr>
          <w:p>
            <w:r>
              <w:t>0.867 (±0.0002)</w:t>
            </w:r>
          </w:p>
        </w:tc>
        <w:tc>
          <w:tcPr>
            <w:tcW w:type="dxa" w:w="2160"/>
          </w:tcPr>
          <w:p>
            <w:r>
              <w:t>0.866 (±0.0001)</w:t>
            </w:r>
          </w:p>
        </w:tc>
        <w:tc>
          <w:tcPr>
            <w:tcW w:type="dxa" w:w="2160"/>
          </w:tcPr>
          <w:p>
            <w:r>
              <w:t>−0.001</w:t>
            </w:r>
          </w:p>
        </w:tc>
      </w:tr>
      <w:tr>
        <w:tc>
          <w:tcPr>
            <w:tcW w:type="dxa" w:w="2160"/>
          </w:tcPr>
          <w:p>
            <w:r>
              <w:t>F1-Score</w:t>
            </w:r>
          </w:p>
        </w:tc>
        <w:tc>
          <w:tcPr>
            <w:tcW w:type="dxa" w:w="2160"/>
          </w:tcPr>
          <w:p>
            <w:r>
              <w:t>0.928 (±0.0001)</w:t>
            </w:r>
          </w:p>
        </w:tc>
        <w:tc>
          <w:tcPr>
            <w:tcW w:type="dxa" w:w="2160"/>
          </w:tcPr>
          <w:p>
            <w:r>
              <w:t>0.928 (±0.0001)</w:t>
            </w:r>
          </w:p>
        </w:tc>
        <w:tc>
          <w:tcPr>
            <w:tcW w:type="dxa" w:w="2160"/>
          </w:tcPr>
          <w:p>
            <w:r>
              <w:t>0.000</w:t>
            </w:r>
          </w:p>
        </w:tc>
      </w:tr>
    </w:tbl>
    <w:p/>
    <w:p>
      <w:r>
        <w:rPr>
          <w:b/>
          <w:sz w:val="24"/>
        </w:rPr>
        <w:t>Table S10. XGBoost Hyperparameter Configuration</w:t>
      </w:r>
    </w:p>
    <w:tbl>
      <w:tblPr>
        <w:tblStyle w:val="TableGrid"/>
        <w:tblW w:type="auto" w:w="0"/>
        <w:tblLook w:firstColumn="1" w:firstRow="1" w:lastColumn="0" w:lastRow="0" w:noHBand="0" w:noVBand="1" w:val="04A0"/>
      </w:tblPr>
      <w:tblGrid>
        <w:gridCol w:w="2880"/>
        <w:gridCol w:w="2880"/>
        <w:gridCol w:w="2880"/>
      </w:tblGrid>
      <w:tr>
        <w:tc>
          <w:tcPr>
            <w:tcW w:type="dxa" w:w="2880"/>
          </w:tcPr>
          <w:p>
            <w:r>
              <w:rPr>
                <w:b/>
              </w:rPr>
              <w:t>Parameter</w:t>
            </w:r>
          </w:p>
        </w:tc>
        <w:tc>
          <w:tcPr>
            <w:tcW w:type="dxa" w:w="2880"/>
          </w:tcPr>
          <w:p>
            <w:r>
              <w:rPr>
                <w:b/>
              </w:rPr>
              <w:t>Value</w:t>
            </w:r>
          </w:p>
        </w:tc>
        <w:tc>
          <w:tcPr>
            <w:tcW w:type="dxa" w:w="2880"/>
          </w:tcPr>
          <w:p>
            <w:r>
              <w:rPr>
                <w:b/>
              </w:rPr>
              <w:t>Rationale</w:t>
            </w:r>
          </w:p>
        </w:tc>
      </w:tr>
      <w:tr>
        <w:tc>
          <w:tcPr>
            <w:tcW w:type="dxa" w:w="2880"/>
          </w:tcPr>
          <w:p>
            <w:r>
              <w:t>n_estimators</w:t>
            </w:r>
          </w:p>
        </w:tc>
        <w:tc>
          <w:tcPr>
            <w:tcW w:type="dxa" w:w="2880"/>
          </w:tcPr>
          <w:p>
            <w:r>
              <w:t>500</w:t>
            </w:r>
          </w:p>
        </w:tc>
        <w:tc>
          <w:tcPr>
            <w:tcW w:type="dxa" w:w="2880"/>
          </w:tcPr>
          <w:p>
            <w:r>
              <w:t>Sufficient for convergence; early stopping at 50 rounds</w:t>
            </w:r>
          </w:p>
        </w:tc>
      </w:tr>
      <w:tr>
        <w:tc>
          <w:tcPr>
            <w:tcW w:type="dxa" w:w="2880"/>
          </w:tcPr>
          <w:p>
            <w:r>
              <w:t>max_depth</w:t>
            </w:r>
          </w:p>
        </w:tc>
        <w:tc>
          <w:tcPr>
            <w:tcW w:type="dxa" w:w="2880"/>
          </w:tcPr>
          <w:p>
            <w:r>
              <w:t>6</w:t>
            </w:r>
          </w:p>
        </w:tc>
        <w:tc>
          <w:tcPr>
            <w:tcW w:type="dxa" w:w="2880"/>
          </w:tcPr>
          <w:p>
            <w:r>
              <w:t>Balances model complexity and generalization</w:t>
            </w:r>
          </w:p>
        </w:tc>
      </w:tr>
      <w:tr>
        <w:tc>
          <w:tcPr>
            <w:tcW w:type="dxa" w:w="2880"/>
          </w:tcPr>
          <w:p>
            <w:r>
              <w:t>learning_rate</w:t>
            </w:r>
          </w:p>
        </w:tc>
        <w:tc>
          <w:tcPr>
            <w:tcW w:type="dxa" w:w="2880"/>
          </w:tcPr>
          <w:p>
            <w:r>
              <w:t>0.05</w:t>
            </w:r>
          </w:p>
        </w:tc>
        <w:tc>
          <w:tcPr>
            <w:tcW w:type="dxa" w:w="2880"/>
          </w:tcPr>
          <w:p>
            <w:r>
              <w:t>Conservative learning to prevent overfitting</w:t>
            </w:r>
          </w:p>
        </w:tc>
      </w:tr>
      <w:tr>
        <w:tc>
          <w:tcPr>
            <w:tcW w:type="dxa" w:w="2880"/>
          </w:tcPr>
          <w:p>
            <w:r>
              <w:t>subsample</w:t>
            </w:r>
          </w:p>
        </w:tc>
        <w:tc>
          <w:tcPr>
            <w:tcW w:type="dxa" w:w="2880"/>
          </w:tcPr>
          <w:p>
            <w:r>
              <w:t>0.8</w:t>
            </w:r>
          </w:p>
        </w:tc>
        <w:tc>
          <w:tcPr>
            <w:tcW w:type="dxa" w:w="2880"/>
          </w:tcPr>
          <w:p>
            <w:r>
              <w:t>Reduces variance via row sampling</w:t>
            </w:r>
          </w:p>
        </w:tc>
      </w:tr>
      <w:tr>
        <w:tc>
          <w:tcPr>
            <w:tcW w:type="dxa" w:w="2880"/>
          </w:tcPr>
          <w:p>
            <w:r>
              <w:t>colsample_bytree</w:t>
            </w:r>
          </w:p>
        </w:tc>
        <w:tc>
          <w:tcPr>
            <w:tcW w:type="dxa" w:w="2880"/>
          </w:tcPr>
          <w:p>
            <w:r>
              <w:t>0.8</w:t>
            </w:r>
          </w:p>
        </w:tc>
        <w:tc>
          <w:tcPr>
            <w:tcW w:type="dxa" w:w="2880"/>
          </w:tcPr>
          <w:p>
            <w:r>
              <w:t>Reduces variance via feature sampling</w:t>
            </w:r>
          </w:p>
        </w:tc>
      </w:tr>
      <w:tr>
        <w:tc>
          <w:tcPr>
            <w:tcW w:type="dxa" w:w="2880"/>
          </w:tcPr>
          <w:p>
            <w:r>
              <w:t>reg_alpha (L1)</w:t>
            </w:r>
          </w:p>
        </w:tc>
        <w:tc>
          <w:tcPr>
            <w:tcW w:type="dxa" w:w="2880"/>
          </w:tcPr>
          <w:p>
            <w:r>
              <w:t>0.1</w:t>
            </w:r>
          </w:p>
        </w:tc>
        <w:tc>
          <w:tcPr>
            <w:tcW w:type="dxa" w:w="2880"/>
          </w:tcPr>
          <w:p>
            <w:r>
              <w:t>Sparse feature selection regularization</w:t>
            </w:r>
          </w:p>
        </w:tc>
      </w:tr>
      <w:tr>
        <w:tc>
          <w:tcPr>
            <w:tcW w:type="dxa" w:w="2880"/>
          </w:tcPr>
          <w:p>
            <w:r>
              <w:t>reg_lambda (L2)</w:t>
            </w:r>
          </w:p>
        </w:tc>
        <w:tc>
          <w:tcPr>
            <w:tcW w:type="dxa" w:w="2880"/>
          </w:tcPr>
          <w:p>
            <w:r>
              <w:t>1.0</w:t>
            </w:r>
          </w:p>
        </w:tc>
        <w:tc>
          <w:tcPr>
            <w:tcW w:type="dxa" w:w="2880"/>
          </w:tcPr>
          <w:p>
            <w:r>
              <w:t>Standard ridge regularization</w:t>
            </w:r>
          </w:p>
        </w:tc>
      </w:tr>
      <w:tr>
        <w:tc>
          <w:tcPr>
            <w:tcW w:type="dxa" w:w="2880"/>
          </w:tcPr>
          <w:p>
            <w:r>
              <w:t>scale_pos_weight</w:t>
            </w:r>
          </w:p>
        </w:tc>
        <w:tc>
          <w:tcPr>
            <w:tcW w:type="dxa" w:w="2880"/>
          </w:tcPr>
          <w:p>
            <w:r>
              <w:t>1.0</w:t>
            </w:r>
          </w:p>
        </w:tc>
        <w:tc>
          <w:tcPr>
            <w:tcW w:type="dxa" w:w="2880"/>
          </w:tcPr>
          <w:p>
            <w:r>
              <w:t>Class imbalance addressed via threshold tuning rather than reweighting</w:t>
            </w:r>
          </w:p>
        </w:tc>
      </w:tr>
      <w:tr>
        <w:tc>
          <w:tcPr>
            <w:tcW w:type="dxa" w:w="2880"/>
          </w:tcPr>
          <w:p>
            <w:r>
              <w:t>min_child_weight</w:t>
            </w:r>
          </w:p>
        </w:tc>
        <w:tc>
          <w:tcPr>
            <w:tcW w:type="dxa" w:w="2880"/>
          </w:tcPr>
          <w:p>
            <w:r>
              <w:t>3</w:t>
            </w:r>
          </w:p>
        </w:tc>
        <w:tc>
          <w:tcPr>
            <w:tcW w:type="dxa" w:w="2880"/>
          </w:tcPr>
          <w:p>
            <w:r>
              <w:t>Prevents leaf nodes from being too specific</w:t>
            </w:r>
          </w:p>
        </w:tc>
      </w:tr>
      <w:tr>
        <w:tc>
          <w:tcPr>
            <w:tcW w:type="dxa" w:w="2880"/>
          </w:tcPr>
          <w:p>
            <w:r>
              <w:t>objective</w:t>
            </w:r>
          </w:p>
        </w:tc>
        <w:tc>
          <w:tcPr>
            <w:tcW w:type="dxa" w:w="2880"/>
          </w:tcPr>
          <w:p>
            <w:r>
              <w:t>binary:logistic</w:t>
            </w:r>
          </w:p>
        </w:tc>
        <w:tc>
          <w:tcPr>
            <w:tcW w:type="dxa" w:w="2880"/>
          </w:tcPr>
          <w:p>
            <w:r>
              <w:t>Standard binary classification</w:t>
            </w:r>
          </w:p>
        </w:tc>
      </w:tr>
      <w:tr>
        <w:tc>
          <w:tcPr>
            <w:tcW w:type="dxa" w:w="2880"/>
          </w:tcPr>
          <w:p>
            <w:r>
              <w:t>eval_metric</w:t>
            </w:r>
          </w:p>
        </w:tc>
        <w:tc>
          <w:tcPr>
            <w:tcW w:type="dxa" w:w="2880"/>
          </w:tcPr>
          <w:p>
            <w:r>
              <w:t>auc</w:t>
            </w:r>
          </w:p>
        </w:tc>
        <w:tc>
          <w:tcPr>
            <w:tcW w:type="dxa" w:w="2880"/>
          </w:tcPr>
          <w:p>
            <w:r>
              <w:t>Primary optimization metric</w:t>
            </w:r>
          </w:p>
        </w:tc>
      </w:tr>
      <w:tr>
        <w:tc>
          <w:tcPr>
            <w:tcW w:type="dxa" w:w="2880"/>
          </w:tcPr>
          <w:p>
            <w:r>
              <w:t>random_state</w:t>
            </w:r>
          </w:p>
        </w:tc>
        <w:tc>
          <w:tcPr>
            <w:tcW w:type="dxa" w:w="2880"/>
          </w:tcPr>
          <w:p>
            <w:r>
              <w:t>42</w:t>
            </w:r>
          </w:p>
        </w:tc>
        <w:tc>
          <w:tcPr>
            <w:tcW w:type="dxa" w:w="2880"/>
          </w:tcPr>
          <w:p>
            <w:r>
              <w:t>Reproducibility</w:t>
            </w:r>
          </w:p>
        </w:tc>
      </w:tr>
    </w:tbl>
    <w:p/>
    <w:p>
      <w:r>
        <w:t>Note: All hyperparameters were selected via 5-fold cross-validation grid search on a 10% stratified subsample. Final model trained on full data with selected parameters.</w:t>
      </w:r>
    </w:p>
    <w:p>
      <w:r>
        <w:rPr>
          <w:b/>
          <w:sz w:val="24"/>
        </w:rPr>
        <w:t>Table S11. City-Specific Model Performance: Pooled vs. Individual XGBoost Models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b/>
              </w:rPr>
              <w:t>City</w:t>
            </w:r>
          </w:p>
        </w:tc>
        <w:tc>
          <w:tcPr>
            <w:tcW w:type="dxa" w:w="1440"/>
          </w:tcPr>
          <w:p>
            <w:r>
              <w:rPr>
                <w:b/>
              </w:rPr>
              <w:t>Pooled AUC</w:t>
            </w:r>
          </w:p>
        </w:tc>
        <w:tc>
          <w:tcPr>
            <w:tcW w:type="dxa" w:w="1440"/>
          </w:tcPr>
          <w:p>
            <w:r>
              <w:rPr>
                <w:b/>
              </w:rPr>
              <w:t>City-Specific AUC</w:t>
            </w:r>
          </w:p>
        </w:tc>
        <w:tc>
          <w:tcPr>
            <w:tcW w:type="dxa" w:w="1440"/>
          </w:tcPr>
          <w:p>
            <w:r>
              <w:rPr>
                <w:b/>
              </w:rPr>
              <w:t>ΔAUC</w:t>
            </w:r>
          </w:p>
        </w:tc>
        <w:tc>
          <w:tcPr>
            <w:tcW w:type="dxa" w:w="1440"/>
          </w:tcPr>
          <w:p>
            <w:r>
              <w:rPr>
                <w:b/>
              </w:rPr>
              <w:t>Pooled Superhost (%)</w:t>
            </w:r>
          </w:p>
        </w:tc>
        <w:tc>
          <w:tcPr>
            <w:tcW w:type="dxa" w:w="1440"/>
          </w:tcPr>
          <w:p>
            <w:r>
              <w:rPr>
                <w:b/>
              </w:rPr>
              <w:t>City-Specific Superhost (%)</w:t>
            </w:r>
          </w:p>
        </w:tc>
      </w:tr>
      <w:tr>
        <w:tc>
          <w:tcPr>
            <w:tcW w:type="dxa" w:w="1440"/>
          </w:tcPr>
          <w:p>
            <w:r>
              <w:t>Amsterdam</w:t>
            </w:r>
          </w:p>
        </w:tc>
        <w:tc>
          <w:tcPr>
            <w:tcW w:type="dxa" w:w="1440"/>
          </w:tcPr>
          <w:p>
            <w:r>
              <w:t>0.808</w:t>
            </w:r>
          </w:p>
        </w:tc>
        <w:tc>
          <w:tcPr>
            <w:tcW w:type="dxa" w:w="1440"/>
          </w:tcPr>
          <w:p>
            <w:r>
              <w:t>0.812</w:t>
            </w:r>
          </w:p>
        </w:tc>
        <w:tc>
          <w:tcPr>
            <w:tcW w:type="dxa" w:w="1440"/>
          </w:tcPr>
          <w:p>
            <w:r>
              <w:t>+0.004</w:t>
            </w:r>
          </w:p>
        </w:tc>
        <w:tc>
          <w:tcPr>
            <w:tcW w:type="dxa" w:w="1440"/>
          </w:tcPr>
          <w:p>
            <w:r>
              <w:t>62.2</w:t>
            </w:r>
          </w:p>
        </w:tc>
        <w:tc>
          <w:tcPr>
            <w:tcW w:type="dxa" w:w="1440"/>
          </w:tcPr>
          <w:p>
            <w:r>
              <w:t>58.4</w:t>
            </w:r>
          </w:p>
        </w:tc>
      </w:tr>
      <w:tr>
        <w:tc>
          <w:tcPr>
            <w:tcW w:type="dxa" w:w="1440"/>
          </w:tcPr>
          <w:p>
            <w:r>
              <w:t>Barcelona</w:t>
            </w:r>
          </w:p>
        </w:tc>
        <w:tc>
          <w:tcPr>
            <w:tcW w:type="dxa" w:w="1440"/>
          </w:tcPr>
          <w:p>
            <w:r>
              <w:t>0.772</w:t>
            </w:r>
          </w:p>
        </w:tc>
        <w:tc>
          <w:tcPr>
            <w:tcW w:type="dxa" w:w="1440"/>
          </w:tcPr>
          <w:p>
            <w:r>
              <w:t>0.778</w:t>
            </w:r>
          </w:p>
        </w:tc>
        <w:tc>
          <w:tcPr>
            <w:tcW w:type="dxa" w:w="1440"/>
          </w:tcPr>
          <w:p>
            <w:r>
              <w:t>+0.006</w:t>
            </w:r>
          </w:p>
        </w:tc>
        <w:tc>
          <w:tcPr>
            <w:tcW w:type="dxa" w:w="1440"/>
          </w:tcPr>
          <w:p>
            <w:r>
              <w:t>62.2</w:t>
            </w:r>
          </w:p>
        </w:tc>
        <w:tc>
          <w:tcPr>
            <w:tcW w:type="dxa" w:w="1440"/>
          </w:tcPr>
          <w:p>
            <w:r>
              <w:t>71.3</w:t>
            </w:r>
          </w:p>
        </w:tc>
      </w:tr>
      <w:tr>
        <w:tc>
          <w:tcPr>
            <w:tcW w:type="dxa" w:w="1440"/>
          </w:tcPr>
          <w:p>
            <w:r>
              <w:t>London</w:t>
            </w:r>
          </w:p>
        </w:tc>
        <w:tc>
          <w:tcPr>
            <w:tcW w:type="dxa" w:w="1440"/>
          </w:tcPr>
          <w:p>
            <w:r>
              <w:t>0.778</w:t>
            </w:r>
          </w:p>
        </w:tc>
        <w:tc>
          <w:tcPr>
            <w:tcW w:type="dxa" w:w="1440"/>
          </w:tcPr>
          <w:p>
            <w:r>
              <w:t>0.781</w:t>
            </w:r>
          </w:p>
        </w:tc>
        <w:tc>
          <w:tcPr>
            <w:tcW w:type="dxa" w:w="1440"/>
          </w:tcPr>
          <w:p>
            <w:r>
              <w:t>+0.003</w:t>
            </w:r>
          </w:p>
        </w:tc>
        <w:tc>
          <w:tcPr>
            <w:tcW w:type="dxa" w:w="1440"/>
          </w:tcPr>
          <w:p>
            <w:r>
              <w:t>62.2</w:t>
            </w:r>
          </w:p>
        </w:tc>
        <w:tc>
          <w:tcPr>
            <w:tcW w:type="dxa" w:w="1440"/>
          </w:tcPr>
          <w:p>
            <w:r>
              <w:t>59.8</w:t>
            </w:r>
          </w:p>
        </w:tc>
      </w:tr>
      <w:tr>
        <w:tc>
          <w:tcPr>
            <w:tcW w:type="dxa" w:w="1440"/>
          </w:tcPr>
          <w:p>
            <w:r>
              <w:t>New York</w:t>
            </w:r>
          </w:p>
        </w:tc>
        <w:tc>
          <w:tcPr>
            <w:tcW w:type="dxa" w:w="1440"/>
          </w:tcPr>
          <w:p>
            <w:r>
              <w:t>0.788</w:t>
            </w:r>
          </w:p>
        </w:tc>
        <w:tc>
          <w:tcPr>
            <w:tcW w:type="dxa" w:w="1440"/>
          </w:tcPr>
          <w:p>
            <w:r>
              <w:t>0.791</w:t>
            </w:r>
          </w:p>
        </w:tc>
        <w:tc>
          <w:tcPr>
            <w:tcW w:type="dxa" w:w="1440"/>
          </w:tcPr>
          <w:p>
            <w:r>
              <w:t>+0.003</w:t>
            </w:r>
          </w:p>
        </w:tc>
        <w:tc>
          <w:tcPr>
            <w:tcW w:type="dxa" w:w="1440"/>
          </w:tcPr>
          <w:p>
            <w:r>
              <w:t>62.2</w:t>
            </w:r>
          </w:p>
        </w:tc>
        <w:tc>
          <w:tcPr>
            <w:tcW w:type="dxa" w:w="1440"/>
          </w:tcPr>
          <w:p>
            <w:r>
              <w:t>64.5</w:t>
            </w:r>
          </w:p>
        </w:tc>
      </w:tr>
      <w:tr>
        <w:tc>
          <w:tcPr>
            <w:tcW w:type="dxa" w:w="1440"/>
          </w:tcPr>
          <w:p>
            <w:r>
              <w:t>Paris</w:t>
            </w:r>
          </w:p>
        </w:tc>
        <w:tc>
          <w:tcPr>
            <w:tcW w:type="dxa" w:w="1440"/>
          </w:tcPr>
          <w:p>
            <w:r>
              <w:t>0.798</w:t>
            </w:r>
          </w:p>
        </w:tc>
        <w:tc>
          <w:tcPr>
            <w:tcW w:type="dxa" w:w="1440"/>
          </w:tcPr>
          <w:p>
            <w:r>
              <w:t>0.801</w:t>
            </w:r>
          </w:p>
        </w:tc>
        <w:tc>
          <w:tcPr>
            <w:tcW w:type="dxa" w:w="1440"/>
          </w:tcPr>
          <w:p>
            <w:r>
              <w:t>+0.003</w:t>
            </w:r>
          </w:p>
        </w:tc>
        <w:tc>
          <w:tcPr>
            <w:tcW w:type="dxa" w:w="1440"/>
          </w:tcPr>
          <w:p>
            <w:r>
              <w:t>62.2</w:t>
            </w:r>
          </w:p>
        </w:tc>
        <w:tc>
          <w:tcPr>
            <w:tcW w:type="dxa" w:w="1440"/>
          </w:tcPr>
          <w:p>
            <w:r>
              <w:t>55.2</w:t>
            </w:r>
          </w:p>
        </w:tc>
      </w:tr>
      <w:tr>
        <w:tc>
          <w:tcPr>
            <w:tcW w:type="dxa" w:w="1440"/>
          </w:tcPr>
          <w:p>
            <w:r>
              <w:t>Sydney</w:t>
            </w:r>
          </w:p>
        </w:tc>
        <w:tc>
          <w:tcPr>
            <w:tcW w:type="dxa" w:w="1440"/>
          </w:tcPr>
          <w:p>
            <w:r>
              <w:t>0.784</w:t>
            </w:r>
          </w:p>
        </w:tc>
        <w:tc>
          <w:tcPr>
            <w:tcW w:type="dxa" w:w="1440"/>
          </w:tcPr>
          <w:p>
            <w:r>
              <w:t>0.787</w:t>
            </w:r>
          </w:p>
        </w:tc>
        <w:tc>
          <w:tcPr>
            <w:tcW w:type="dxa" w:w="1440"/>
          </w:tcPr>
          <w:p>
            <w:r>
              <w:t>+0.003</w:t>
            </w:r>
          </w:p>
        </w:tc>
        <w:tc>
          <w:tcPr>
            <w:tcW w:type="dxa" w:w="1440"/>
          </w:tcPr>
          <w:p>
            <w:r>
              <w:t>62.2</w:t>
            </w:r>
          </w:p>
        </w:tc>
        <w:tc>
          <w:tcPr>
            <w:tcW w:type="dxa" w:w="1440"/>
          </w:tcPr>
          <w:p>
            <w:r>
              <w:t>61.9</w:t>
            </w:r>
          </w:p>
        </w:tc>
      </w:tr>
    </w:tbl>
    <w:p/>
    <w:p>
      <w:r>
        <w:t>Note: City-specific models trained independently per city using identical hyperparameters (Table S10). Pooled model (all 12 cities) achieves comparable AUC to city-specific models, with feature importance rankings remaining stable across specifications. This supports our use of a pooled model with city dummies rather than separate per-city estimations.</w:t>
      </w:r>
    </w:p>
    <w:p/>
    <w:p>
      <w:r>
        <w:rPr>
          <w:i/>
        </w:rPr>
        <w:t>Note: This supplementary materials document contains 11 tables (S1–S11). The main manuscript contains 5 figures, 3 tables, and 32 references. All spatial analyses were conducted using obfuscated coordinates (±150–200 m offset); distance estimates and spatial patterns should be interpreted as directional rather than block-precise.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