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B2958D" w14:textId="77777777" w:rsidR="00D379C0" w:rsidRDefault="006D2097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 w:hint="eastAsia"/>
          <w:b/>
          <w:sz w:val="32"/>
        </w:rPr>
        <w:t>Highlights</w:t>
      </w:r>
    </w:p>
    <w:p w14:paraId="419E46FB" w14:textId="77777777" w:rsidR="00D379C0" w:rsidRDefault="00D379C0">
      <w:pPr>
        <w:jc w:val="center"/>
        <w:rPr>
          <w:rFonts w:ascii="Times New Roman" w:hAnsi="Times New Roman" w:cs="Times New Roman"/>
          <w:b/>
          <w:sz w:val="32"/>
        </w:rPr>
      </w:pPr>
    </w:p>
    <w:p w14:paraId="5C8FD38D" w14:textId="77777777" w:rsidR="00D379C0" w:rsidRDefault="006D2097">
      <w:pPr>
        <w:pStyle w:val="a8"/>
        <w:numPr>
          <w:ilvl w:val="0"/>
          <w:numId w:val="1"/>
        </w:numPr>
        <w:spacing w:beforeLines="50" w:before="156" w:afterLines="50" w:after="156"/>
        <w:ind w:left="442" w:firstLineChars="0" w:hanging="442"/>
        <w:rPr>
          <w:rFonts w:ascii="Times New Roman" w:eastAsia="楷体" w:hAnsi="Times New Roman" w:cs="Times New Roman"/>
          <w:sz w:val="24"/>
          <w:szCs w:val="28"/>
        </w:rPr>
      </w:pPr>
      <w:r>
        <w:rPr>
          <w:rFonts w:ascii="Times New Roman" w:eastAsia="楷体" w:hAnsi="Times New Roman" w:cs="Times New Roman" w:hint="eastAsia"/>
          <w:sz w:val="24"/>
          <w:szCs w:val="28"/>
        </w:rPr>
        <w:t>Constructs a multidimensional agricultural economic resilience (AER) index from production, industrial integration, and green ecosystem dimensions.</w:t>
      </w:r>
    </w:p>
    <w:p w14:paraId="5633AE6F" w14:textId="77777777" w:rsidR="00D379C0" w:rsidRDefault="00D379C0">
      <w:pPr>
        <w:pStyle w:val="a8"/>
        <w:spacing w:beforeLines="50" w:before="156" w:afterLines="50" w:after="156"/>
        <w:ind w:firstLineChars="0" w:firstLine="0"/>
        <w:rPr>
          <w:rFonts w:ascii="Times New Roman" w:eastAsia="楷体" w:hAnsi="Times New Roman" w:cs="Times New Roman"/>
          <w:sz w:val="24"/>
          <w:szCs w:val="28"/>
        </w:rPr>
      </w:pPr>
    </w:p>
    <w:p w14:paraId="7FAD33D1" w14:textId="77777777" w:rsidR="00D379C0" w:rsidRDefault="006D2097">
      <w:pPr>
        <w:pStyle w:val="a8"/>
        <w:numPr>
          <w:ilvl w:val="0"/>
          <w:numId w:val="1"/>
        </w:numPr>
        <w:spacing w:beforeLines="50" w:before="156" w:afterLines="50" w:after="156"/>
        <w:ind w:left="442" w:firstLineChars="0" w:hanging="442"/>
        <w:rPr>
          <w:rFonts w:ascii="Times New Roman" w:eastAsia="楷体" w:hAnsi="Times New Roman" w:cs="Times New Roman"/>
          <w:sz w:val="24"/>
          <w:szCs w:val="28"/>
        </w:rPr>
      </w:pPr>
      <w:r>
        <w:rPr>
          <w:rFonts w:ascii="Times New Roman" w:eastAsia="楷体" w:hAnsi="Times New Roman" w:cs="Times New Roman" w:hint="eastAsia"/>
          <w:sz w:val="24"/>
          <w:szCs w:val="28"/>
        </w:rPr>
        <w:t xml:space="preserve">Uses landform as an instrumental variable to address endogeneity, providing robust causal </w:t>
      </w:r>
      <w:r>
        <w:rPr>
          <w:rFonts w:ascii="Times New Roman" w:eastAsia="楷体" w:hAnsi="Times New Roman" w:cs="Times New Roman" w:hint="eastAsia"/>
          <w:sz w:val="24"/>
          <w:szCs w:val="28"/>
        </w:rPr>
        <w:t>evidence between high</w:t>
      </w:r>
      <w:r>
        <w:rPr>
          <w:rFonts w:ascii="Times New Roman" w:eastAsia="楷体" w:hAnsi="Times New Roman" w:cs="Times New Roman" w:hint="eastAsia"/>
          <w:sz w:val="24"/>
          <w:szCs w:val="28"/>
        </w:rPr>
        <w:t>-</w:t>
      </w:r>
      <w:r>
        <w:rPr>
          <w:rFonts w:ascii="Times New Roman" w:eastAsia="楷体" w:hAnsi="Times New Roman" w:cs="Times New Roman" w:hint="eastAsia"/>
          <w:sz w:val="24"/>
          <w:szCs w:val="28"/>
        </w:rPr>
        <w:t>standard farmland construction (HSFC) and AER.</w:t>
      </w:r>
    </w:p>
    <w:p w14:paraId="69DDC40A" w14:textId="77777777" w:rsidR="00D379C0" w:rsidRDefault="00D379C0">
      <w:pPr>
        <w:pStyle w:val="a8"/>
        <w:spacing w:beforeLines="50" w:before="156" w:afterLines="50" w:after="156"/>
        <w:ind w:firstLineChars="0" w:firstLine="0"/>
        <w:rPr>
          <w:rFonts w:ascii="Times New Roman" w:eastAsia="楷体" w:hAnsi="Times New Roman" w:cs="Times New Roman"/>
          <w:sz w:val="24"/>
          <w:szCs w:val="28"/>
        </w:rPr>
      </w:pPr>
    </w:p>
    <w:p w14:paraId="4C47F8C4" w14:textId="77777777" w:rsidR="00D379C0" w:rsidRDefault="006D2097">
      <w:pPr>
        <w:pStyle w:val="a8"/>
        <w:numPr>
          <w:ilvl w:val="0"/>
          <w:numId w:val="1"/>
        </w:numPr>
        <w:spacing w:beforeLines="50" w:before="156" w:afterLines="50" w:after="156"/>
        <w:ind w:left="442" w:firstLineChars="0" w:hanging="442"/>
        <w:rPr>
          <w:rFonts w:ascii="Times New Roman" w:eastAsia="楷体" w:hAnsi="Times New Roman" w:cs="Times New Roman"/>
          <w:sz w:val="24"/>
          <w:szCs w:val="28"/>
        </w:rPr>
      </w:pPr>
      <w:r>
        <w:rPr>
          <w:rFonts w:ascii="Times New Roman" w:eastAsia="楷体" w:hAnsi="Times New Roman" w:cs="Times New Roman" w:hint="eastAsia"/>
          <w:sz w:val="24"/>
          <w:szCs w:val="28"/>
        </w:rPr>
        <w:t>Identifies three mechanisms: land scale economy, agricultural technological progress, and deepened agricultural division of labor.</w:t>
      </w:r>
    </w:p>
    <w:p w14:paraId="13278FFA" w14:textId="77777777" w:rsidR="00D379C0" w:rsidRDefault="00D379C0">
      <w:pPr>
        <w:pStyle w:val="a8"/>
        <w:spacing w:beforeLines="50" w:before="156" w:afterLines="50" w:after="156"/>
        <w:ind w:firstLineChars="0" w:firstLine="0"/>
        <w:rPr>
          <w:rFonts w:ascii="Times New Roman" w:eastAsia="楷体" w:hAnsi="Times New Roman" w:cs="Times New Roman"/>
          <w:sz w:val="24"/>
          <w:szCs w:val="28"/>
        </w:rPr>
      </w:pPr>
    </w:p>
    <w:p w14:paraId="47F64A36" w14:textId="1D1F1B3E" w:rsidR="00D379C0" w:rsidRDefault="006D2097">
      <w:pPr>
        <w:pStyle w:val="a8"/>
        <w:numPr>
          <w:ilvl w:val="0"/>
          <w:numId w:val="1"/>
        </w:numPr>
        <w:spacing w:beforeLines="50" w:before="156" w:afterLines="50" w:after="156"/>
        <w:ind w:left="442" w:firstLineChars="0" w:hanging="442"/>
        <w:rPr>
          <w:rFonts w:ascii="Times New Roman" w:eastAsia="楷体" w:hAnsi="Times New Roman" w:cs="Times New Roman"/>
          <w:sz w:val="24"/>
          <w:szCs w:val="28"/>
        </w:rPr>
      </w:pPr>
      <w:r>
        <w:rPr>
          <w:rFonts w:ascii="Times New Roman" w:eastAsia="楷体" w:hAnsi="Times New Roman" w:cs="Times New Roman" w:hint="eastAsia"/>
          <w:sz w:val="24"/>
          <w:szCs w:val="28"/>
        </w:rPr>
        <w:t>Shows that HSFC</w:t>
      </w:r>
      <w:r>
        <w:rPr>
          <w:rFonts w:ascii="Times New Roman" w:eastAsia="楷体" w:hAnsi="Times New Roman" w:cs="Times New Roman"/>
          <w:sz w:val="24"/>
          <w:szCs w:val="28"/>
        </w:rPr>
        <w:t>’</w:t>
      </w:r>
      <w:r>
        <w:rPr>
          <w:rFonts w:ascii="Times New Roman" w:eastAsia="楷体" w:hAnsi="Times New Roman" w:cs="Times New Roman" w:hint="eastAsia"/>
          <w:sz w:val="24"/>
          <w:szCs w:val="28"/>
        </w:rPr>
        <w:t>s positive effects are stronger in non</w:t>
      </w:r>
      <w:r>
        <w:rPr>
          <w:rFonts w:ascii="Times New Roman" w:eastAsia="楷体" w:hAnsi="Times New Roman" w:cs="Times New Roman" w:hint="eastAsia"/>
          <w:sz w:val="24"/>
          <w:szCs w:val="28"/>
        </w:rPr>
        <w:t>-</w:t>
      </w:r>
      <w:r>
        <w:rPr>
          <w:rFonts w:ascii="Times New Roman" w:eastAsia="楷体" w:hAnsi="Times New Roman" w:cs="Times New Roman" w:hint="eastAsia"/>
          <w:sz w:val="24"/>
          <w:szCs w:val="28"/>
        </w:rPr>
        <w:t>major grain</w:t>
      </w:r>
      <w:r>
        <w:rPr>
          <w:rFonts w:ascii="Times New Roman" w:eastAsia="楷体" w:hAnsi="Times New Roman" w:cs="Times New Roman" w:hint="eastAsia"/>
          <w:sz w:val="24"/>
          <w:szCs w:val="28"/>
        </w:rPr>
        <w:t>-</w:t>
      </w:r>
      <w:r>
        <w:rPr>
          <w:rFonts w:ascii="Times New Roman" w:eastAsia="楷体" w:hAnsi="Times New Roman" w:cs="Times New Roman" w:hint="eastAsia"/>
          <w:sz w:val="24"/>
          <w:szCs w:val="28"/>
        </w:rPr>
        <w:t>producing areas, less developed regions, and low</w:t>
      </w:r>
      <w:r w:rsidR="00B23911">
        <w:rPr>
          <w:rFonts w:ascii="Times New Roman" w:eastAsia="楷体" w:hAnsi="Times New Roman" w:cs="Times New Roman" w:hint="eastAsia"/>
          <w:sz w:val="24"/>
          <w:szCs w:val="28"/>
        </w:rPr>
        <w:t>-</w:t>
      </w:r>
      <w:r>
        <w:rPr>
          <w:rFonts w:ascii="Times New Roman" w:eastAsia="楷体" w:hAnsi="Times New Roman" w:cs="Times New Roman" w:hint="eastAsia"/>
          <w:sz w:val="24"/>
          <w:szCs w:val="28"/>
        </w:rPr>
        <w:t>marketization areas.</w:t>
      </w:r>
    </w:p>
    <w:p w14:paraId="6A96AF1A" w14:textId="77777777" w:rsidR="00D379C0" w:rsidRPr="00B23911" w:rsidRDefault="00D379C0">
      <w:pPr>
        <w:pStyle w:val="a8"/>
        <w:spacing w:beforeLines="50" w:before="156" w:afterLines="50" w:after="156"/>
        <w:ind w:firstLineChars="0" w:firstLine="0"/>
        <w:rPr>
          <w:rFonts w:ascii="Times New Roman" w:eastAsia="楷体" w:hAnsi="Times New Roman" w:cs="Times New Roman"/>
          <w:sz w:val="24"/>
          <w:szCs w:val="28"/>
        </w:rPr>
      </w:pPr>
      <w:bookmarkStart w:id="0" w:name="_GoBack"/>
      <w:bookmarkEnd w:id="0"/>
    </w:p>
    <w:p w14:paraId="259F7543" w14:textId="77777777" w:rsidR="00D379C0" w:rsidRDefault="006D2097">
      <w:pPr>
        <w:pStyle w:val="a8"/>
        <w:numPr>
          <w:ilvl w:val="0"/>
          <w:numId w:val="1"/>
        </w:numPr>
        <w:spacing w:beforeLines="50" w:before="156" w:afterLines="50" w:after="156"/>
        <w:ind w:left="442" w:firstLineChars="0" w:hanging="442"/>
        <w:rPr>
          <w:rFonts w:ascii="Times New Roman" w:eastAsia="楷体" w:hAnsi="Times New Roman" w:cs="Times New Roman"/>
          <w:sz w:val="24"/>
          <w:szCs w:val="28"/>
        </w:rPr>
      </w:pPr>
      <w:r>
        <w:rPr>
          <w:rFonts w:ascii="Times New Roman" w:eastAsia="楷体" w:hAnsi="Times New Roman" w:cs="Times New Roman" w:hint="eastAsia"/>
          <w:sz w:val="24"/>
          <w:szCs w:val="28"/>
        </w:rPr>
        <w:t>Offers novel policy insights for developing economies on building agricultural resilience through public infrastructure investment.</w:t>
      </w:r>
    </w:p>
    <w:p w14:paraId="25FE78AB" w14:textId="77777777" w:rsidR="00D379C0" w:rsidRDefault="00D379C0">
      <w:pPr>
        <w:pStyle w:val="a8"/>
        <w:spacing w:beforeLines="50" w:before="156" w:afterLines="50" w:after="156"/>
        <w:ind w:firstLineChars="0" w:firstLine="0"/>
        <w:rPr>
          <w:rFonts w:ascii="Times New Roman" w:eastAsia="楷体" w:hAnsi="Times New Roman" w:cs="Times New Roman"/>
          <w:sz w:val="24"/>
          <w:szCs w:val="28"/>
        </w:rPr>
      </w:pPr>
    </w:p>
    <w:sectPr w:rsidR="00D379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14FF1A" w14:textId="77777777" w:rsidR="006D2097" w:rsidRDefault="006D2097" w:rsidP="00B23911">
      <w:r>
        <w:separator/>
      </w:r>
    </w:p>
  </w:endnote>
  <w:endnote w:type="continuationSeparator" w:id="0">
    <w:p w14:paraId="7DADD788" w14:textId="77777777" w:rsidR="006D2097" w:rsidRDefault="006D2097" w:rsidP="00B2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2CD6AA" w14:textId="77777777" w:rsidR="006D2097" w:rsidRDefault="006D2097" w:rsidP="00B23911">
      <w:r>
        <w:separator/>
      </w:r>
    </w:p>
  </w:footnote>
  <w:footnote w:type="continuationSeparator" w:id="0">
    <w:p w14:paraId="3A8A732B" w14:textId="77777777" w:rsidR="006D2097" w:rsidRDefault="006D2097" w:rsidP="00B239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325C6E"/>
    <w:multiLevelType w:val="multilevel"/>
    <w:tmpl w:val="78325C6E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F21"/>
    <w:rsid w:val="00021025"/>
    <w:rsid w:val="00057AA7"/>
    <w:rsid w:val="00093493"/>
    <w:rsid w:val="000D0C9C"/>
    <w:rsid w:val="0016049D"/>
    <w:rsid w:val="001C0D11"/>
    <w:rsid w:val="001C25BF"/>
    <w:rsid w:val="001D5BFD"/>
    <w:rsid w:val="001E01A2"/>
    <w:rsid w:val="001E6199"/>
    <w:rsid w:val="0021693E"/>
    <w:rsid w:val="00220408"/>
    <w:rsid w:val="00236205"/>
    <w:rsid w:val="00247B73"/>
    <w:rsid w:val="00326EAE"/>
    <w:rsid w:val="003771DE"/>
    <w:rsid w:val="003F629E"/>
    <w:rsid w:val="0044247F"/>
    <w:rsid w:val="00462B8F"/>
    <w:rsid w:val="00472768"/>
    <w:rsid w:val="004A0C32"/>
    <w:rsid w:val="005131C0"/>
    <w:rsid w:val="005375B4"/>
    <w:rsid w:val="00563C0E"/>
    <w:rsid w:val="006040C5"/>
    <w:rsid w:val="006224F6"/>
    <w:rsid w:val="006252DB"/>
    <w:rsid w:val="00643D21"/>
    <w:rsid w:val="00685041"/>
    <w:rsid w:val="006D2097"/>
    <w:rsid w:val="00723789"/>
    <w:rsid w:val="007421DD"/>
    <w:rsid w:val="007A5D49"/>
    <w:rsid w:val="007A7D29"/>
    <w:rsid w:val="007C7D6D"/>
    <w:rsid w:val="00824139"/>
    <w:rsid w:val="00867332"/>
    <w:rsid w:val="008B0AC7"/>
    <w:rsid w:val="00906C4C"/>
    <w:rsid w:val="00931127"/>
    <w:rsid w:val="00985A79"/>
    <w:rsid w:val="009A65CB"/>
    <w:rsid w:val="009D2055"/>
    <w:rsid w:val="009F49A5"/>
    <w:rsid w:val="00A060BC"/>
    <w:rsid w:val="00A07123"/>
    <w:rsid w:val="00A14A4E"/>
    <w:rsid w:val="00A43D15"/>
    <w:rsid w:val="00A566A3"/>
    <w:rsid w:val="00AF0DD9"/>
    <w:rsid w:val="00B00EB9"/>
    <w:rsid w:val="00B23911"/>
    <w:rsid w:val="00C171C0"/>
    <w:rsid w:val="00C178F4"/>
    <w:rsid w:val="00C17F21"/>
    <w:rsid w:val="00C23E21"/>
    <w:rsid w:val="00C6670F"/>
    <w:rsid w:val="00C7064A"/>
    <w:rsid w:val="00D24424"/>
    <w:rsid w:val="00D379C0"/>
    <w:rsid w:val="00D6391E"/>
    <w:rsid w:val="00D63F35"/>
    <w:rsid w:val="00D7566D"/>
    <w:rsid w:val="00DC6032"/>
    <w:rsid w:val="00DD776A"/>
    <w:rsid w:val="00E06ABB"/>
    <w:rsid w:val="00E97849"/>
    <w:rsid w:val="00EB6EC9"/>
    <w:rsid w:val="00F05E5B"/>
    <w:rsid w:val="00F30C3F"/>
    <w:rsid w:val="00F515F2"/>
    <w:rsid w:val="00FA7AF1"/>
    <w:rsid w:val="00FF67A2"/>
    <w:rsid w:val="02F9046C"/>
    <w:rsid w:val="1B042340"/>
    <w:rsid w:val="270555D1"/>
    <w:rsid w:val="2E5804AB"/>
    <w:rsid w:val="50EE3366"/>
    <w:rsid w:val="51CE1F88"/>
    <w:rsid w:val="5D382C12"/>
    <w:rsid w:val="5DC40BE4"/>
    <w:rsid w:val="5F085542"/>
    <w:rsid w:val="71F43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113B0C"/>
  <w15:docId w15:val="{8BA15287-923C-464E-AD1F-CB06CD2E5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Pr>
      <w:sz w:val="24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杰 王</dc:creator>
  <cp:lastModifiedBy>user</cp:lastModifiedBy>
  <cp:revision>152</cp:revision>
  <dcterms:created xsi:type="dcterms:W3CDTF">2023-11-17T23:48:00Z</dcterms:created>
  <dcterms:modified xsi:type="dcterms:W3CDTF">2026-06-21T13:07:00Z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eyJoZGlkIjoiNGFkN2VkN2MxZGE5MjA5ODUxNmZkZGE1OWM3M2ZlODEiLCJ1c2VySWQiOiIyNzQwNTkwMzYifQ==</vt:lpwstr>
  </property>
  <property fmtid="{D5CDD505-2E9C-101B-9397-08002B2CF9AE}" pid="3" name="KSOProductBuildVer">
    <vt:lpwstr>2052-12.1.0.26895</vt:lpwstr>
  </property>
  <property fmtid="{D5CDD505-2E9C-101B-9397-08002B2CF9AE}" pid="4" name="ICV">
    <vt:lpwstr>E64F1E80CEB34DF5A38C9AC7B78FDEE4_13</vt:lpwstr>
  </property>
</Properties>
</file>