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A2393">
      <w:pPr>
        <w:spacing w:after="120" w:line="480" w:lineRule="auto"/>
        <w:ind w:firstLine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Additional file </w:t>
      </w:r>
      <w:r>
        <w:rPr>
          <w:rFonts w:hint="eastAsia" w:eastAsia="宋体"/>
          <w:b/>
          <w:sz w:val="28"/>
          <w:lang w:val="en-US" w:eastAsia="zh-CN"/>
        </w:rPr>
        <w:t>1</w:t>
      </w:r>
      <w:r>
        <w:rPr>
          <w:rFonts w:ascii="Arial" w:hAnsi="Arial"/>
          <w:b/>
          <w:sz w:val="28"/>
        </w:rPr>
        <w:t>. Supplementary Figures</w:t>
      </w:r>
    </w:p>
    <w:p w14:paraId="02C69408">
      <w:pPr>
        <w:spacing w:after="120" w:line="480" w:lineRule="auto"/>
        <w:ind w:firstLine="0"/>
        <w:rPr>
          <w:rFonts w:ascii="Arial" w:hAnsi="Arial"/>
          <w:b/>
          <w:sz w:val="28"/>
        </w:rPr>
      </w:pPr>
      <w:r>
        <w:rPr>
          <w:rFonts w:hint="eastAsia" w:ascii="Arial" w:hAnsi="Arial" w:eastAsia="宋体"/>
          <w:sz w:val="22"/>
          <w:lang w:eastAsia="zh-CN"/>
        </w:rPr>
        <w:drawing>
          <wp:inline distT="0" distB="0" distL="114300" distR="114300">
            <wp:extent cx="5989320" cy="2748915"/>
            <wp:effectExtent l="0" t="0" r="1905" b="3810"/>
            <wp:docPr id="15" name="图片 15" descr="combined_calibration_dca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ombined_calibration_dca_5y"/>
                    <pic:cNvPicPr>
                      <a:picLocks noChangeAspect="1"/>
                    </pic:cNvPicPr>
                  </pic:nvPicPr>
                  <pic:blipFill>
                    <a:blip r:embed="rId7"/>
                    <a:srcRect l="6458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75871">
      <w:pPr>
        <w:spacing w:after="120" w:line="276" w:lineRule="auto"/>
        <w:rPr>
          <w:rFonts w:ascii="Arial" w:hAnsi="Arial" w:eastAsia="Times New Roman"/>
          <w:b/>
          <w:sz w:val="20"/>
        </w:rPr>
      </w:pPr>
      <w:r>
        <w:rPr>
          <w:rFonts w:ascii="Arial" w:hAnsi="Arial" w:eastAsia="Times New Roman"/>
          <w:b/>
          <w:sz w:val="20"/>
        </w:rPr>
        <w:t>Supplementary Figure S1. Five-year calibration curves</w:t>
      </w:r>
      <w:r>
        <w:rPr>
          <w:rFonts w:hint="eastAsia" w:ascii="Arial" w:hAnsi="Arial" w:eastAsia="Times New Roman"/>
          <w:b/>
          <w:sz w:val="20"/>
          <w:lang w:val="en-US" w:eastAsia="zh-CN"/>
        </w:rPr>
        <w:t xml:space="preserve"> and</w:t>
      </w:r>
      <w:r>
        <w:rPr>
          <w:rFonts w:hint="eastAsia" w:ascii="Arial" w:hAnsi="Arial"/>
          <w:b/>
          <w:sz w:val="20"/>
          <w:lang w:val="en-US" w:eastAsia="zh-CN"/>
        </w:rPr>
        <w:t xml:space="preserve"> </w:t>
      </w:r>
      <w:r>
        <w:rPr>
          <w:rFonts w:ascii="Arial" w:hAnsi="Arial" w:eastAsia="Times New Roman"/>
          <w:b/>
          <w:sz w:val="20"/>
        </w:rPr>
        <w:t>Five-year decision curve analysis.</w:t>
      </w:r>
    </w:p>
    <w:p w14:paraId="120BA85C">
      <w:pPr>
        <w:spacing w:after="120" w:line="276" w:lineRule="auto"/>
        <w:rPr>
          <w:rFonts w:ascii="Arial" w:hAnsi="Arial" w:eastAsia="Times New Roman"/>
          <w:b/>
          <w:sz w:val="20"/>
        </w:rPr>
      </w:pPr>
    </w:p>
    <w:p w14:paraId="52EE92C3">
      <w:pPr>
        <w:jc w:val="center"/>
      </w:pPr>
      <w:bookmarkStart w:id="0" w:name="_GoBack"/>
      <w:r>
        <w:drawing>
          <wp:inline distT="0" distB="0" distL="114300" distR="114300">
            <wp:extent cx="5577840" cy="3075305"/>
            <wp:effectExtent l="0" t="0" r="381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07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E486C18">
      <w:pPr>
        <w:spacing w:after="120" w:line="480" w:lineRule="auto"/>
        <w:ind w:firstLine="0"/>
        <w:jc w:val="left"/>
        <w:rPr>
          <w:b/>
          <w:bCs/>
        </w:rPr>
      </w:pPr>
      <w:r>
        <w:rPr>
          <w:rFonts w:ascii="Arial" w:hAnsi="Arial"/>
          <w:b/>
          <w:bCs/>
          <w:sz w:val="18"/>
        </w:rPr>
        <w:t>Supplementary Figure S2. Fine-Gray cumulative incidence functions for incident CLD and death before CLD by RCII-FS burden.</w:t>
      </w:r>
    </w:p>
    <w:sectPr>
      <w:footerReference r:id="rId5" w:type="default"/>
      <w:pgSz w:w="12240" w:h="15840"/>
      <w:pgMar w:top="1417" w:right="1417" w:bottom="1417" w:left="1417" w:header="720" w:footer="720" w:gutter="0"/>
      <w:lnNumType w:countBy="1" w:restart="continuous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C29B3">
    <w:pPr>
      <w:pStyle w:val="24"/>
      <w:jc w:val="center"/>
    </w:pPr>
    <w:r>
      <w:rPr>
        <w:rFonts w:ascii="Arial" w:hAnsi="Arial"/>
        <w:sz w:val="18"/>
      </w:rPr>
      <w:t xml:space="preserve">Page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B20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480" w:lineRule="auto"/>
    </w:pPr>
    <w:rPr>
      <w:rFonts w:ascii="Arial" w:hAnsi="Arial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246</Characters>
  <Lines>0</Lines>
  <Paragraphs>0</Paragraphs>
  <TotalTime>0</TotalTime>
  <ScaleCrop>false</ScaleCrop>
  <LinksUpToDate>false</LinksUpToDate>
  <CharactersWithSpaces>277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Wy</cp:lastModifiedBy>
  <dcterms:modified xsi:type="dcterms:W3CDTF">2026-07-18T10:14:52Z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eyJoZGlkIjoiMzEwNTM5NzYwMDRjMzkwZTVkZjY2ODkwMGIxNGU0OTUiLCJ1c2VySWQiOiIyNzA2Nzk1OTcifQ==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BFDBCC3FC96D4FDCBDB0B301D7CCF3C9_12</vt:lpwstr>
  </property>
</Properties>
</file>