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Highlights</w:t>
      </w:r>
    </w:p>
    <w:p>
      <w:r>
        <w:rPr>
          <w:i/>
        </w:rPr>
        <w:t>Manuscript: Explainable Multi-Stakeholder Educational Intelligence Framework for Curriculum Enhancement and Institutional Quality Assurance</w:t>
      </w:r>
    </w:p>
    <w:p/>
    <w:p>
      <w:r>
        <w:rPr>
          <w:i/>
        </w:rPr>
        <w:t>(Each highlight is ≤85 characters, per the common journal convention of 3–5 bullet points summarizing the paper's core novelty and findings.)</w:t>
      </w:r>
    </w:p>
    <w:p/>
    <w:p>
      <w:pPr>
        <w:pStyle w:val="ListBullet"/>
      </w:pPr>
      <w:r>
        <w:t xml:space="preserve">EMSEIF converts multi-stakeholder curriculum feedback into governance-ready actions.  </w:t>
      </w:r>
    </w:p>
    <w:p>
      <w:r>
        <w:rPr>
          <w:i/>
          <w:sz w:val="18"/>
        </w:rPr>
        <w:t>(84 characters)</w:t>
      </w:r>
    </w:p>
    <w:p>
      <w:pPr>
        <w:pStyle w:val="ListBullet"/>
      </w:pPr>
      <w:r>
        <w:t xml:space="preserve">Dual-gated XAI combines SHAP and Integrated Gradients with faithfulness criteria.  </w:t>
      </w:r>
    </w:p>
    <w:p>
      <w:r>
        <w:rPr>
          <w:i/>
          <w:sz w:val="18"/>
        </w:rPr>
        <w:t>(81 characters)</w:t>
      </w:r>
    </w:p>
    <w:p>
      <w:pPr>
        <w:pStyle w:val="ListBullet"/>
      </w:pPr>
      <w:r>
        <w:t xml:space="preserve">A knowledge graph links feedback, curriculum aspects, courses and committee actions.  </w:t>
      </w:r>
    </w:p>
    <w:p>
      <w:r>
        <w:rPr>
          <w:i/>
          <w:sz w:val="18"/>
        </w:rPr>
        <w:t>(84 characters)</w:t>
      </w:r>
    </w:p>
    <w:p>
      <w:pPr>
        <w:pStyle w:val="ListBullet"/>
      </w:pPr>
      <w:r>
        <w:t xml:space="preserve">EMSEIF beats all classical and transformer baselines with validated macro-F1 gains.  </w:t>
      </w:r>
    </w:p>
    <w:p>
      <w:r>
        <w:rPr>
          <w:i/>
          <w:sz w:val="18"/>
        </w:rPr>
        <w:t>(83 characters)</w:t>
      </w:r>
    </w:p>
    <w:p>
      <w:pPr>
        <w:pStyle w:val="ListBullet"/>
      </w:pPr>
      <w:r>
        <w:t xml:space="preserve">Fairness auditing corrects parity gaps across stakeholder role and department.  </w:t>
      </w:r>
    </w:p>
    <w:p>
      <w:r>
        <w:rPr>
          <w:i/>
          <w:sz w:val="18"/>
        </w:rPr>
        <w:t>(78 characters)</w:t>
      </w:r>
    </w:p>
    <w:p/>
    <w:p>
      <w:r>
        <w:rPr>
          <w:b/>
        </w:rPr>
        <w:t>Alternates (swap in if your target journal wants a different emphasis):</w:t>
      </w:r>
    </w:p>
    <w:p>
      <w:pPr>
        <w:pStyle w:val="ListBullet"/>
      </w:pPr>
      <w:r>
        <w:t>Human-in-the-loop workflow keeps final curriculum decisions with academic committees.  (85 characters)</w:t>
      </w:r>
    </w:p>
    <w:p>
      <w:pPr>
        <w:pStyle w:val="ListBullet"/>
      </w:pPr>
      <w:r>
        <w:t>Validated via 5-fold cross-validation, significance tests, effect sizes and ablation.  (85 characters)</w:t>
      </w:r>
    </w:p>
    <w:p>
      <w:pPr>
        <w:pStyle w:val="ListBullet"/>
      </w:pPr>
      <w:r>
        <w:t>Cross-departmental data show the taxonomy transfers beyond the training discipline.  (83 characters)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