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58046" w14:textId="4CD990DF" w:rsidR="00D474B2" w:rsidRPr="0026438F" w:rsidRDefault="0026438F" w:rsidP="00D474B2">
      <w:pPr>
        <w:spacing w:before="100" w:beforeAutospacing="1" w:after="100" w:afterAutospacing="1" w:line="240" w:lineRule="auto"/>
        <w:jc w:val="both"/>
        <w:rPr>
          <w:rFonts w:ascii="Times New Roman" w:eastAsia="Times New Roman" w:hAnsi="Times New Roman" w:cs="Times New Roman"/>
          <w:b/>
          <w:sz w:val="20"/>
          <w:szCs w:val="20"/>
        </w:rPr>
      </w:pPr>
      <w:r w:rsidRPr="0026438F">
        <w:rPr>
          <w:rFonts w:ascii="Times New Roman" w:eastAsia="Times New Roman" w:hAnsi="Times New Roman" w:cs="Times New Roman"/>
          <w:b/>
          <w:sz w:val="20"/>
          <w:szCs w:val="20"/>
        </w:rPr>
        <w:t>APPENDIX</w:t>
      </w:r>
    </w:p>
    <w:p w14:paraId="3113B967" w14:textId="47BB71F1" w:rsidR="00D132F4" w:rsidRPr="007703F3" w:rsidRDefault="00D132F4" w:rsidP="00D132F4">
      <w:pPr>
        <w:spacing w:before="100" w:beforeAutospacing="1" w:after="100" w:afterAutospacing="1" w:line="240" w:lineRule="auto"/>
        <w:jc w:val="both"/>
        <w:rPr>
          <w:rFonts w:ascii="Times New Roman" w:eastAsia="Times New Roman" w:hAnsi="Times New Roman" w:cs="Times New Roman"/>
          <w:sz w:val="20"/>
          <w:szCs w:val="20"/>
        </w:rPr>
      </w:pPr>
      <w:r w:rsidRPr="007703F3">
        <w:rPr>
          <w:rFonts w:ascii="Times New Roman" w:hAnsi="Times New Roman" w:cs="Times New Roman"/>
          <w:sz w:val="20"/>
          <w:szCs w:val="20"/>
        </w:rPr>
        <w:t>Table S</w:t>
      </w:r>
      <w:r>
        <w:rPr>
          <w:rFonts w:ascii="Times New Roman" w:hAnsi="Times New Roman" w:cs="Times New Roman"/>
          <w:sz w:val="20"/>
          <w:szCs w:val="20"/>
        </w:rPr>
        <w:t>1</w:t>
      </w:r>
      <w:r w:rsidRPr="007703F3">
        <w:rPr>
          <w:rFonts w:ascii="Times New Roman" w:hAnsi="Times New Roman" w:cs="Times New Roman"/>
          <w:sz w:val="20"/>
          <w:szCs w:val="20"/>
        </w:rPr>
        <w:t>. Targeted LC–MS metabolites with class, retention time, MRM transitions, and MSI level</w:t>
      </w:r>
    </w:p>
    <w:tbl>
      <w:tblPr>
        <w:tblStyle w:val="TableGrid"/>
        <w:tblW w:w="0" w:type="auto"/>
        <w:tblLook w:val="04A0" w:firstRow="1" w:lastRow="0" w:firstColumn="1" w:lastColumn="0" w:noHBand="0" w:noVBand="1"/>
      </w:tblPr>
      <w:tblGrid>
        <w:gridCol w:w="1870"/>
        <w:gridCol w:w="1870"/>
        <w:gridCol w:w="1870"/>
        <w:gridCol w:w="1870"/>
        <w:gridCol w:w="1870"/>
      </w:tblGrid>
      <w:tr w:rsidR="00D132F4" w14:paraId="4699B2CF" w14:textId="77777777" w:rsidTr="00EF6830">
        <w:tc>
          <w:tcPr>
            <w:tcW w:w="1870" w:type="dxa"/>
            <w:vAlign w:val="center"/>
          </w:tcPr>
          <w:p w14:paraId="5CBC841A"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b/>
                <w:bCs/>
                <w:sz w:val="20"/>
                <w:szCs w:val="20"/>
              </w:rPr>
              <w:t>Metabolite</w:t>
            </w:r>
          </w:p>
        </w:tc>
        <w:tc>
          <w:tcPr>
            <w:tcW w:w="1870" w:type="dxa"/>
            <w:vAlign w:val="center"/>
          </w:tcPr>
          <w:p w14:paraId="4724B190"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b/>
                <w:bCs/>
                <w:sz w:val="20"/>
                <w:szCs w:val="20"/>
              </w:rPr>
              <w:t>Metabolite Class</w:t>
            </w:r>
          </w:p>
        </w:tc>
        <w:tc>
          <w:tcPr>
            <w:tcW w:w="1870" w:type="dxa"/>
            <w:vAlign w:val="center"/>
          </w:tcPr>
          <w:p w14:paraId="65BCAC2A"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b/>
                <w:bCs/>
                <w:sz w:val="20"/>
                <w:szCs w:val="20"/>
              </w:rPr>
              <w:t>Retention Time (min)</w:t>
            </w:r>
          </w:p>
        </w:tc>
        <w:tc>
          <w:tcPr>
            <w:tcW w:w="1870" w:type="dxa"/>
            <w:vAlign w:val="center"/>
          </w:tcPr>
          <w:p w14:paraId="1225B2B5"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b/>
                <w:bCs/>
                <w:sz w:val="20"/>
                <w:szCs w:val="20"/>
              </w:rPr>
              <w:t>MRM Transition (m/z)</w:t>
            </w:r>
          </w:p>
        </w:tc>
        <w:tc>
          <w:tcPr>
            <w:tcW w:w="1870" w:type="dxa"/>
            <w:vAlign w:val="center"/>
          </w:tcPr>
          <w:p w14:paraId="4B458F5D"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b/>
                <w:bCs/>
                <w:sz w:val="20"/>
                <w:szCs w:val="20"/>
              </w:rPr>
              <w:t>MSI Level*</w:t>
            </w:r>
          </w:p>
        </w:tc>
      </w:tr>
      <w:tr w:rsidR="00D132F4" w14:paraId="7D9A1FA2" w14:textId="77777777" w:rsidTr="00EF6830">
        <w:tc>
          <w:tcPr>
            <w:tcW w:w="1870" w:type="dxa"/>
            <w:vAlign w:val="center"/>
          </w:tcPr>
          <w:p w14:paraId="116D88BE"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Serine</w:t>
            </w:r>
          </w:p>
        </w:tc>
        <w:tc>
          <w:tcPr>
            <w:tcW w:w="1870" w:type="dxa"/>
            <w:vAlign w:val="center"/>
          </w:tcPr>
          <w:p w14:paraId="322396D3"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Amino acid</w:t>
            </w:r>
          </w:p>
        </w:tc>
        <w:tc>
          <w:tcPr>
            <w:tcW w:w="1870" w:type="dxa"/>
            <w:vAlign w:val="center"/>
          </w:tcPr>
          <w:p w14:paraId="1A5DE02A"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1.884</w:t>
            </w:r>
          </w:p>
        </w:tc>
        <w:tc>
          <w:tcPr>
            <w:tcW w:w="1870" w:type="dxa"/>
            <w:vAlign w:val="center"/>
          </w:tcPr>
          <w:p w14:paraId="1E6D77FD"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105.90 → 60.10</w:t>
            </w:r>
          </w:p>
        </w:tc>
        <w:tc>
          <w:tcPr>
            <w:tcW w:w="1870" w:type="dxa"/>
            <w:vAlign w:val="center"/>
          </w:tcPr>
          <w:p w14:paraId="68A0D862"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2509520C" w14:textId="77777777" w:rsidTr="00EF6830">
        <w:tc>
          <w:tcPr>
            <w:tcW w:w="1870" w:type="dxa"/>
            <w:vAlign w:val="center"/>
          </w:tcPr>
          <w:p w14:paraId="1CBC899B"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Alanine</w:t>
            </w:r>
          </w:p>
        </w:tc>
        <w:tc>
          <w:tcPr>
            <w:tcW w:w="1870" w:type="dxa"/>
            <w:vAlign w:val="center"/>
          </w:tcPr>
          <w:p w14:paraId="07F7CD9D"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Amino acid</w:t>
            </w:r>
          </w:p>
        </w:tc>
        <w:tc>
          <w:tcPr>
            <w:tcW w:w="1870" w:type="dxa"/>
            <w:vAlign w:val="center"/>
          </w:tcPr>
          <w:p w14:paraId="4897AC64"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1.913</w:t>
            </w:r>
          </w:p>
        </w:tc>
        <w:tc>
          <w:tcPr>
            <w:tcW w:w="1870" w:type="dxa"/>
            <w:vAlign w:val="center"/>
          </w:tcPr>
          <w:p w14:paraId="7DBD668B"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89.90 → 44.10</w:t>
            </w:r>
          </w:p>
        </w:tc>
        <w:tc>
          <w:tcPr>
            <w:tcW w:w="1870" w:type="dxa"/>
            <w:vAlign w:val="center"/>
          </w:tcPr>
          <w:p w14:paraId="6613EA1D"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618CB2FD" w14:textId="77777777" w:rsidTr="00EF6830">
        <w:tc>
          <w:tcPr>
            <w:tcW w:w="1870" w:type="dxa"/>
            <w:vAlign w:val="center"/>
          </w:tcPr>
          <w:p w14:paraId="719D6555"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Glutamic acid</w:t>
            </w:r>
          </w:p>
        </w:tc>
        <w:tc>
          <w:tcPr>
            <w:tcW w:w="1870" w:type="dxa"/>
            <w:vAlign w:val="center"/>
          </w:tcPr>
          <w:p w14:paraId="3E4558F4"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Amino acid</w:t>
            </w:r>
          </w:p>
        </w:tc>
        <w:tc>
          <w:tcPr>
            <w:tcW w:w="1870" w:type="dxa"/>
            <w:vAlign w:val="center"/>
          </w:tcPr>
          <w:p w14:paraId="057251D9"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1.986</w:t>
            </w:r>
          </w:p>
        </w:tc>
        <w:tc>
          <w:tcPr>
            <w:tcW w:w="1870" w:type="dxa"/>
            <w:vAlign w:val="center"/>
          </w:tcPr>
          <w:p w14:paraId="0DBAB712"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147.90 → 84.10</w:t>
            </w:r>
          </w:p>
        </w:tc>
        <w:tc>
          <w:tcPr>
            <w:tcW w:w="1870" w:type="dxa"/>
            <w:vAlign w:val="center"/>
          </w:tcPr>
          <w:p w14:paraId="4F0DDAB8"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235F2145" w14:textId="77777777" w:rsidTr="00EF6830">
        <w:tc>
          <w:tcPr>
            <w:tcW w:w="1870" w:type="dxa"/>
            <w:vAlign w:val="center"/>
          </w:tcPr>
          <w:p w14:paraId="6DBB6E32"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Cytidine</w:t>
            </w:r>
          </w:p>
        </w:tc>
        <w:tc>
          <w:tcPr>
            <w:tcW w:w="1870" w:type="dxa"/>
            <w:vAlign w:val="center"/>
          </w:tcPr>
          <w:p w14:paraId="4A7F6FA5"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Nucleoside</w:t>
            </w:r>
          </w:p>
        </w:tc>
        <w:tc>
          <w:tcPr>
            <w:tcW w:w="1870" w:type="dxa"/>
            <w:vAlign w:val="center"/>
          </w:tcPr>
          <w:p w14:paraId="15EAF3F8"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7.489</w:t>
            </w:r>
          </w:p>
        </w:tc>
        <w:tc>
          <w:tcPr>
            <w:tcW w:w="1870" w:type="dxa"/>
            <w:vAlign w:val="center"/>
          </w:tcPr>
          <w:p w14:paraId="719E4190"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244.10 → 112.05</w:t>
            </w:r>
          </w:p>
        </w:tc>
        <w:tc>
          <w:tcPr>
            <w:tcW w:w="1870" w:type="dxa"/>
            <w:vAlign w:val="center"/>
          </w:tcPr>
          <w:p w14:paraId="5F4634A9"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09139076" w14:textId="77777777" w:rsidTr="00EF6830">
        <w:tc>
          <w:tcPr>
            <w:tcW w:w="1870" w:type="dxa"/>
            <w:vAlign w:val="center"/>
          </w:tcPr>
          <w:p w14:paraId="138C20CC"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Adenosine</w:t>
            </w:r>
          </w:p>
        </w:tc>
        <w:tc>
          <w:tcPr>
            <w:tcW w:w="1870" w:type="dxa"/>
            <w:vAlign w:val="center"/>
          </w:tcPr>
          <w:p w14:paraId="01D2E597"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Nucleoside</w:t>
            </w:r>
          </w:p>
        </w:tc>
        <w:tc>
          <w:tcPr>
            <w:tcW w:w="1870" w:type="dxa"/>
            <w:vAlign w:val="center"/>
          </w:tcPr>
          <w:p w14:paraId="12BE7D2B"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7.756</w:t>
            </w:r>
          </w:p>
        </w:tc>
        <w:tc>
          <w:tcPr>
            <w:tcW w:w="1870" w:type="dxa"/>
            <w:vAlign w:val="center"/>
          </w:tcPr>
          <w:p w14:paraId="30D48DA7"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268.10 → 136.05</w:t>
            </w:r>
          </w:p>
        </w:tc>
        <w:tc>
          <w:tcPr>
            <w:tcW w:w="1870" w:type="dxa"/>
            <w:vAlign w:val="center"/>
          </w:tcPr>
          <w:p w14:paraId="654AFE88"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4933A0A5" w14:textId="77777777" w:rsidTr="00EF6830">
        <w:tc>
          <w:tcPr>
            <w:tcW w:w="1870" w:type="dxa"/>
            <w:vAlign w:val="center"/>
          </w:tcPr>
          <w:p w14:paraId="4E99A54E"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Isoleucine</w:t>
            </w:r>
          </w:p>
        </w:tc>
        <w:tc>
          <w:tcPr>
            <w:tcW w:w="1870" w:type="dxa"/>
            <w:vAlign w:val="center"/>
          </w:tcPr>
          <w:p w14:paraId="77678224"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Branched-chain amino acid</w:t>
            </w:r>
          </w:p>
        </w:tc>
        <w:tc>
          <w:tcPr>
            <w:tcW w:w="1870" w:type="dxa"/>
            <w:vAlign w:val="center"/>
          </w:tcPr>
          <w:p w14:paraId="58F892FE"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7.769</w:t>
            </w:r>
          </w:p>
        </w:tc>
        <w:tc>
          <w:tcPr>
            <w:tcW w:w="1870" w:type="dxa"/>
            <w:vAlign w:val="center"/>
          </w:tcPr>
          <w:p w14:paraId="532BF41D"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132.10 → 86.20</w:t>
            </w:r>
          </w:p>
        </w:tc>
        <w:tc>
          <w:tcPr>
            <w:tcW w:w="1870" w:type="dxa"/>
            <w:vAlign w:val="center"/>
          </w:tcPr>
          <w:p w14:paraId="5840CE35"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357A4EB1" w14:textId="77777777" w:rsidTr="00EF6830">
        <w:tc>
          <w:tcPr>
            <w:tcW w:w="1870" w:type="dxa"/>
            <w:vAlign w:val="center"/>
          </w:tcPr>
          <w:p w14:paraId="5CA6A82A"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Guanosine</w:t>
            </w:r>
          </w:p>
        </w:tc>
        <w:tc>
          <w:tcPr>
            <w:tcW w:w="1870" w:type="dxa"/>
            <w:vAlign w:val="center"/>
          </w:tcPr>
          <w:p w14:paraId="008E4561"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Nucleoside</w:t>
            </w:r>
          </w:p>
        </w:tc>
        <w:tc>
          <w:tcPr>
            <w:tcW w:w="1870" w:type="dxa"/>
            <w:vAlign w:val="center"/>
          </w:tcPr>
          <w:p w14:paraId="6D083FDA"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7.798</w:t>
            </w:r>
          </w:p>
        </w:tc>
        <w:tc>
          <w:tcPr>
            <w:tcW w:w="1870" w:type="dxa"/>
            <w:vAlign w:val="center"/>
          </w:tcPr>
          <w:p w14:paraId="70866F13"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284.00 → 152.00</w:t>
            </w:r>
          </w:p>
        </w:tc>
        <w:tc>
          <w:tcPr>
            <w:tcW w:w="1870" w:type="dxa"/>
            <w:vAlign w:val="center"/>
          </w:tcPr>
          <w:p w14:paraId="70603265" w14:textId="77777777" w:rsidR="00D132F4"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048FE13A" w14:textId="77777777" w:rsidTr="00EF6830">
        <w:tc>
          <w:tcPr>
            <w:tcW w:w="1870" w:type="dxa"/>
            <w:vAlign w:val="center"/>
          </w:tcPr>
          <w:p w14:paraId="3029BBD6"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Leucine</w:t>
            </w:r>
          </w:p>
        </w:tc>
        <w:tc>
          <w:tcPr>
            <w:tcW w:w="1870" w:type="dxa"/>
            <w:vAlign w:val="center"/>
          </w:tcPr>
          <w:p w14:paraId="4C17CAEC"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Branched-chain amino acid</w:t>
            </w:r>
          </w:p>
        </w:tc>
        <w:tc>
          <w:tcPr>
            <w:tcW w:w="1870" w:type="dxa"/>
            <w:vAlign w:val="center"/>
          </w:tcPr>
          <w:p w14:paraId="47D092D4"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8.062</w:t>
            </w:r>
          </w:p>
        </w:tc>
        <w:tc>
          <w:tcPr>
            <w:tcW w:w="1870" w:type="dxa"/>
            <w:vAlign w:val="center"/>
          </w:tcPr>
          <w:p w14:paraId="279DB9B7"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132.10 → 86.05</w:t>
            </w:r>
          </w:p>
        </w:tc>
        <w:tc>
          <w:tcPr>
            <w:tcW w:w="1870" w:type="dxa"/>
            <w:vAlign w:val="center"/>
          </w:tcPr>
          <w:p w14:paraId="68EA6E21"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0173B6AC" w14:textId="77777777" w:rsidTr="00EF6830">
        <w:tc>
          <w:tcPr>
            <w:tcW w:w="1870" w:type="dxa"/>
            <w:vAlign w:val="center"/>
          </w:tcPr>
          <w:p w14:paraId="1EC01D81"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Carnitine</w:t>
            </w:r>
          </w:p>
        </w:tc>
        <w:tc>
          <w:tcPr>
            <w:tcW w:w="1870" w:type="dxa"/>
            <w:vAlign w:val="center"/>
          </w:tcPr>
          <w:p w14:paraId="4B389084"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Carnitine derivative</w:t>
            </w:r>
          </w:p>
        </w:tc>
        <w:tc>
          <w:tcPr>
            <w:tcW w:w="1870" w:type="dxa"/>
            <w:vAlign w:val="center"/>
          </w:tcPr>
          <w:p w14:paraId="540CE9B3"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6.916</w:t>
            </w:r>
          </w:p>
        </w:tc>
        <w:tc>
          <w:tcPr>
            <w:tcW w:w="1870" w:type="dxa"/>
            <w:vAlign w:val="center"/>
          </w:tcPr>
          <w:p w14:paraId="0E6E5863"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162.10 → 103.05</w:t>
            </w:r>
          </w:p>
        </w:tc>
        <w:tc>
          <w:tcPr>
            <w:tcW w:w="1870" w:type="dxa"/>
            <w:vAlign w:val="center"/>
          </w:tcPr>
          <w:p w14:paraId="3A419812"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r w:rsidR="00D132F4" w14:paraId="2EDB987A" w14:textId="77777777" w:rsidTr="00EF6830">
        <w:tc>
          <w:tcPr>
            <w:tcW w:w="1870" w:type="dxa"/>
            <w:vAlign w:val="center"/>
          </w:tcPr>
          <w:p w14:paraId="4F338693"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proofErr w:type="spellStart"/>
            <w:r w:rsidRPr="00E6037C">
              <w:rPr>
                <w:rFonts w:ascii="Times New Roman" w:eastAsia="Times New Roman" w:hAnsi="Times New Roman" w:cs="Times New Roman"/>
                <w:sz w:val="20"/>
                <w:szCs w:val="20"/>
              </w:rPr>
              <w:t>Acetylcarnitine</w:t>
            </w:r>
            <w:proofErr w:type="spellEnd"/>
          </w:p>
        </w:tc>
        <w:tc>
          <w:tcPr>
            <w:tcW w:w="1870" w:type="dxa"/>
            <w:vAlign w:val="center"/>
          </w:tcPr>
          <w:p w14:paraId="06BEA80C"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Carnitine derivative</w:t>
            </w:r>
          </w:p>
        </w:tc>
        <w:tc>
          <w:tcPr>
            <w:tcW w:w="1870" w:type="dxa"/>
            <w:vAlign w:val="center"/>
          </w:tcPr>
          <w:p w14:paraId="5B418FDA"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9.724</w:t>
            </w:r>
          </w:p>
        </w:tc>
        <w:tc>
          <w:tcPr>
            <w:tcW w:w="1870" w:type="dxa"/>
            <w:vAlign w:val="center"/>
          </w:tcPr>
          <w:p w14:paraId="7D388093"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204.10 → 85.05</w:t>
            </w:r>
          </w:p>
        </w:tc>
        <w:tc>
          <w:tcPr>
            <w:tcW w:w="1870" w:type="dxa"/>
            <w:vAlign w:val="center"/>
          </w:tcPr>
          <w:p w14:paraId="7BA97432" w14:textId="77777777" w:rsidR="00D132F4" w:rsidRPr="00E6037C" w:rsidRDefault="00D132F4" w:rsidP="00EF6830">
            <w:pPr>
              <w:spacing w:before="100" w:beforeAutospacing="1" w:after="100" w:afterAutospacing="1"/>
              <w:jc w:val="both"/>
              <w:rPr>
                <w:rFonts w:ascii="Times New Roman" w:eastAsia="Times New Roman" w:hAnsi="Times New Roman" w:cs="Times New Roman"/>
                <w:sz w:val="20"/>
                <w:szCs w:val="20"/>
              </w:rPr>
            </w:pPr>
            <w:r w:rsidRPr="00E6037C">
              <w:rPr>
                <w:rFonts w:ascii="Times New Roman" w:eastAsia="Times New Roman" w:hAnsi="Times New Roman" w:cs="Times New Roman"/>
                <w:sz w:val="20"/>
                <w:szCs w:val="20"/>
              </w:rPr>
              <w:t>1</w:t>
            </w:r>
          </w:p>
        </w:tc>
      </w:tr>
    </w:tbl>
    <w:p w14:paraId="397552F8" w14:textId="77777777" w:rsidR="00D132F4" w:rsidRPr="00A4327B" w:rsidRDefault="00D132F4" w:rsidP="00D132F4">
      <w:pPr>
        <w:pStyle w:val="NormalWeb"/>
        <w:rPr>
          <w:sz w:val="20"/>
          <w:szCs w:val="20"/>
        </w:rPr>
      </w:pPr>
      <w:r w:rsidRPr="0073178F">
        <w:rPr>
          <w:sz w:val="20"/>
          <w:szCs w:val="20"/>
        </w:rPr>
        <w:t>*Assuming these compounds were quantified using authentic standards within the targeted Shimadzu LCMS-8040 MRM method. If authentic standards were not used, the MSI level should be revised accordingly.</w:t>
      </w:r>
    </w:p>
    <w:p w14:paraId="64FCB4FB" w14:textId="77777777" w:rsidR="00D132F4" w:rsidRPr="0073178F" w:rsidRDefault="00D132F4" w:rsidP="00D132F4">
      <w:pPr>
        <w:pStyle w:val="NormalWeb"/>
        <w:rPr>
          <w:sz w:val="20"/>
          <w:szCs w:val="20"/>
        </w:rPr>
      </w:pPr>
      <w:r w:rsidRPr="0073178F">
        <w:rPr>
          <w:sz w:val="20"/>
          <w:szCs w:val="20"/>
        </w:rPr>
        <w:t>Retention times and MRM transitions were obtained from targeted LC–MS analysis performed on a Shimadzu LCMS-8040 triple quadrupole mass spectrometer operating in multiple reaction monitoring (MRM) mode. MRM transitions are reported as precursor ion (Q1) → product ion (Q3). Retention times correspond to chromatographic conditions described in Section 2.2.</w:t>
      </w:r>
    </w:p>
    <w:p w14:paraId="1C27BBA0" w14:textId="470820E4" w:rsidR="00AD7E1E" w:rsidRPr="0026438F" w:rsidRDefault="00AD7E1E" w:rsidP="00AD7E1E">
      <w:pPr>
        <w:rPr>
          <w:rFonts w:ascii="Times New Roman" w:hAnsi="Times New Roman" w:cs="Times New Roman"/>
          <w:sz w:val="20"/>
          <w:szCs w:val="20"/>
        </w:rPr>
      </w:pPr>
      <w:r w:rsidRPr="0026438F">
        <w:rPr>
          <w:rFonts w:ascii="Times New Roman" w:hAnsi="Times New Roman" w:cs="Times New Roman"/>
          <w:sz w:val="20"/>
          <w:szCs w:val="20"/>
        </w:rPr>
        <w:t>Table S</w:t>
      </w:r>
      <w:r w:rsidR="00D132F4">
        <w:rPr>
          <w:rFonts w:ascii="Times New Roman" w:hAnsi="Times New Roman" w:cs="Times New Roman"/>
          <w:sz w:val="20"/>
          <w:szCs w:val="20"/>
        </w:rPr>
        <w:t>2</w:t>
      </w:r>
      <w:r w:rsidRPr="0026438F">
        <w:rPr>
          <w:rFonts w:ascii="Times New Roman" w:hAnsi="Times New Roman" w:cs="Times New Roman"/>
          <w:sz w:val="20"/>
          <w:szCs w:val="20"/>
        </w:rPr>
        <w:t>. Differential abundance of primary metabolites between remediated and contaminated soils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4"/>
        <w:gridCol w:w="2592"/>
        <w:gridCol w:w="2142"/>
        <w:gridCol w:w="2142"/>
      </w:tblGrid>
      <w:tr w:rsidR="00AD7E1E" w:rsidRPr="0026438F" w14:paraId="1C885481" w14:textId="77777777" w:rsidTr="001353A6">
        <w:tc>
          <w:tcPr>
            <w:tcW w:w="2474" w:type="dxa"/>
            <w:tcBorders>
              <w:top w:val="single" w:sz="4" w:space="0" w:color="auto"/>
              <w:bottom w:val="single" w:sz="4" w:space="0" w:color="auto"/>
            </w:tcBorders>
          </w:tcPr>
          <w:p w14:paraId="3B55B494"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Metabolite</w:t>
            </w:r>
          </w:p>
        </w:tc>
        <w:tc>
          <w:tcPr>
            <w:tcW w:w="2592" w:type="dxa"/>
            <w:tcBorders>
              <w:top w:val="single" w:sz="4" w:space="0" w:color="auto"/>
              <w:bottom w:val="single" w:sz="4" w:space="0" w:color="auto"/>
            </w:tcBorders>
          </w:tcPr>
          <w:p w14:paraId="61FD683B"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Fold Change (Remediated / Contaminated)</w:t>
            </w:r>
          </w:p>
        </w:tc>
        <w:tc>
          <w:tcPr>
            <w:tcW w:w="2142" w:type="dxa"/>
            <w:tcBorders>
              <w:top w:val="single" w:sz="4" w:space="0" w:color="auto"/>
              <w:bottom w:val="single" w:sz="4" w:space="0" w:color="auto"/>
            </w:tcBorders>
          </w:tcPr>
          <w:p w14:paraId="519490CD"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Adjusted p-value</w:t>
            </w:r>
          </w:p>
        </w:tc>
        <w:tc>
          <w:tcPr>
            <w:tcW w:w="2142" w:type="dxa"/>
            <w:tcBorders>
              <w:top w:val="single" w:sz="4" w:space="0" w:color="auto"/>
              <w:bottom w:val="single" w:sz="4" w:space="0" w:color="auto"/>
            </w:tcBorders>
          </w:tcPr>
          <w:p w14:paraId="4B83DB7E"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Direction of Change</w:t>
            </w:r>
          </w:p>
        </w:tc>
      </w:tr>
      <w:tr w:rsidR="00AD7E1E" w:rsidRPr="0026438F" w14:paraId="46C4D414" w14:textId="77777777" w:rsidTr="001353A6">
        <w:tc>
          <w:tcPr>
            <w:tcW w:w="2474" w:type="dxa"/>
            <w:tcBorders>
              <w:top w:val="single" w:sz="4" w:space="0" w:color="auto"/>
            </w:tcBorders>
            <w:vAlign w:val="bottom"/>
          </w:tcPr>
          <w:p w14:paraId="351EA9A3"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Leucine</w:t>
            </w:r>
          </w:p>
        </w:tc>
        <w:tc>
          <w:tcPr>
            <w:tcW w:w="2592" w:type="dxa"/>
            <w:tcBorders>
              <w:top w:val="single" w:sz="4" w:space="0" w:color="auto"/>
            </w:tcBorders>
            <w:vAlign w:val="bottom"/>
          </w:tcPr>
          <w:p w14:paraId="745EA4B5"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1.8</w:t>
            </w:r>
          </w:p>
        </w:tc>
        <w:tc>
          <w:tcPr>
            <w:tcW w:w="2142" w:type="dxa"/>
            <w:tcBorders>
              <w:top w:val="single" w:sz="4" w:space="0" w:color="auto"/>
            </w:tcBorders>
            <w:vAlign w:val="bottom"/>
          </w:tcPr>
          <w:p w14:paraId="6DE1B36E"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0.002</w:t>
            </w:r>
          </w:p>
        </w:tc>
        <w:tc>
          <w:tcPr>
            <w:tcW w:w="2142" w:type="dxa"/>
            <w:tcBorders>
              <w:top w:val="single" w:sz="4" w:space="0" w:color="auto"/>
            </w:tcBorders>
            <w:vAlign w:val="bottom"/>
          </w:tcPr>
          <w:p w14:paraId="06AD7096"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767513F2" w14:textId="77777777" w:rsidTr="001353A6">
        <w:tc>
          <w:tcPr>
            <w:tcW w:w="2474" w:type="dxa"/>
            <w:vAlign w:val="bottom"/>
          </w:tcPr>
          <w:p w14:paraId="0808D5D7"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Isoleucine</w:t>
            </w:r>
          </w:p>
        </w:tc>
        <w:tc>
          <w:tcPr>
            <w:tcW w:w="2592" w:type="dxa"/>
            <w:vAlign w:val="bottom"/>
          </w:tcPr>
          <w:p w14:paraId="56005306"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1.7</w:t>
            </w:r>
          </w:p>
        </w:tc>
        <w:tc>
          <w:tcPr>
            <w:tcW w:w="2142" w:type="dxa"/>
            <w:vAlign w:val="bottom"/>
          </w:tcPr>
          <w:p w14:paraId="657DF6AD"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0.003</w:t>
            </w:r>
          </w:p>
        </w:tc>
        <w:tc>
          <w:tcPr>
            <w:tcW w:w="2142" w:type="dxa"/>
            <w:vAlign w:val="bottom"/>
          </w:tcPr>
          <w:p w14:paraId="2C6D4176"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222728F3" w14:textId="77777777" w:rsidTr="001353A6">
        <w:tc>
          <w:tcPr>
            <w:tcW w:w="2474" w:type="dxa"/>
            <w:vAlign w:val="bottom"/>
          </w:tcPr>
          <w:p w14:paraId="048B2114"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Glutamic acid</w:t>
            </w:r>
          </w:p>
        </w:tc>
        <w:tc>
          <w:tcPr>
            <w:tcW w:w="2592" w:type="dxa"/>
            <w:vAlign w:val="bottom"/>
          </w:tcPr>
          <w:p w14:paraId="6880C0F9"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2.1</w:t>
            </w:r>
          </w:p>
        </w:tc>
        <w:tc>
          <w:tcPr>
            <w:tcW w:w="2142" w:type="dxa"/>
            <w:vAlign w:val="bottom"/>
          </w:tcPr>
          <w:p w14:paraId="2E77FFF4"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0.001</w:t>
            </w:r>
          </w:p>
        </w:tc>
        <w:tc>
          <w:tcPr>
            <w:tcW w:w="2142" w:type="dxa"/>
            <w:vAlign w:val="bottom"/>
          </w:tcPr>
          <w:p w14:paraId="4CA2F1E8"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39C6106B" w14:textId="77777777" w:rsidTr="001353A6">
        <w:tc>
          <w:tcPr>
            <w:tcW w:w="2474" w:type="dxa"/>
            <w:vAlign w:val="bottom"/>
          </w:tcPr>
          <w:p w14:paraId="535AB9AF"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Alanine</w:t>
            </w:r>
          </w:p>
        </w:tc>
        <w:tc>
          <w:tcPr>
            <w:tcW w:w="2592" w:type="dxa"/>
            <w:vAlign w:val="bottom"/>
          </w:tcPr>
          <w:p w14:paraId="5A924C62"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1.5</w:t>
            </w:r>
          </w:p>
        </w:tc>
        <w:tc>
          <w:tcPr>
            <w:tcW w:w="2142" w:type="dxa"/>
            <w:vAlign w:val="bottom"/>
          </w:tcPr>
          <w:p w14:paraId="39893553"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0.01</w:t>
            </w:r>
          </w:p>
        </w:tc>
        <w:tc>
          <w:tcPr>
            <w:tcW w:w="2142" w:type="dxa"/>
            <w:vAlign w:val="bottom"/>
          </w:tcPr>
          <w:p w14:paraId="5FCF964E"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4D7FBC6A" w14:textId="77777777" w:rsidTr="001353A6">
        <w:tc>
          <w:tcPr>
            <w:tcW w:w="2474" w:type="dxa"/>
            <w:vAlign w:val="bottom"/>
          </w:tcPr>
          <w:p w14:paraId="7E70A9CA"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Serine</w:t>
            </w:r>
          </w:p>
        </w:tc>
        <w:tc>
          <w:tcPr>
            <w:tcW w:w="2592" w:type="dxa"/>
            <w:vAlign w:val="bottom"/>
          </w:tcPr>
          <w:p w14:paraId="432EB12E"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1.4</w:t>
            </w:r>
          </w:p>
        </w:tc>
        <w:tc>
          <w:tcPr>
            <w:tcW w:w="2142" w:type="dxa"/>
            <w:vAlign w:val="bottom"/>
          </w:tcPr>
          <w:p w14:paraId="715002DB"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0.02</w:t>
            </w:r>
          </w:p>
        </w:tc>
        <w:tc>
          <w:tcPr>
            <w:tcW w:w="2142" w:type="dxa"/>
            <w:vAlign w:val="bottom"/>
          </w:tcPr>
          <w:p w14:paraId="258A80E6"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4243CDC8" w14:textId="77777777" w:rsidTr="001353A6">
        <w:tc>
          <w:tcPr>
            <w:tcW w:w="2474" w:type="dxa"/>
            <w:vAlign w:val="bottom"/>
          </w:tcPr>
          <w:p w14:paraId="386C0593"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Adenosine</w:t>
            </w:r>
          </w:p>
        </w:tc>
        <w:tc>
          <w:tcPr>
            <w:tcW w:w="2592" w:type="dxa"/>
            <w:vAlign w:val="bottom"/>
          </w:tcPr>
          <w:p w14:paraId="231EB4CB"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1.9</w:t>
            </w:r>
          </w:p>
        </w:tc>
        <w:tc>
          <w:tcPr>
            <w:tcW w:w="2142" w:type="dxa"/>
            <w:vAlign w:val="bottom"/>
          </w:tcPr>
          <w:p w14:paraId="6C0A81CC"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0.004</w:t>
            </w:r>
          </w:p>
        </w:tc>
        <w:tc>
          <w:tcPr>
            <w:tcW w:w="2142" w:type="dxa"/>
            <w:vAlign w:val="bottom"/>
          </w:tcPr>
          <w:p w14:paraId="6A2255D5"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6907F572" w14:textId="77777777" w:rsidTr="001353A6">
        <w:tc>
          <w:tcPr>
            <w:tcW w:w="2474" w:type="dxa"/>
            <w:vAlign w:val="bottom"/>
          </w:tcPr>
          <w:p w14:paraId="3E3A3FBB"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Guanosine</w:t>
            </w:r>
          </w:p>
        </w:tc>
        <w:tc>
          <w:tcPr>
            <w:tcW w:w="2592" w:type="dxa"/>
            <w:vAlign w:val="bottom"/>
          </w:tcPr>
          <w:p w14:paraId="5BABCD1D"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1.6</w:t>
            </w:r>
          </w:p>
        </w:tc>
        <w:tc>
          <w:tcPr>
            <w:tcW w:w="2142" w:type="dxa"/>
            <w:vAlign w:val="bottom"/>
          </w:tcPr>
          <w:p w14:paraId="68E8A5C1"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0.005</w:t>
            </w:r>
          </w:p>
        </w:tc>
        <w:tc>
          <w:tcPr>
            <w:tcW w:w="2142" w:type="dxa"/>
            <w:vAlign w:val="bottom"/>
          </w:tcPr>
          <w:p w14:paraId="402BBD3F" w14:textId="77777777" w:rsidR="00AD7E1E" w:rsidRPr="0026438F" w:rsidRDefault="00AD7E1E" w:rsidP="00AA169F">
            <w:pPr>
              <w:rPr>
                <w:rFonts w:ascii="Times New Roman" w:hAnsi="Times New Roman" w:cs="Times New Roman"/>
                <w:sz w:val="20"/>
                <w:szCs w:val="20"/>
              </w:rPr>
            </w:pPr>
            <w:r w:rsidRPr="00605610">
              <w:rPr>
                <w:rFonts w:ascii="Times New Roman" w:eastAsia="Times New Roman" w:hAnsi="Times New Roman" w:cs="Times New Roman"/>
                <w:color w:val="000000"/>
                <w:sz w:val="20"/>
                <w:szCs w:val="20"/>
              </w:rPr>
              <w:t>Up</w:t>
            </w:r>
          </w:p>
        </w:tc>
      </w:tr>
      <w:tr w:rsidR="00AD7E1E" w:rsidRPr="0026438F" w14:paraId="54513332" w14:textId="77777777" w:rsidTr="001353A6">
        <w:tc>
          <w:tcPr>
            <w:tcW w:w="2474" w:type="dxa"/>
            <w:vAlign w:val="bottom"/>
          </w:tcPr>
          <w:p w14:paraId="71601544"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Cytidine</w:t>
            </w:r>
          </w:p>
        </w:tc>
        <w:tc>
          <w:tcPr>
            <w:tcW w:w="2592" w:type="dxa"/>
            <w:vAlign w:val="bottom"/>
          </w:tcPr>
          <w:p w14:paraId="0E1CBF67"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1.7</w:t>
            </w:r>
          </w:p>
        </w:tc>
        <w:tc>
          <w:tcPr>
            <w:tcW w:w="2142" w:type="dxa"/>
            <w:vAlign w:val="bottom"/>
          </w:tcPr>
          <w:p w14:paraId="7FE782E5"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0.006</w:t>
            </w:r>
          </w:p>
        </w:tc>
        <w:tc>
          <w:tcPr>
            <w:tcW w:w="2142" w:type="dxa"/>
            <w:vAlign w:val="bottom"/>
          </w:tcPr>
          <w:p w14:paraId="6F957909"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Up</w:t>
            </w:r>
          </w:p>
        </w:tc>
      </w:tr>
      <w:tr w:rsidR="00AD7E1E" w:rsidRPr="0026438F" w14:paraId="46BA2C73" w14:textId="77777777" w:rsidTr="001353A6">
        <w:tc>
          <w:tcPr>
            <w:tcW w:w="2474" w:type="dxa"/>
            <w:vAlign w:val="bottom"/>
          </w:tcPr>
          <w:p w14:paraId="4A25F8C7"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4-Hydroxyproline</w:t>
            </w:r>
          </w:p>
        </w:tc>
        <w:tc>
          <w:tcPr>
            <w:tcW w:w="2592" w:type="dxa"/>
            <w:vAlign w:val="bottom"/>
          </w:tcPr>
          <w:p w14:paraId="2DC5CE8C"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2</w:t>
            </w:r>
          </w:p>
        </w:tc>
        <w:tc>
          <w:tcPr>
            <w:tcW w:w="2142" w:type="dxa"/>
            <w:vAlign w:val="bottom"/>
          </w:tcPr>
          <w:p w14:paraId="1891AC0D"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0.002</w:t>
            </w:r>
          </w:p>
        </w:tc>
        <w:tc>
          <w:tcPr>
            <w:tcW w:w="2142" w:type="dxa"/>
            <w:vAlign w:val="bottom"/>
          </w:tcPr>
          <w:p w14:paraId="27822460"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Up</w:t>
            </w:r>
          </w:p>
        </w:tc>
      </w:tr>
      <w:tr w:rsidR="00AD7E1E" w:rsidRPr="0026438F" w14:paraId="0B70FD99" w14:textId="77777777" w:rsidTr="001353A6">
        <w:tc>
          <w:tcPr>
            <w:tcW w:w="2474" w:type="dxa"/>
            <w:vAlign w:val="bottom"/>
          </w:tcPr>
          <w:p w14:paraId="6F480CBE"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Creatine</w:t>
            </w:r>
          </w:p>
        </w:tc>
        <w:tc>
          <w:tcPr>
            <w:tcW w:w="2592" w:type="dxa"/>
            <w:vAlign w:val="bottom"/>
          </w:tcPr>
          <w:p w14:paraId="3A1DD47A"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1.3</w:t>
            </w:r>
          </w:p>
        </w:tc>
        <w:tc>
          <w:tcPr>
            <w:tcW w:w="2142" w:type="dxa"/>
            <w:vAlign w:val="bottom"/>
          </w:tcPr>
          <w:p w14:paraId="256D251D"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0.03</w:t>
            </w:r>
          </w:p>
        </w:tc>
        <w:tc>
          <w:tcPr>
            <w:tcW w:w="2142" w:type="dxa"/>
            <w:vAlign w:val="bottom"/>
          </w:tcPr>
          <w:p w14:paraId="67358660" w14:textId="77777777" w:rsidR="00AD7E1E" w:rsidRPr="0026438F" w:rsidRDefault="00AD7E1E" w:rsidP="00AA169F">
            <w:pPr>
              <w:rPr>
                <w:rFonts w:ascii="Times New Roman" w:eastAsia="Times New Roman" w:hAnsi="Times New Roman" w:cs="Times New Roman"/>
                <w:color w:val="000000"/>
                <w:sz w:val="20"/>
                <w:szCs w:val="20"/>
              </w:rPr>
            </w:pPr>
            <w:r w:rsidRPr="00605610">
              <w:rPr>
                <w:rFonts w:ascii="Times New Roman" w:eastAsia="Times New Roman" w:hAnsi="Times New Roman" w:cs="Times New Roman"/>
                <w:color w:val="000000"/>
                <w:sz w:val="20"/>
                <w:szCs w:val="20"/>
              </w:rPr>
              <w:t>Down</w:t>
            </w:r>
          </w:p>
        </w:tc>
      </w:tr>
    </w:tbl>
    <w:p w14:paraId="0EB4BC46" w14:textId="77777777" w:rsidR="00AD7E1E" w:rsidRPr="0026438F" w:rsidRDefault="00AD7E1E" w:rsidP="00AD7E1E">
      <w:pPr>
        <w:jc w:val="both"/>
        <w:rPr>
          <w:rFonts w:ascii="Times New Roman" w:hAnsi="Times New Roman" w:cs="Times New Roman"/>
          <w:sz w:val="20"/>
          <w:szCs w:val="20"/>
        </w:rPr>
      </w:pPr>
    </w:p>
    <w:p w14:paraId="08BD9F91" w14:textId="2B0DF044" w:rsidR="00AD7E1E" w:rsidRPr="0026438F" w:rsidRDefault="00AD7E1E" w:rsidP="00AD7E1E">
      <w:pPr>
        <w:jc w:val="both"/>
        <w:rPr>
          <w:rFonts w:ascii="Times New Roman" w:hAnsi="Times New Roman" w:cs="Times New Roman"/>
          <w:sz w:val="20"/>
          <w:szCs w:val="20"/>
        </w:rPr>
      </w:pPr>
      <w:r w:rsidRPr="0026438F">
        <w:rPr>
          <w:rFonts w:ascii="Times New Roman" w:hAnsi="Times New Roman" w:cs="Times New Roman"/>
          <w:sz w:val="20"/>
          <w:szCs w:val="20"/>
        </w:rPr>
        <w:t>Differential-abundance analysis of key primary metabolites across soil treatments revealed treatment-dependent metabolic reprogramming consistent with remediation effects. Metabolites such as leucine, isoleucine, glutamic acid, alanine, serine, and nucleotides including adenosine, guanosine, and cytidine exhibited fold changes ranging from 1.4 to 2.1 (Remediated / Contaminated) and were consistently elevated in remediated soils (adjusted p &lt; 0.05), indicating enhanced amino acid and nucleotide metabolism associated with recovery. Conversely, metabolites such as creatine displayed reduced abundance (fold change 0.77, adjusted p = 0.03), reflecting stress-associated accumulation in contaminated soils. The directionality of change and statistical significance across these metabolites supports their utility as candidate markers for monitoring soil biochemical recovery. These findings quantitatively corroborate the PCA and hierarchical clustering results, demonstrating coordinated metabolic shifts in primary metabolite pools during remediation and validating the integrative LC–MS and ¹H NMR metabolomic approach</w:t>
      </w:r>
    </w:p>
    <w:p w14:paraId="54619B3F" w14:textId="77777777" w:rsidR="004873AB" w:rsidRDefault="004873AB" w:rsidP="00AD7E1E">
      <w:pPr>
        <w:jc w:val="both"/>
        <w:rPr>
          <w:rFonts w:ascii="Times New Roman" w:hAnsi="Times New Roman" w:cs="Times New Roman"/>
          <w:sz w:val="20"/>
          <w:szCs w:val="20"/>
        </w:rPr>
        <w:sectPr w:rsidR="004873AB">
          <w:pgSz w:w="12240" w:h="15840"/>
          <w:pgMar w:top="1440" w:right="1440" w:bottom="1440" w:left="1440" w:header="720" w:footer="720" w:gutter="0"/>
          <w:cols w:space="720"/>
          <w:docGrid w:linePitch="360"/>
        </w:sectPr>
      </w:pPr>
    </w:p>
    <w:p w14:paraId="50C71C1F" w14:textId="756F92DA" w:rsidR="001353A6" w:rsidRPr="0026438F" w:rsidRDefault="001353A6" w:rsidP="00AD7E1E">
      <w:pPr>
        <w:jc w:val="both"/>
        <w:rPr>
          <w:rFonts w:ascii="Times New Roman" w:hAnsi="Times New Roman" w:cs="Times New Roman"/>
          <w:sz w:val="20"/>
          <w:szCs w:val="20"/>
        </w:rPr>
      </w:pPr>
    </w:p>
    <w:p w14:paraId="5AEBADFD" w14:textId="77777777" w:rsidR="001353A6" w:rsidRPr="0026438F" w:rsidRDefault="001353A6" w:rsidP="001353A6">
      <w:pPr>
        <w:spacing w:before="100" w:beforeAutospacing="1" w:after="100" w:afterAutospacing="1" w:line="240" w:lineRule="auto"/>
        <w:jc w:val="both"/>
        <w:rPr>
          <w:rFonts w:ascii="Times New Roman" w:eastAsia="Times New Roman" w:hAnsi="Times New Roman" w:cs="Times New Roman"/>
          <w:b/>
          <w:sz w:val="20"/>
          <w:szCs w:val="20"/>
        </w:rPr>
      </w:pPr>
    </w:p>
    <w:p w14:paraId="1E7EB57A" w14:textId="77777777" w:rsidR="001353A6" w:rsidRPr="0026438F" w:rsidRDefault="001353A6" w:rsidP="001353A6">
      <w:pPr>
        <w:spacing w:before="100" w:beforeAutospacing="1" w:after="100" w:afterAutospacing="1" w:line="240" w:lineRule="auto"/>
        <w:jc w:val="both"/>
        <w:rPr>
          <w:rFonts w:ascii="Times New Roman" w:eastAsia="Times New Roman" w:hAnsi="Times New Roman" w:cs="Times New Roman"/>
          <w:sz w:val="20"/>
          <w:szCs w:val="20"/>
        </w:rPr>
      </w:pPr>
      <w:r w:rsidRPr="0026438F">
        <w:rPr>
          <w:rFonts w:ascii="Times New Roman" w:eastAsia="Times New Roman" w:hAnsi="Times New Roman" w:cs="Times New Roman"/>
          <w:noProof/>
          <w:sz w:val="20"/>
          <w:szCs w:val="20"/>
        </w:rPr>
        <w:drawing>
          <wp:inline distT="0" distB="0" distL="0" distR="0" wp14:anchorId="1AFBDF8C" wp14:editId="5E9BE648">
            <wp:extent cx="7849590" cy="4322311"/>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92383" cy="4345875"/>
                    </a:xfrm>
                    <a:prstGeom prst="rect">
                      <a:avLst/>
                    </a:prstGeom>
                  </pic:spPr>
                </pic:pic>
              </a:graphicData>
            </a:graphic>
          </wp:inline>
        </w:drawing>
      </w:r>
    </w:p>
    <w:p w14:paraId="6CED044C" w14:textId="1853AD79" w:rsidR="001353A6" w:rsidRPr="0026438F" w:rsidRDefault="00234C3E" w:rsidP="001353A6">
      <w:pPr>
        <w:pStyle w:val="NormalWeb"/>
        <w:jc w:val="both"/>
        <w:rPr>
          <w:sz w:val="20"/>
          <w:szCs w:val="20"/>
        </w:rPr>
      </w:pPr>
      <w:r w:rsidRPr="00234C3E">
        <w:rPr>
          <w:rStyle w:val="Strong"/>
          <w:b w:val="0"/>
          <w:sz w:val="20"/>
          <w:szCs w:val="20"/>
        </w:rPr>
        <w:t xml:space="preserve">Fig. </w:t>
      </w:r>
      <w:r w:rsidR="001353A6" w:rsidRPr="00234C3E">
        <w:rPr>
          <w:rStyle w:val="Strong"/>
          <w:b w:val="0"/>
          <w:sz w:val="20"/>
          <w:szCs w:val="20"/>
        </w:rPr>
        <w:t>S1</w:t>
      </w:r>
      <w:r w:rsidR="001353A6" w:rsidRPr="0026438F">
        <w:rPr>
          <w:rStyle w:val="Strong"/>
          <w:sz w:val="20"/>
          <w:szCs w:val="20"/>
        </w:rPr>
        <w:t>.</w:t>
      </w:r>
      <w:r w:rsidR="001353A6" w:rsidRPr="0026438F">
        <w:rPr>
          <w:sz w:val="20"/>
          <w:szCs w:val="20"/>
        </w:rPr>
        <w:t xml:space="preserve"> Secondary-metabolite profiling of petroleum-polluted soils based on ^1H-NMR analysis. </w:t>
      </w:r>
      <w:r w:rsidR="001353A6" w:rsidRPr="0026438F">
        <w:rPr>
          <w:bCs/>
          <w:sz w:val="20"/>
          <w:szCs w:val="20"/>
        </w:rPr>
        <w:t>(a)</w:t>
      </w:r>
      <w:r w:rsidR="001353A6" w:rsidRPr="0026438F">
        <w:rPr>
          <w:sz w:val="20"/>
          <w:szCs w:val="20"/>
        </w:rPr>
        <w:t xml:space="preserve"> PCA loadings plot showing metabolites contributing to treatment differentiation. </w:t>
      </w:r>
      <w:r w:rsidR="001353A6" w:rsidRPr="0026438F">
        <w:rPr>
          <w:bCs/>
          <w:sz w:val="20"/>
          <w:szCs w:val="20"/>
        </w:rPr>
        <w:t>(b)</w:t>
      </w:r>
      <w:r w:rsidR="001353A6" w:rsidRPr="0026438F">
        <w:rPr>
          <w:sz w:val="20"/>
          <w:szCs w:val="20"/>
        </w:rPr>
        <w:t xml:space="preserve"> Abundance distributions of representative metabolites across contaminated, amended, remediated, and reference soils. </w:t>
      </w:r>
      <w:r w:rsidR="001353A6" w:rsidRPr="0026438F">
        <w:rPr>
          <w:bCs/>
          <w:sz w:val="20"/>
          <w:szCs w:val="20"/>
        </w:rPr>
        <w:t>(c)</w:t>
      </w:r>
      <w:r w:rsidR="001353A6" w:rsidRPr="0026438F">
        <w:rPr>
          <w:sz w:val="20"/>
          <w:szCs w:val="20"/>
        </w:rPr>
        <w:t xml:space="preserve"> Representative </w:t>
      </w:r>
      <w:r w:rsidR="001353A6" w:rsidRPr="0026438F">
        <w:rPr>
          <w:sz w:val="20"/>
          <w:szCs w:val="20"/>
          <w:vertAlign w:val="superscript"/>
        </w:rPr>
        <w:t>1</w:t>
      </w:r>
      <w:r w:rsidR="001353A6" w:rsidRPr="0026438F">
        <w:rPr>
          <w:sz w:val="20"/>
          <w:szCs w:val="20"/>
        </w:rPr>
        <w:t xml:space="preserve">H-NMR spectrum highlighting major chemical-shift regions and metabolite assignments. </w:t>
      </w:r>
      <w:r w:rsidR="001353A6" w:rsidRPr="0026438F">
        <w:rPr>
          <w:bCs/>
          <w:sz w:val="20"/>
          <w:szCs w:val="20"/>
        </w:rPr>
        <w:t>(d)</w:t>
      </w:r>
      <w:r w:rsidR="001353A6" w:rsidRPr="0026438F">
        <w:rPr>
          <w:sz w:val="20"/>
          <w:szCs w:val="20"/>
        </w:rPr>
        <w:t xml:space="preserve"> Annotation of selected secondary metabolites detected by </w:t>
      </w:r>
      <w:r w:rsidR="001353A6" w:rsidRPr="0026438F">
        <w:rPr>
          <w:sz w:val="20"/>
          <w:szCs w:val="20"/>
          <w:vertAlign w:val="superscript"/>
        </w:rPr>
        <w:t>1</w:t>
      </w:r>
      <w:r w:rsidR="001353A6" w:rsidRPr="0026438F">
        <w:rPr>
          <w:sz w:val="20"/>
          <w:szCs w:val="20"/>
        </w:rPr>
        <w:t xml:space="preserve">H-NMR. </w:t>
      </w:r>
      <w:r w:rsidR="001353A6" w:rsidRPr="0026438F">
        <w:rPr>
          <w:bCs/>
          <w:sz w:val="20"/>
          <w:szCs w:val="20"/>
        </w:rPr>
        <w:t>(e)</w:t>
      </w:r>
      <w:r w:rsidR="001353A6" w:rsidRPr="0026438F">
        <w:rPr>
          <w:sz w:val="20"/>
          <w:szCs w:val="20"/>
        </w:rPr>
        <w:t xml:space="preserve"> Summary of treatment-associated metabolic patterns, showing enrichment of amino acids, osmolytes, and lipid-related metabolites and depletion of tricarboxylic acid cycle intermediates, aromatic compounds, and phenolic metabolites along the remediation gradient</w:t>
      </w:r>
    </w:p>
    <w:p w14:paraId="3899ABDC" w14:textId="77777777" w:rsidR="004873AB" w:rsidRDefault="004873AB" w:rsidP="00D474B2">
      <w:pPr>
        <w:pStyle w:val="NormalWeb"/>
        <w:jc w:val="both"/>
        <w:rPr>
          <w:sz w:val="20"/>
          <w:szCs w:val="20"/>
        </w:rPr>
        <w:sectPr w:rsidR="004873AB" w:rsidSect="004873AB">
          <w:pgSz w:w="15840" w:h="12240" w:orient="landscape"/>
          <w:pgMar w:top="1440" w:right="1440" w:bottom="1440" w:left="1440" w:header="720" w:footer="720" w:gutter="0"/>
          <w:cols w:space="720"/>
          <w:docGrid w:linePitch="360"/>
        </w:sectPr>
      </w:pPr>
    </w:p>
    <w:p w14:paraId="2F3500A1" w14:textId="3F8DA903" w:rsidR="00D474B2" w:rsidRPr="0026438F" w:rsidRDefault="00D474B2" w:rsidP="00D474B2">
      <w:pPr>
        <w:pStyle w:val="NormalWeb"/>
        <w:jc w:val="both"/>
        <w:rPr>
          <w:sz w:val="20"/>
          <w:szCs w:val="20"/>
        </w:rPr>
      </w:pPr>
    </w:p>
    <w:p w14:paraId="1F65E6A0" w14:textId="77777777" w:rsidR="00D474B2" w:rsidRPr="0026438F" w:rsidRDefault="00D474B2" w:rsidP="00D474B2">
      <w:pPr>
        <w:pStyle w:val="NormalWeb"/>
        <w:jc w:val="both"/>
        <w:rPr>
          <w:sz w:val="20"/>
          <w:szCs w:val="20"/>
        </w:rPr>
      </w:pPr>
    </w:p>
    <w:p w14:paraId="234D3C34" w14:textId="77777777" w:rsidR="00D474B2" w:rsidRPr="0026438F" w:rsidRDefault="00D474B2" w:rsidP="00D474B2">
      <w:pPr>
        <w:spacing w:before="100" w:beforeAutospacing="1" w:after="100" w:afterAutospacing="1" w:line="240" w:lineRule="auto"/>
        <w:jc w:val="both"/>
        <w:rPr>
          <w:rFonts w:ascii="Times New Roman" w:eastAsia="Times New Roman" w:hAnsi="Times New Roman" w:cs="Times New Roman"/>
          <w:sz w:val="20"/>
          <w:szCs w:val="20"/>
        </w:rPr>
      </w:pPr>
      <w:r w:rsidRPr="0026438F">
        <w:rPr>
          <w:rFonts w:ascii="Times New Roman" w:eastAsia="Times New Roman" w:hAnsi="Times New Roman" w:cs="Times New Roman"/>
          <w:noProof/>
          <w:sz w:val="20"/>
          <w:szCs w:val="20"/>
        </w:rPr>
        <w:drawing>
          <wp:inline distT="0" distB="0" distL="0" distR="0" wp14:anchorId="3F1E57AB" wp14:editId="0A160E5F">
            <wp:extent cx="5943600" cy="396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962400"/>
                    </a:xfrm>
                    <a:prstGeom prst="rect">
                      <a:avLst/>
                    </a:prstGeom>
                  </pic:spPr>
                </pic:pic>
              </a:graphicData>
            </a:graphic>
          </wp:inline>
        </w:drawing>
      </w:r>
    </w:p>
    <w:p w14:paraId="650B5395" w14:textId="293FAA79" w:rsidR="00D474B2" w:rsidRPr="00BE133C" w:rsidRDefault="00234C3E" w:rsidP="00D474B2">
      <w:pPr>
        <w:spacing w:before="100" w:beforeAutospacing="1" w:after="100" w:afterAutospacing="1" w:line="240" w:lineRule="auto"/>
        <w:jc w:val="both"/>
        <w:rPr>
          <w:rFonts w:ascii="Times New Roman" w:eastAsia="Times New Roman" w:hAnsi="Times New Roman" w:cs="Times New Roman"/>
          <w:sz w:val="20"/>
          <w:szCs w:val="20"/>
        </w:rPr>
      </w:pPr>
      <w:r w:rsidRPr="00234C3E">
        <w:rPr>
          <w:rFonts w:ascii="Times New Roman" w:eastAsia="Times New Roman" w:hAnsi="Times New Roman" w:cs="Times New Roman"/>
          <w:bCs/>
          <w:sz w:val="20"/>
          <w:szCs w:val="20"/>
        </w:rPr>
        <w:t xml:space="preserve">Fig. </w:t>
      </w:r>
      <w:r w:rsidR="00D474B2" w:rsidRPr="00234C3E">
        <w:rPr>
          <w:rFonts w:ascii="Times New Roman" w:eastAsia="Times New Roman" w:hAnsi="Times New Roman" w:cs="Times New Roman"/>
          <w:bCs/>
          <w:sz w:val="20"/>
          <w:szCs w:val="20"/>
        </w:rPr>
        <w:t>S2</w:t>
      </w:r>
      <w:r w:rsidR="00D474B2" w:rsidRPr="00BE133C">
        <w:rPr>
          <w:rFonts w:ascii="Times New Roman" w:eastAsia="Times New Roman" w:hAnsi="Times New Roman" w:cs="Times New Roman"/>
          <w:b/>
          <w:bCs/>
          <w:sz w:val="20"/>
          <w:szCs w:val="20"/>
        </w:rPr>
        <w:t>.</w:t>
      </w:r>
      <w:r w:rsidR="00D474B2" w:rsidRPr="00BE133C">
        <w:rPr>
          <w:rFonts w:ascii="Times New Roman" w:eastAsia="Times New Roman" w:hAnsi="Times New Roman" w:cs="Times New Roman"/>
          <w:sz w:val="20"/>
          <w:szCs w:val="20"/>
        </w:rPr>
        <w:t xml:space="preserve"> Cross-platform integration of LC–MS and </w:t>
      </w:r>
      <w:r w:rsidR="00D474B2" w:rsidRPr="00BE133C">
        <w:rPr>
          <w:rFonts w:ascii="Times New Roman" w:eastAsia="Times New Roman" w:hAnsi="Times New Roman" w:cs="Times New Roman"/>
          <w:sz w:val="20"/>
          <w:szCs w:val="20"/>
          <w:vertAlign w:val="superscript"/>
        </w:rPr>
        <w:t>1</w:t>
      </w:r>
      <w:r w:rsidR="00D474B2" w:rsidRPr="00BE133C">
        <w:rPr>
          <w:rFonts w:ascii="Times New Roman" w:eastAsia="Times New Roman" w:hAnsi="Times New Roman" w:cs="Times New Roman"/>
          <w:sz w:val="20"/>
          <w:szCs w:val="20"/>
        </w:rPr>
        <w:t xml:space="preserve">H-NMR metabolomic datasets. (a) Correlation between matched metabolites detected by LC–MS and </w:t>
      </w:r>
      <w:r w:rsidR="00D474B2" w:rsidRPr="00BE133C">
        <w:rPr>
          <w:rFonts w:ascii="Times New Roman" w:eastAsia="Times New Roman" w:hAnsi="Times New Roman" w:cs="Times New Roman"/>
          <w:sz w:val="20"/>
          <w:szCs w:val="20"/>
          <w:vertAlign w:val="superscript"/>
        </w:rPr>
        <w:t>1</w:t>
      </w:r>
      <w:r w:rsidR="00D474B2" w:rsidRPr="00BE133C">
        <w:rPr>
          <w:rFonts w:ascii="Times New Roman" w:eastAsia="Times New Roman" w:hAnsi="Times New Roman" w:cs="Times New Roman"/>
          <w:sz w:val="20"/>
          <w:szCs w:val="20"/>
        </w:rPr>
        <w:t xml:space="preserve">H-NMR, demonstrating strong agreement between analytical platforms. (b) Venn diagram showing shared and unique metabolites detected by LC–MS and </w:t>
      </w:r>
      <w:r w:rsidR="00D474B2" w:rsidRPr="00BE133C">
        <w:rPr>
          <w:rFonts w:ascii="Times New Roman" w:eastAsia="Times New Roman" w:hAnsi="Times New Roman" w:cs="Times New Roman"/>
          <w:sz w:val="20"/>
          <w:szCs w:val="20"/>
          <w:vertAlign w:val="superscript"/>
        </w:rPr>
        <w:t>1</w:t>
      </w:r>
      <w:r w:rsidR="00D474B2" w:rsidRPr="00BE133C">
        <w:rPr>
          <w:rFonts w:ascii="Times New Roman" w:eastAsia="Times New Roman" w:hAnsi="Times New Roman" w:cs="Times New Roman"/>
          <w:sz w:val="20"/>
          <w:szCs w:val="20"/>
        </w:rPr>
        <w:t>H-NMR. (c) Integrated pathway enrichment and metabolic network analysis highlighting pathways enriched in remediated and contaminated soils and illustrating the connectivity among amino acid, nucleotide, osmolyte, energy, and stress-associated metabolic processes during hydrocarbon degradation and ecosystem recovery.</w:t>
      </w:r>
    </w:p>
    <w:p w14:paraId="5910390D" w14:textId="77777777" w:rsidR="00D17BC4" w:rsidRDefault="00D17BC4" w:rsidP="00D474B2">
      <w:pPr>
        <w:spacing w:before="100" w:beforeAutospacing="1" w:after="100" w:afterAutospacing="1" w:line="240" w:lineRule="auto"/>
        <w:rPr>
          <w:rFonts w:ascii="Times New Roman" w:eastAsia="Times New Roman" w:hAnsi="Times New Roman" w:cs="Times New Roman"/>
          <w:sz w:val="20"/>
          <w:szCs w:val="20"/>
        </w:rPr>
        <w:sectPr w:rsidR="00D17BC4" w:rsidSect="004873AB">
          <w:pgSz w:w="12240" w:h="15840"/>
          <w:pgMar w:top="1440" w:right="1440" w:bottom="1440" w:left="1440" w:header="720" w:footer="720" w:gutter="0"/>
          <w:cols w:space="720"/>
          <w:docGrid w:linePitch="360"/>
        </w:sectPr>
      </w:pPr>
    </w:p>
    <w:p w14:paraId="573579F3" w14:textId="398897D7" w:rsidR="00D17BC4" w:rsidRDefault="00D17BC4" w:rsidP="00D17BC4">
      <w:pPr>
        <w:tabs>
          <w:tab w:val="left" w:pos="3890"/>
        </w:tabs>
        <w:rPr>
          <w:rFonts w:ascii="Times New Roman" w:eastAsia="Times New Roman" w:hAnsi="Times New Roman" w:cs="Times New Roman"/>
          <w:sz w:val="20"/>
          <w:szCs w:val="20"/>
        </w:rPr>
      </w:pPr>
      <w:r w:rsidRPr="00916D56">
        <w:rPr>
          <w:rFonts w:ascii="Times New Roman" w:eastAsia="Times New Roman" w:hAnsi="Times New Roman" w:cs="Times New Roman"/>
          <w:noProof/>
          <w:sz w:val="20"/>
          <w:szCs w:val="20"/>
        </w:rPr>
        <w:lastRenderedPageBreak/>
        <w:drawing>
          <wp:anchor distT="0" distB="0" distL="114300" distR="114300" simplePos="0" relativeHeight="251659264" behindDoc="1" locked="0" layoutInCell="1" allowOverlap="1" wp14:anchorId="4835F736" wp14:editId="7612FD1F">
            <wp:simplePos x="0" y="0"/>
            <wp:positionH relativeFrom="column">
              <wp:posOffset>166255</wp:posOffset>
            </wp:positionH>
            <wp:positionV relativeFrom="paragraph">
              <wp:posOffset>-71252</wp:posOffset>
            </wp:positionV>
            <wp:extent cx="8073700" cy="4785756"/>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084645" cy="4792244"/>
                    </a:xfrm>
                    <a:prstGeom prst="rect">
                      <a:avLst/>
                    </a:prstGeom>
                  </pic:spPr>
                </pic:pic>
              </a:graphicData>
            </a:graphic>
            <wp14:sizeRelV relativeFrom="margin">
              <wp14:pctHeight>0</wp14:pctHeight>
            </wp14:sizeRelV>
          </wp:anchor>
        </w:drawing>
      </w:r>
    </w:p>
    <w:p w14:paraId="50DED5B9" w14:textId="77777777" w:rsidR="00D17BC4" w:rsidRDefault="00D17BC4" w:rsidP="00D17BC4">
      <w:pPr>
        <w:tabs>
          <w:tab w:val="left" w:pos="389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0875A27C" w14:textId="77777777" w:rsidR="00D17BC4" w:rsidRDefault="00D17BC4" w:rsidP="00D17BC4">
      <w:pPr>
        <w:tabs>
          <w:tab w:val="left" w:pos="3890"/>
        </w:tabs>
        <w:rPr>
          <w:rFonts w:ascii="Times New Roman" w:eastAsia="Times New Roman" w:hAnsi="Times New Roman" w:cs="Times New Roman"/>
          <w:sz w:val="20"/>
          <w:szCs w:val="20"/>
        </w:rPr>
      </w:pPr>
    </w:p>
    <w:p w14:paraId="76FE8B02" w14:textId="77777777" w:rsidR="00D17BC4" w:rsidRPr="00D17BC4" w:rsidRDefault="00D17BC4" w:rsidP="00D17BC4">
      <w:pPr>
        <w:rPr>
          <w:rFonts w:ascii="Times New Roman" w:eastAsia="Times New Roman" w:hAnsi="Times New Roman" w:cs="Times New Roman"/>
          <w:sz w:val="20"/>
          <w:szCs w:val="20"/>
        </w:rPr>
      </w:pPr>
    </w:p>
    <w:p w14:paraId="794B49D2" w14:textId="77777777" w:rsidR="00D17BC4" w:rsidRPr="00D17BC4" w:rsidRDefault="00D17BC4" w:rsidP="00D17BC4">
      <w:pPr>
        <w:rPr>
          <w:rFonts w:ascii="Times New Roman" w:eastAsia="Times New Roman" w:hAnsi="Times New Roman" w:cs="Times New Roman"/>
          <w:sz w:val="20"/>
          <w:szCs w:val="20"/>
        </w:rPr>
      </w:pPr>
    </w:p>
    <w:p w14:paraId="5B3B468D" w14:textId="77777777" w:rsidR="00D17BC4" w:rsidRPr="00D17BC4" w:rsidRDefault="00D17BC4" w:rsidP="00D17BC4">
      <w:pPr>
        <w:rPr>
          <w:rFonts w:ascii="Times New Roman" w:eastAsia="Times New Roman" w:hAnsi="Times New Roman" w:cs="Times New Roman"/>
          <w:sz w:val="20"/>
          <w:szCs w:val="20"/>
        </w:rPr>
      </w:pPr>
    </w:p>
    <w:p w14:paraId="2376533B" w14:textId="77777777" w:rsidR="00D17BC4" w:rsidRPr="00D17BC4" w:rsidRDefault="00D17BC4" w:rsidP="00D17BC4">
      <w:pPr>
        <w:rPr>
          <w:rFonts w:ascii="Times New Roman" w:eastAsia="Times New Roman" w:hAnsi="Times New Roman" w:cs="Times New Roman"/>
          <w:sz w:val="20"/>
          <w:szCs w:val="20"/>
        </w:rPr>
      </w:pPr>
    </w:p>
    <w:p w14:paraId="48D1B998" w14:textId="77777777" w:rsidR="00D17BC4" w:rsidRPr="00D17BC4" w:rsidRDefault="00D17BC4" w:rsidP="00D17BC4">
      <w:pPr>
        <w:rPr>
          <w:rFonts w:ascii="Times New Roman" w:eastAsia="Times New Roman" w:hAnsi="Times New Roman" w:cs="Times New Roman"/>
          <w:sz w:val="20"/>
          <w:szCs w:val="20"/>
        </w:rPr>
      </w:pPr>
    </w:p>
    <w:p w14:paraId="4C2857F9" w14:textId="77777777" w:rsidR="00D17BC4" w:rsidRPr="00D17BC4" w:rsidRDefault="00D17BC4" w:rsidP="00D17BC4">
      <w:pPr>
        <w:rPr>
          <w:rFonts w:ascii="Times New Roman" w:eastAsia="Times New Roman" w:hAnsi="Times New Roman" w:cs="Times New Roman"/>
          <w:sz w:val="20"/>
          <w:szCs w:val="20"/>
        </w:rPr>
      </w:pPr>
    </w:p>
    <w:p w14:paraId="6A133630" w14:textId="77777777" w:rsidR="00D17BC4" w:rsidRPr="00D17BC4" w:rsidRDefault="00D17BC4" w:rsidP="00D17BC4">
      <w:pPr>
        <w:rPr>
          <w:rFonts w:ascii="Times New Roman" w:eastAsia="Times New Roman" w:hAnsi="Times New Roman" w:cs="Times New Roman"/>
          <w:sz w:val="20"/>
          <w:szCs w:val="20"/>
        </w:rPr>
      </w:pPr>
    </w:p>
    <w:p w14:paraId="2E1CED25" w14:textId="77777777" w:rsidR="00D17BC4" w:rsidRPr="00D17BC4" w:rsidRDefault="00D17BC4" w:rsidP="00D17BC4">
      <w:pPr>
        <w:rPr>
          <w:rFonts w:ascii="Times New Roman" w:eastAsia="Times New Roman" w:hAnsi="Times New Roman" w:cs="Times New Roman"/>
          <w:sz w:val="20"/>
          <w:szCs w:val="20"/>
        </w:rPr>
      </w:pPr>
    </w:p>
    <w:p w14:paraId="0E0626BF" w14:textId="77777777" w:rsidR="00D17BC4" w:rsidRPr="00D17BC4" w:rsidRDefault="00D17BC4" w:rsidP="00D17BC4">
      <w:pPr>
        <w:rPr>
          <w:rFonts w:ascii="Times New Roman" w:eastAsia="Times New Roman" w:hAnsi="Times New Roman" w:cs="Times New Roman"/>
          <w:sz w:val="20"/>
          <w:szCs w:val="20"/>
        </w:rPr>
      </w:pPr>
    </w:p>
    <w:p w14:paraId="02A60B4E" w14:textId="77777777" w:rsidR="00D17BC4" w:rsidRPr="00D17BC4" w:rsidRDefault="00D17BC4" w:rsidP="00D17BC4">
      <w:pPr>
        <w:rPr>
          <w:rFonts w:ascii="Times New Roman" w:eastAsia="Times New Roman" w:hAnsi="Times New Roman" w:cs="Times New Roman"/>
          <w:sz w:val="20"/>
          <w:szCs w:val="20"/>
        </w:rPr>
      </w:pPr>
    </w:p>
    <w:p w14:paraId="71E9CF37" w14:textId="77777777" w:rsidR="00D17BC4" w:rsidRPr="00D17BC4" w:rsidRDefault="00D17BC4" w:rsidP="00D17BC4">
      <w:pPr>
        <w:rPr>
          <w:rFonts w:ascii="Times New Roman" w:eastAsia="Times New Roman" w:hAnsi="Times New Roman" w:cs="Times New Roman"/>
          <w:sz w:val="20"/>
          <w:szCs w:val="20"/>
        </w:rPr>
      </w:pPr>
    </w:p>
    <w:p w14:paraId="17FB8EAF" w14:textId="77777777" w:rsidR="00D17BC4" w:rsidRPr="00D17BC4" w:rsidRDefault="00D17BC4" w:rsidP="00D17BC4">
      <w:pPr>
        <w:rPr>
          <w:rFonts w:ascii="Times New Roman" w:eastAsia="Times New Roman" w:hAnsi="Times New Roman" w:cs="Times New Roman"/>
          <w:sz w:val="20"/>
          <w:szCs w:val="20"/>
        </w:rPr>
      </w:pPr>
    </w:p>
    <w:p w14:paraId="3F9965CC" w14:textId="77777777" w:rsidR="00D17BC4" w:rsidRPr="00D17BC4" w:rsidRDefault="00D17BC4" w:rsidP="00D17BC4">
      <w:pPr>
        <w:rPr>
          <w:rFonts w:ascii="Times New Roman" w:eastAsia="Times New Roman" w:hAnsi="Times New Roman" w:cs="Times New Roman"/>
          <w:sz w:val="20"/>
          <w:szCs w:val="20"/>
        </w:rPr>
      </w:pPr>
    </w:p>
    <w:p w14:paraId="762244B7" w14:textId="77777777" w:rsidR="00D17BC4" w:rsidRPr="00D17BC4" w:rsidRDefault="00D17BC4" w:rsidP="00D17BC4">
      <w:pPr>
        <w:rPr>
          <w:rFonts w:ascii="Times New Roman" w:eastAsia="Times New Roman" w:hAnsi="Times New Roman" w:cs="Times New Roman"/>
          <w:sz w:val="20"/>
          <w:szCs w:val="20"/>
        </w:rPr>
      </w:pPr>
    </w:p>
    <w:p w14:paraId="3DFA595D" w14:textId="77777777" w:rsidR="00D17BC4" w:rsidRPr="00D17BC4" w:rsidRDefault="00D17BC4" w:rsidP="00D17BC4">
      <w:pPr>
        <w:rPr>
          <w:rFonts w:ascii="Times New Roman" w:eastAsia="Times New Roman" w:hAnsi="Times New Roman" w:cs="Times New Roman"/>
          <w:sz w:val="20"/>
          <w:szCs w:val="20"/>
        </w:rPr>
      </w:pPr>
    </w:p>
    <w:p w14:paraId="4E9978B9" w14:textId="77777777" w:rsidR="00D17BC4" w:rsidRDefault="00D17BC4" w:rsidP="00D17BC4">
      <w:pPr>
        <w:rPr>
          <w:rFonts w:ascii="Times New Roman" w:eastAsia="Times New Roman" w:hAnsi="Times New Roman" w:cs="Times New Roman"/>
          <w:sz w:val="20"/>
          <w:szCs w:val="20"/>
        </w:rPr>
      </w:pPr>
    </w:p>
    <w:p w14:paraId="2FC8CE9F" w14:textId="323883D1" w:rsidR="00D17BC4" w:rsidRDefault="00D17BC4" w:rsidP="00D17BC4">
      <w:pPr>
        <w:spacing w:before="100" w:beforeAutospacing="1" w:after="100" w:afterAutospacing="1" w:line="240" w:lineRule="auto"/>
        <w:rPr>
          <w:rFonts w:ascii="Times New Roman" w:eastAsia="Times New Roman" w:hAnsi="Times New Roman" w:cs="Times New Roman"/>
          <w:sz w:val="20"/>
          <w:szCs w:val="20"/>
        </w:rPr>
        <w:sectPr w:rsidR="00D17BC4" w:rsidSect="00854F38">
          <w:pgSz w:w="15840" w:h="12240" w:orient="landscape"/>
          <w:pgMar w:top="1440" w:right="1440" w:bottom="1440" w:left="1440" w:header="720" w:footer="720" w:gutter="0"/>
          <w:cols w:space="720"/>
          <w:docGrid w:linePitch="360"/>
        </w:sectPr>
      </w:pPr>
      <w:r w:rsidRPr="00440028">
        <w:rPr>
          <w:rFonts w:ascii="Times New Roman" w:eastAsia="Times New Roman" w:hAnsi="Times New Roman" w:cs="Times New Roman"/>
          <w:bCs/>
          <w:sz w:val="20"/>
          <w:szCs w:val="20"/>
        </w:rPr>
        <w:t xml:space="preserve">Fig. </w:t>
      </w:r>
      <w:r>
        <w:rPr>
          <w:rFonts w:ascii="Times New Roman" w:eastAsia="Times New Roman" w:hAnsi="Times New Roman" w:cs="Times New Roman"/>
          <w:bCs/>
          <w:sz w:val="20"/>
          <w:szCs w:val="20"/>
        </w:rPr>
        <w:t>S3</w:t>
      </w:r>
      <w:r w:rsidRPr="00440028">
        <w:rPr>
          <w:rFonts w:ascii="Times New Roman" w:eastAsia="Times New Roman" w:hAnsi="Times New Roman" w:cs="Times New Roman"/>
          <w:b/>
          <w:bCs/>
          <w:sz w:val="20"/>
          <w:szCs w:val="20"/>
        </w:rPr>
        <w:t>.</w:t>
      </w:r>
      <w:r w:rsidRPr="00440028">
        <w:rPr>
          <w:rFonts w:ascii="Times New Roman" w:eastAsia="Times New Roman" w:hAnsi="Times New Roman" w:cs="Times New Roman"/>
          <w:sz w:val="20"/>
          <w:szCs w:val="20"/>
        </w:rPr>
        <w:t xml:space="preserve"> Metabolic network reconstruction linking hydrocarbon degradation modules with microbial functional recovery. Phenol, naphthalene, and ethylbenzene degradation pathways converge on central carbon metabolism and are associated with hydrocarbon-degrading functional taxa reported in the </w:t>
      </w:r>
      <w:proofErr w:type="spellStart"/>
      <w:r w:rsidRPr="00440028">
        <w:rPr>
          <w:rFonts w:ascii="Times New Roman" w:eastAsia="Times New Roman" w:hAnsi="Times New Roman" w:cs="Times New Roman"/>
          <w:sz w:val="20"/>
          <w:szCs w:val="20"/>
        </w:rPr>
        <w:t>literatur</w:t>
      </w:r>
      <w:proofErr w:type="spellEnd"/>
    </w:p>
    <w:p w14:paraId="7E871076" w14:textId="6A614F9F" w:rsidR="00D17BC4" w:rsidRPr="0026438F" w:rsidRDefault="00D17BC4" w:rsidP="00D17BC4">
      <w:pPr>
        <w:tabs>
          <w:tab w:val="left" w:pos="4713"/>
        </w:tabs>
        <w:rPr>
          <w:rFonts w:ascii="Times New Roman" w:eastAsia="Times New Roman" w:hAnsi="Times New Roman" w:cs="Times New Roman"/>
          <w:sz w:val="20"/>
          <w:szCs w:val="20"/>
        </w:rPr>
      </w:pPr>
    </w:p>
    <w:p w14:paraId="1E8F7867" w14:textId="77777777" w:rsidR="00D17BC4" w:rsidRPr="0026438F" w:rsidRDefault="00D17BC4" w:rsidP="00D17BC4">
      <w:pPr>
        <w:spacing w:before="100" w:beforeAutospacing="1" w:after="100" w:afterAutospacing="1" w:line="240" w:lineRule="auto"/>
        <w:rPr>
          <w:rFonts w:ascii="Times New Roman" w:eastAsia="Times New Roman" w:hAnsi="Times New Roman" w:cs="Times New Roman"/>
          <w:sz w:val="20"/>
          <w:szCs w:val="20"/>
        </w:rPr>
      </w:pPr>
      <w:r w:rsidRPr="0026438F">
        <w:rPr>
          <w:rFonts w:ascii="Times New Roman" w:eastAsia="Times New Roman" w:hAnsi="Times New Roman" w:cs="Times New Roman"/>
          <w:noProof/>
          <w:sz w:val="20"/>
          <w:szCs w:val="20"/>
        </w:rPr>
        <w:drawing>
          <wp:inline distT="0" distB="0" distL="0" distR="0" wp14:anchorId="17488B7B" wp14:editId="551BB8B0">
            <wp:extent cx="5943600" cy="396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962400"/>
                    </a:xfrm>
                    <a:prstGeom prst="rect">
                      <a:avLst/>
                    </a:prstGeom>
                  </pic:spPr>
                </pic:pic>
              </a:graphicData>
            </a:graphic>
          </wp:inline>
        </w:drawing>
      </w:r>
    </w:p>
    <w:p w14:paraId="0FCA6C6E" w14:textId="715E192C" w:rsidR="00D17BC4" w:rsidRPr="004D4B4A" w:rsidRDefault="00234C3E" w:rsidP="004D4B4A">
      <w:pPr>
        <w:jc w:val="both"/>
        <w:rPr>
          <w:rFonts w:ascii="Times New Roman" w:hAnsi="Times New Roman" w:cs="Times New Roman"/>
          <w:sz w:val="20"/>
          <w:szCs w:val="20"/>
        </w:rPr>
        <w:sectPr w:rsidR="00D17BC4" w:rsidRPr="004D4B4A" w:rsidSect="00D17BC4">
          <w:pgSz w:w="12240" w:h="15840"/>
          <w:pgMar w:top="1440" w:right="1440" w:bottom="1440" w:left="1440" w:header="720" w:footer="720" w:gutter="0"/>
          <w:cols w:space="720"/>
          <w:docGrid w:linePitch="360"/>
        </w:sectPr>
      </w:pPr>
      <w:r>
        <w:rPr>
          <w:rStyle w:val="Strong"/>
          <w:rFonts w:ascii="Times New Roman" w:hAnsi="Times New Roman" w:cs="Times New Roman"/>
          <w:b w:val="0"/>
          <w:sz w:val="20"/>
          <w:szCs w:val="20"/>
        </w:rPr>
        <w:t xml:space="preserve">Fig. </w:t>
      </w:r>
      <w:r w:rsidR="00D17BC4" w:rsidRPr="0026438F">
        <w:rPr>
          <w:rStyle w:val="Strong"/>
          <w:rFonts w:ascii="Times New Roman" w:hAnsi="Times New Roman" w:cs="Times New Roman"/>
          <w:b w:val="0"/>
          <w:sz w:val="20"/>
          <w:szCs w:val="20"/>
        </w:rPr>
        <w:t>S.</w:t>
      </w:r>
      <w:r w:rsidR="00D17BC4">
        <w:rPr>
          <w:rStyle w:val="Strong"/>
          <w:rFonts w:ascii="Times New Roman" w:hAnsi="Times New Roman" w:cs="Times New Roman"/>
          <w:b w:val="0"/>
          <w:sz w:val="20"/>
          <w:szCs w:val="20"/>
        </w:rPr>
        <w:t>4</w:t>
      </w:r>
      <w:r w:rsidR="00D17BC4" w:rsidRPr="0026438F">
        <w:rPr>
          <w:rStyle w:val="Strong"/>
          <w:rFonts w:ascii="Times New Roman" w:hAnsi="Times New Roman" w:cs="Times New Roman"/>
          <w:sz w:val="20"/>
          <w:szCs w:val="20"/>
        </w:rPr>
        <w:t>.</w:t>
      </w:r>
      <w:r w:rsidR="00D17BC4" w:rsidRPr="0026438F">
        <w:rPr>
          <w:rFonts w:ascii="Times New Roman" w:hAnsi="Times New Roman" w:cs="Times New Roman"/>
          <w:sz w:val="20"/>
          <w:szCs w:val="20"/>
        </w:rPr>
        <w:t xml:space="preserve"> Machine-learning identification and validation of metabolomic biomarkers associated with soil recovery. (a) Random forest model predicting remediation success based on integrated metabolomic features, showing strong predictive performance (R² = 0.81, RMSE = 0.11, AUC = 0.89) and ranking key biomarkers according to variable importance. (b) Partial dependence plots illustrating the influence of major metabolite classes on recovery probability, with osmolytes, branched-chain amino acids, and lipid-related metabolites positively associated with recovery, whereas aromatic compounds, organic acids, and pH showed negative associations. (c) External validation demonstrating robust model performance across independent datasets, supporting the utility of metabolite signatures as predictive indicators of bioremediation outcom</w:t>
      </w:r>
      <w:r>
        <w:rPr>
          <w:rFonts w:ascii="Times New Roman" w:hAnsi="Times New Roman" w:cs="Times New Roman"/>
          <w:sz w:val="20"/>
          <w:szCs w:val="20"/>
        </w:rPr>
        <w:t>e.</w:t>
      </w:r>
    </w:p>
    <w:p w14:paraId="49A82E7C" w14:textId="77777777" w:rsidR="00234C3E" w:rsidRPr="00234C3E" w:rsidRDefault="00234C3E" w:rsidP="00234C3E">
      <w:pPr>
        <w:rPr>
          <w:rFonts w:ascii="Times New Roman" w:hAnsi="Times New Roman" w:cs="Times New Roman"/>
          <w:sz w:val="20"/>
          <w:szCs w:val="20"/>
        </w:rPr>
      </w:pPr>
      <w:bookmarkStart w:id="0" w:name="_GoBack"/>
      <w:bookmarkEnd w:id="0"/>
    </w:p>
    <w:sectPr w:rsidR="00234C3E" w:rsidRPr="00234C3E" w:rsidSect="00D17B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DECF6" w14:textId="77777777" w:rsidR="00416834" w:rsidRDefault="00416834" w:rsidP="00605610">
      <w:pPr>
        <w:spacing w:after="0" w:line="240" w:lineRule="auto"/>
      </w:pPr>
      <w:r>
        <w:separator/>
      </w:r>
    </w:p>
  </w:endnote>
  <w:endnote w:type="continuationSeparator" w:id="0">
    <w:p w14:paraId="0DB786C5" w14:textId="77777777" w:rsidR="00416834" w:rsidRDefault="00416834" w:rsidP="0060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03ECC" w14:textId="77777777" w:rsidR="00416834" w:rsidRDefault="00416834" w:rsidP="00605610">
      <w:pPr>
        <w:spacing w:after="0" w:line="240" w:lineRule="auto"/>
      </w:pPr>
      <w:r>
        <w:separator/>
      </w:r>
    </w:p>
  </w:footnote>
  <w:footnote w:type="continuationSeparator" w:id="0">
    <w:p w14:paraId="2C3D1EFE" w14:textId="77777777" w:rsidR="00416834" w:rsidRDefault="00416834" w:rsidP="006056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A5"/>
    <w:rsid w:val="000B1248"/>
    <w:rsid w:val="001353A6"/>
    <w:rsid w:val="0020089E"/>
    <w:rsid w:val="00234C3E"/>
    <w:rsid w:val="0026438F"/>
    <w:rsid w:val="002651B2"/>
    <w:rsid w:val="003C61E8"/>
    <w:rsid w:val="003D4AA9"/>
    <w:rsid w:val="004063B2"/>
    <w:rsid w:val="00416834"/>
    <w:rsid w:val="00440028"/>
    <w:rsid w:val="0044749A"/>
    <w:rsid w:val="004873AB"/>
    <w:rsid w:val="004A60BE"/>
    <w:rsid w:val="004D4B4A"/>
    <w:rsid w:val="004F750D"/>
    <w:rsid w:val="00556627"/>
    <w:rsid w:val="005B4AD2"/>
    <w:rsid w:val="00605610"/>
    <w:rsid w:val="0064361D"/>
    <w:rsid w:val="006963D4"/>
    <w:rsid w:val="007703F3"/>
    <w:rsid w:val="009B2B27"/>
    <w:rsid w:val="00A4327B"/>
    <w:rsid w:val="00A84CE5"/>
    <w:rsid w:val="00AD7E1E"/>
    <w:rsid w:val="00C410EA"/>
    <w:rsid w:val="00D132F4"/>
    <w:rsid w:val="00D17BC4"/>
    <w:rsid w:val="00D474B2"/>
    <w:rsid w:val="00D77395"/>
    <w:rsid w:val="00F66CBE"/>
    <w:rsid w:val="00F7634B"/>
    <w:rsid w:val="00FE1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75F4"/>
  <w15:chartTrackingRefBased/>
  <w15:docId w15:val="{FB9CB003-79F0-4E78-8FF6-5648CC674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DA5"/>
  </w:style>
  <w:style w:type="paragraph" w:styleId="Heading1">
    <w:name w:val="heading 1"/>
    <w:basedOn w:val="Normal"/>
    <w:link w:val="Heading1Char"/>
    <w:uiPriority w:val="9"/>
    <w:qFormat/>
    <w:rsid w:val="005B4A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B4A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B4A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1D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1DA5"/>
    <w:rPr>
      <w:b/>
      <w:bCs/>
    </w:rPr>
  </w:style>
  <w:style w:type="character" w:customStyle="1" w:styleId="Heading1Char">
    <w:name w:val="Heading 1 Char"/>
    <w:basedOn w:val="DefaultParagraphFont"/>
    <w:link w:val="Heading1"/>
    <w:uiPriority w:val="9"/>
    <w:rsid w:val="005B4A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4AD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B4AD2"/>
    <w:rPr>
      <w:rFonts w:ascii="Times New Roman" w:eastAsia="Times New Roman" w:hAnsi="Times New Roman" w:cs="Times New Roman"/>
      <w:b/>
      <w:bCs/>
      <w:sz w:val="27"/>
      <w:szCs w:val="27"/>
    </w:rPr>
  </w:style>
  <w:style w:type="character" w:styleId="Emphasis">
    <w:name w:val="Emphasis"/>
    <w:basedOn w:val="DefaultParagraphFont"/>
    <w:uiPriority w:val="20"/>
    <w:qFormat/>
    <w:rsid w:val="005B4AD2"/>
    <w:rPr>
      <w:i/>
      <w:iCs/>
    </w:rPr>
  </w:style>
  <w:style w:type="character" w:customStyle="1" w:styleId="whitespace-normal">
    <w:name w:val="whitespace-normal"/>
    <w:basedOn w:val="DefaultParagraphFont"/>
    <w:rsid w:val="0064361D"/>
  </w:style>
  <w:style w:type="paragraph" w:styleId="Header">
    <w:name w:val="header"/>
    <w:basedOn w:val="Normal"/>
    <w:link w:val="HeaderChar"/>
    <w:uiPriority w:val="99"/>
    <w:unhideWhenUsed/>
    <w:rsid w:val="00605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610"/>
  </w:style>
  <w:style w:type="paragraph" w:styleId="Footer">
    <w:name w:val="footer"/>
    <w:basedOn w:val="Normal"/>
    <w:link w:val="FooterChar"/>
    <w:uiPriority w:val="99"/>
    <w:unhideWhenUsed/>
    <w:rsid w:val="00605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610"/>
  </w:style>
  <w:style w:type="table" w:styleId="TableGrid">
    <w:name w:val="Table Grid"/>
    <w:basedOn w:val="TableNormal"/>
    <w:uiPriority w:val="39"/>
    <w:rsid w:val="00AD7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763293">
      <w:bodyDiv w:val="1"/>
      <w:marLeft w:val="0"/>
      <w:marRight w:val="0"/>
      <w:marTop w:val="0"/>
      <w:marBottom w:val="0"/>
      <w:divBdr>
        <w:top w:val="none" w:sz="0" w:space="0" w:color="auto"/>
        <w:left w:val="none" w:sz="0" w:space="0" w:color="auto"/>
        <w:bottom w:val="none" w:sz="0" w:space="0" w:color="auto"/>
        <w:right w:val="none" w:sz="0" w:space="0" w:color="auto"/>
      </w:divBdr>
    </w:div>
    <w:div w:id="440102437">
      <w:bodyDiv w:val="1"/>
      <w:marLeft w:val="0"/>
      <w:marRight w:val="0"/>
      <w:marTop w:val="0"/>
      <w:marBottom w:val="0"/>
      <w:divBdr>
        <w:top w:val="none" w:sz="0" w:space="0" w:color="auto"/>
        <w:left w:val="none" w:sz="0" w:space="0" w:color="auto"/>
        <w:bottom w:val="none" w:sz="0" w:space="0" w:color="auto"/>
        <w:right w:val="none" w:sz="0" w:space="0" w:color="auto"/>
      </w:divBdr>
      <w:divsChild>
        <w:div w:id="668753046">
          <w:marLeft w:val="0"/>
          <w:marRight w:val="0"/>
          <w:marTop w:val="0"/>
          <w:marBottom w:val="0"/>
          <w:divBdr>
            <w:top w:val="none" w:sz="0" w:space="0" w:color="auto"/>
            <w:left w:val="none" w:sz="0" w:space="0" w:color="auto"/>
            <w:bottom w:val="none" w:sz="0" w:space="0" w:color="auto"/>
            <w:right w:val="none" w:sz="0" w:space="0" w:color="auto"/>
          </w:divBdr>
          <w:divsChild>
            <w:div w:id="12151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13895">
      <w:bodyDiv w:val="1"/>
      <w:marLeft w:val="0"/>
      <w:marRight w:val="0"/>
      <w:marTop w:val="0"/>
      <w:marBottom w:val="0"/>
      <w:divBdr>
        <w:top w:val="none" w:sz="0" w:space="0" w:color="auto"/>
        <w:left w:val="none" w:sz="0" w:space="0" w:color="auto"/>
        <w:bottom w:val="none" w:sz="0" w:space="0" w:color="auto"/>
        <w:right w:val="none" w:sz="0" w:space="0" w:color="auto"/>
      </w:divBdr>
    </w:div>
    <w:div w:id="1145201844">
      <w:bodyDiv w:val="1"/>
      <w:marLeft w:val="0"/>
      <w:marRight w:val="0"/>
      <w:marTop w:val="0"/>
      <w:marBottom w:val="0"/>
      <w:divBdr>
        <w:top w:val="none" w:sz="0" w:space="0" w:color="auto"/>
        <w:left w:val="none" w:sz="0" w:space="0" w:color="auto"/>
        <w:bottom w:val="none" w:sz="0" w:space="0" w:color="auto"/>
        <w:right w:val="none" w:sz="0" w:space="0" w:color="auto"/>
      </w:divBdr>
    </w:div>
    <w:div w:id="1480414488">
      <w:bodyDiv w:val="1"/>
      <w:marLeft w:val="0"/>
      <w:marRight w:val="0"/>
      <w:marTop w:val="0"/>
      <w:marBottom w:val="0"/>
      <w:divBdr>
        <w:top w:val="none" w:sz="0" w:space="0" w:color="auto"/>
        <w:left w:val="none" w:sz="0" w:space="0" w:color="auto"/>
        <w:bottom w:val="none" w:sz="0" w:space="0" w:color="auto"/>
        <w:right w:val="none" w:sz="0" w:space="0" w:color="auto"/>
      </w:divBdr>
      <w:divsChild>
        <w:div w:id="2057969655">
          <w:marLeft w:val="0"/>
          <w:marRight w:val="0"/>
          <w:marTop w:val="0"/>
          <w:marBottom w:val="0"/>
          <w:divBdr>
            <w:top w:val="none" w:sz="0" w:space="0" w:color="auto"/>
            <w:left w:val="none" w:sz="0" w:space="0" w:color="auto"/>
            <w:bottom w:val="none" w:sz="0" w:space="0" w:color="auto"/>
            <w:right w:val="none" w:sz="0" w:space="0" w:color="auto"/>
          </w:divBdr>
          <w:divsChild>
            <w:div w:id="1789160682">
              <w:marLeft w:val="0"/>
              <w:marRight w:val="0"/>
              <w:marTop w:val="0"/>
              <w:marBottom w:val="0"/>
              <w:divBdr>
                <w:top w:val="none" w:sz="0" w:space="0" w:color="auto"/>
                <w:left w:val="none" w:sz="0" w:space="0" w:color="auto"/>
                <w:bottom w:val="none" w:sz="0" w:space="0" w:color="auto"/>
                <w:right w:val="none" w:sz="0" w:space="0" w:color="auto"/>
              </w:divBdr>
              <w:divsChild>
                <w:div w:id="1590574701">
                  <w:marLeft w:val="0"/>
                  <w:marRight w:val="0"/>
                  <w:marTop w:val="0"/>
                  <w:marBottom w:val="0"/>
                  <w:divBdr>
                    <w:top w:val="none" w:sz="0" w:space="0" w:color="auto"/>
                    <w:left w:val="none" w:sz="0" w:space="0" w:color="auto"/>
                    <w:bottom w:val="none" w:sz="0" w:space="0" w:color="auto"/>
                    <w:right w:val="none" w:sz="0" w:space="0" w:color="auto"/>
                  </w:divBdr>
                  <w:divsChild>
                    <w:div w:id="503204778">
                      <w:marLeft w:val="0"/>
                      <w:marRight w:val="0"/>
                      <w:marTop w:val="0"/>
                      <w:marBottom w:val="0"/>
                      <w:divBdr>
                        <w:top w:val="none" w:sz="0" w:space="0" w:color="auto"/>
                        <w:left w:val="none" w:sz="0" w:space="0" w:color="auto"/>
                        <w:bottom w:val="none" w:sz="0" w:space="0" w:color="auto"/>
                        <w:right w:val="none" w:sz="0" w:space="0" w:color="auto"/>
                      </w:divBdr>
                      <w:divsChild>
                        <w:div w:id="1072656890">
                          <w:marLeft w:val="0"/>
                          <w:marRight w:val="0"/>
                          <w:marTop w:val="0"/>
                          <w:marBottom w:val="0"/>
                          <w:divBdr>
                            <w:top w:val="none" w:sz="0" w:space="0" w:color="auto"/>
                            <w:left w:val="none" w:sz="0" w:space="0" w:color="auto"/>
                            <w:bottom w:val="none" w:sz="0" w:space="0" w:color="auto"/>
                            <w:right w:val="none" w:sz="0" w:space="0" w:color="auto"/>
                          </w:divBdr>
                          <w:divsChild>
                            <w:div w:id="1694526727">
                              <w:marLeft w:val="0"/>
                              <w:marRight w:val="0"/>
                              <w:marTop w:val="0"/>
                              <w:marBottom w:val="0"/>
                              <w:divBdr>
                                <w:top w:val="none" w:sz="0" w:space="0" w:color="auto"/>
                                <w:left w:val="none" w:sz="0" w:space="0" w:color="auto"/>
                                <w:bottom w:val="none" w:sz="0" w:space="0" w:color="auto"/>
                                <w:right w:val="none" w:sz="0" w:space="0" w:color="auto"/>
                              </w:divBdr>
                              <w:divsChild>
                                <w:div w:id="1873299554">
                                  <w:marLeft w:val="0"/>
                                  <w:marRight w:val="0"/>
                                  <w:marTop w:val="0"/>
                                  <w:marBottom w:val="0"/>
                                  <w:divBdr>
                                    <w:top w:val="none" w:sz="0" w:space="0" w:color="auto"/>
                                    <w:left w:val="none" w:sz="0" w:space="0" w:color="auto"/>
                                    <w:bottom w:val="none" w:sz="0" w:space="0" w:color="auto"/>
                                    <w:right w:val="none" w:sz="0" w:space="0" w:color="auto"/>
                                  </w:divBdr>
                                  <w:divsChild>
                                    <w:div w:id="17385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864200">
      <w:bodyDiv w:val="1"/>
      <w:marLeft w:val="0"/>
      <w:marRight w:val="0"/>
      <w:marTop w:val="0"/>
      <w:marBottom w:val="0"/>
      <w:divBdr>
        <w:top w:val="none" w:sz="0" w:space="0" w:color="auto"/>
        <w:left w:val="none" w:sz="0" w:space="0" w:color="auto"/>
        <w:bottom w:val="none" w:sz="0" w:space="0" w:color="auto"/>
        <w:right w:val="none" w:sz="0" w:space="0" w:color="auto"/>
      </w:divBdr>
    </w:div>
    <w:div w:id="1583177774">
      <w:bodyDiv w:val="1"/>
      <w:marLeft w:val="0"/>
      <w:marRight w:val="0"/>
      <w:marTop w:val="0"/>
      <w:marBottom w:val="0"/>
      <w:divBdr>
        <w:top w:val="none" w:sz="0" w:space="0" w:color="auto"/>
        <w:left w:val="none" w:sz="0" w:space="0" w:color="auto"/>
        <w:bottom w:val="none" w:sz="0" w:space="0" w:color="auto"/>
        <w:right w:val="none" w:sz="0" w:space="0" w:color="auto"/>
      </w:divBdr>
    </w:div>
    <w:div w:id="1732926707">
      <w:bodyDiv w:val="1"/>
      <w:marLeft w:val="0"/>
      <w:marRight w:val="0"/>
      <w:marTop w:val="0"/>
      <w:marBottom w:val="0"/>
      <w:divBdr>
        <w:top w:val="none" w:sz="0" w:space="0" w:color="auto"/>
        <w:left w:val="none" w:sz="0" w:space="0" w:color="auto"/>
        <w:bottom w:val="none" w:sz="0" w:space="0" w:color="auto"/>
        <w:right w:val="none" w:sz="0" w:space="0" w:color="auto"/>
      </w:divBdr>
      <w:divsChild>
        <w:div w:id="2062558727">
          <w:marLeft w:val="0"/>
          <w:marRight w:val="0"/>
          <w:marTop w:val="0"/>
          <w:marBottom w:val="0"/>
          <w:divBdr>
            <w:top w:val="none" w:sz="0" w:space="0" w:color="auto"/>
            <w:left w:val="none" w:sz="0" w:space="0" w:color="auto"/>
            <w:bottom w:val="none" w:sz="0" w:space="0" w:color="auto"/>
            <w:right w:val="none" w:sz="0" w:space="0" w:color="auto"/>
          </w:divBdr>
          <w:divsChild>
            <w:div w:id="709647483">
              <w:marLeft w:val="0"/>
              <w:marRight w:val="0"/>
              <w:marTop w:val="0"/>
              <w:marBottom w:val="0"/>
              <w:divBdr>
                <w:top w:val="none" w:sz="0" w:space="0" w:color="auto"/>
                <w:left w:val="none" w:sz="0" w:space="0" w:color="auto"/>
                <w:bottom w:val="none" w:sz="0" w:space="0" w:color="auto"/>
                <w:right w:val="none" w:sz="0" w:space="0" w:color="auto"/>
              </w:divBdr>
              <w:divsChild>
                <w:div w:id="1899703043">
                  <w:marLeft w:val="0"/>
                  <w:marRight w:val="0"/>
                  <w:marTop w:val="0"/>
                  <w:marBottom w:val="0"/>
                  <w:divBdr>
                    <w:top w:val="none" w:sz="0" w:space="0" w:color="auto"/>
                    <w:left w:val="none" w:sz="0" w:space="0" w:color="auto"/>
                    <w:bottom w:val="none" w:sz="0" w:space="0" w:color="auto"/>
                    <w:right w:val="none" w:sz="0" w:space="0" w:color="auto"/>
                  </w:divBdr>
                  <w:divsChild>
                    <w:div w:id="1803188222">
                      <w:marLeft w:val="0"/>
                      <w:marRight w:val="0"/>
                      <w:marTop w:val="0"/>
                      <w:marBottom w:val="0"/>
                      <w:divBdr>
                        <w:top w:val="none" w:sz="0" w:space="0" w:color="auto"/>
                        <w:left w:val="none" w:sz="0" w:space="0" w:color="auto"/>
                        <w:bottom w:val="none" w:sz="0" w:space="0" w:color="auto"/>
                        <w:right w:val="none" w:sz="0" w:space="0" w:color="auto"/>
                      </w:divBdr>
                      <w:divsChild>
                        <w:div w:id="274598008">
                          <w:marLeft w:val="0"/>
                          <w:marRight w:val="0"/>
                          <w:marTop w:val="0"/>
                          <w:marBottom w:val="0"/>
                          <w:divBdr>
                            <w:top w:val="none" w:sz="0" w:space="0" w:color="auto"/>
                            <w:left w:val="none" w:sz="0" w:space="0" w:color="auto"/>
                            <w:bottom w:val="none" w:sz="0" w:space="0" w:color="auto"/>
                            <w:right w:val="none" w:sz="0" w:space="0" w:color="auto"/>
                          </w:divBdr>
                          <w:divsChild>
                            <w:div w:id="135688130">
                              <w:marLeft w:val="0"/>
                              <w:marRight w:val="0"/>
                              <w:marTop w:val="0"/>
                              <w:marBottom w:val="0"/>
                              <w:divBdr>
                                <w:top w:val="none" w:sz="0" w:space="0" w:color="auto"/>
                                <w:left w:val="none" w:sz="0" w:space="0" w:color="auto"/>
                                <w:bottom w:val="none" w:sz="0" w:space="0" w:color="auto"/>
                                <w:right w:val="none" w:sz="0" w:space="0" w:color="auto"/>
                              </w:divBdr>
                              <w:divsChild>
                                <w:div w:id="684593884">
                                  <w:marLeft w:val="0"/>
                                  <w:marRight w:val="0"/>
                                  <w:marTop w:val="0"/>
                                  <w:marBottom w:val="0"/>
                                  <w:divBdr>
                                    <w:top w:val="none" w:sz="0" w:space="0" w:color="auto"/>
                                    <w:left w:val="none" w:sz="0" w:space="0" w:color="auto"/>
                                    <w:bottom w:val="none" w:sz="0" w:space="0" w:color="auto"/>
                                    <w:right w:val="none" w:sz="0" w:space="0" w:color="auto"/>
                                  </w:divBdr>
                                  <w:divsChild>
                                    <w:div w:id="188104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666416">
      <w:bodyDiv w:val="1"/>
      <w:marLeft w:val="0"/>
      <w:marRight w:val="0"/>
      <w:marTop w:val="0"/>
      <w:marBottom w:val="0"/>
      <w:divBdr>
        <w:top w:val="none" w:sz="0" w:space="0" w:color="auto"/>
        <w:left w:val="none" w:sz="0" w:space="0" w:color="auto"/>
        <w:bottom w:val="none" w:sz="0" w:space="0" w:color="auto"/>
        <w:right w:val="none" w:sz="0" w:space="0" w:color="auto"/>
      </w:divBdr>
      <w:divsChild>
        <w:div w:id="1403521741">
          <w:marLeft w:val="0"/>
          <w:marRight w:val="0"/>
          <w:marTop w:val="0"/>
          <w:marBottom w:val="0"/>
          <w:divBdr>
            <w:top w:val="none" w:sz="0" w:space="0" w:color="auto"/>
            <w:left w:val="none" w:sz="0" w:space="0" w:color="auto"/>
            <w:bottom w:val="none" w:sz="0" w:space="0" w:color="auto"/>
            <w:right w:val="none" w:sz="0" w:space="0" w:color="auto"/>
          </w:divBdr>
          <w:divsChild>
            <w:div w:id="1956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6</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Fenibo Oliver</dc:creator>
  <cp:keywords/>
  <dc:description/>
  <cp:lastModifiedBy>Emmanuel Fenibo Oliver</cp:lastModifiedBy>
  <cp:revision>11</cp:revision>
  <dcterms:created xsi:type="dcterms:W3CDTF">2026-06-08T08:26:00Z</dcterms:created>
  <dcterms:modified xsi:type="dcterms:W3CDTF">2026-07-04T14:34:00Z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29d10ee7-218c-4884-9c39-aeafa0ce0f23</vt:lpwstr>
  </property>
</Properties>
</file>