
<file path=[Content_Types].xml><?xml version="1.0" encoding="utf-8"?>
<Types xmlns="http://schemas.openxmlformats.org/package/2006/content-types">
  <Default Extension="emf" ContentType="image/x-emf"/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default" w:ascii="Times New Roman Bold" w:hAnsi="Times New Roman Bold" w:cs="Times New Roman Bold"/>
          <w:b/>
          <w:bCs w:val="0"/>
          <w:i w:val="0"/>
          <w:color w:val="auto"/>
          <w:sz w:val="20"/>
          <w:szCs w:val="20"/>
          <w:lang w:val="en-US" w:eastAsia="zh-CN"/>
        </w:rPr>
      </w:pPr>
      <w:r>
        <w:rPr>
          <w:rFonts w:hint="default" w:ascii="Times New Roman Bold" w:hAnsi="Times New Roman Bold" w:cs="Times New Roman Bold"/>
          <w:b/>
          <w:bCs w:val="0"/>
          <w:i w:val="0"/>
          <w:color w:val="auto"/>
          <w:sz w:val="20"/>
          <w:szCs w:val="20"/>
          <w:lang w:val="en-US" w:eastAsia="zh-CN"/>
        </w:rPr>
        <w:t>Supplementary Tables and Figures</w:t>
      </w:r>
    </w:p>
    <w:p>
      <w:pPr>
        <w:keepNext/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color w:val="auto"/>
          <w:sz w:val="20"/>
          <w:szCs w:val="20"/>
          <w:lang w:val="en-US" w:eastAsia="zh-CN"/>
        </w:rPr>
      </w:pPr>
    </w:p>
    <w:p>
      <w:pPr>
        <w:keepNext/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default" w:ascii="Times New Roman Bold" w:hAnsi="Times New Roman Bold" w:cs="Times New Roman Bold"/>
          <w:b/>
          <w:bCs w:val="0"/>
          <w:i w:val="0"/>
          <w:color w:val="auto"/>
          <w:sz w:val="20"/>
          <w:szCs w:val="20"/>
          <w:lang w:val="en-US" w:eastAsia="zh-CN"/>
        </w:rPr>
      </w:pPr>
      <w:r>
        <w:rPr>
          <w:rFonts w:hint="default" w:ascii="Times New Roman Bold" w:hAnsi="Times New Roman Bold" w:eastAsia="Carlito" w:cs="Times New Roman Bold"/>
          <w:b/>
          <w:bCs w:val="0"/>
          <w:i w:val="0"/>
          <w:iCs w:val="0"/>
          <w:color w:val="auto"/>
          <w:kern w:val="0"/>
          <w:sz w:val="20"/>
          <w:szCs w:val="20"/>
          <w:u w:val="none"/>
          <w:lang w:val="en-US" w:eastAsia="zh-CN" w:bidi="ar"/>
        </w:rPr>
        <w:t>Supplementary Table S1. Definitions, coding, timing, and missingness of candidate predictors and outcome</w:t>
      </w:r>
    </w:p>
    <w:tbl>
      <w:tblPr>
        <w:tblStyle w:val="32"/>
        <w:tblW w:w="144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20"/>
        <w:gridCol w:w="6662"/>
        <w:gridCol w:w="2200"/>
        <w:gridCol w:w="2000"/>
      </w:tblGrid>
      <w:tr>
        <w:trPr>
          <w:trHeight w:val="283" w:hRule="atLeast"/>
          <w:jc w:val="center"/>
        </w:trPr>
        <w:tc>
          <w:tcPr>
            <w:tcW w:w="3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Predictor or outcome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Definition and coding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Time of availability</w:t>
            </w: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Missing, n (%)</w:t>
            </w: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Primary-model predictors</w:t>
            </w:r>
          </w:p>
        </w:tc>
        <w:tc>
          <w:tcPr>
            <w:tcW w:w="666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Age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Continuous, years; entered per 10-year increase.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Sex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Male vs female; female was the reference category.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Surgical category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Six categories: colorectal (colon and rectum combined), gastric, liver, biliary, pancreatic, and gynaecological; colorectal was the reference category.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Planned surgical approach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Open vs minimally invasive; minimally invasive was the reference category. Coding was based on the intended preoperative approach.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Previous abdominal or pelvic surgery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Yes (1) vs no (0).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296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ASA physical status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Recorded as I, II, or III; entered as ASA III vs ASA I–II in the primary model.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 haemoglobin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Continuous, g/L; entered per 10-g/L increase in the primary model. The sensitivity model used a three-knot restricted cubic spline with knots at 87, 124, and 148 g/L.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Comparator and sensitivity-analysis variables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 anaemia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Binary variable: haemoglobin &lt;130 g/L in men or &lt;120 g/L in women; used in the binary-anaemia comparator model.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Platelet count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Continuous, ×10⁹/L; evaluated in the expanded sensitivity model.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International normalized ratio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Continuous; evaluated in the expanded sensitivity model.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Anticoagulant or antiplatelet medication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Any preoperative anticoagulant or antiplatelet medication use versus none; evaluated in the expanded sensitivity model.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Preoperative 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Irregular-antibody screen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Positive vs negative; considered an implementation and transfusion-safety variable rather than a primary transfusion-demand predictor.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Outcome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rPr>
          <w:trHeight w:val="283" w:hRule="atLeast"/>
          <w:jc w:val="center"/>
        </w:trPr>
        <w:tc>
          <w:tcPr>
            <w:tcW w:w="3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Red-cell transfusion within 72 h</w:t>
            </w:r>
          </w:p>
        </w:tc>
        <w:tc>
          <w:tcPr>
            <w:tcW w:w="666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Any red-cell transfusion &gt;0 units from the intraoperative period through 72 h after surgery.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Intraoperative to 72 h postoperative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 (0.0%)</w:t>
            </w:r>
          </w:p>
        </w:tc>
      </w:tr>
      <w:tr>
        <w:trPr>
          <w:trHeight w:val="775" w:hRule="atLeast"/>
          <w:jc w:val="center"/>
        </w:trPr>
        <w:tc>
          <w:tcPr>
            <w:tcW w:w="1448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/>
                <w:iCs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The analytical dataset contained 1,068 patients. Missingness was defined as a blank or null database field. All listed variables were complete, and no statistical imputation was required for the primary analysis.</w:t>
            </w:r>
            <w:r>
              <w:rPr>
                <w:rFonts w:hint="eastAsia" w:ascii="Times New Roman Regular" w:hAnsi="Times New Roman Regular" w:eastAsia="Carlito" w:cs="Times New Roman Regular"/>
                <w:b w:val="0"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/>
                <w:iCs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For prediction-time validity, planned surgical approach should represent the intended approach recorded before surgery; patients converted intraoperatively from minimally invasive to open surgery should remain coded according to the initial plan.</w:t>
            </w:r>
          </w:p>
        </w:tc>
      </w:tr>
    </w:tbl>
    <w:p>
      <w:pPr>
        <w:keepNext/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color w:val="auto"/>
          <w:sz w:val="20"/>
          <w:szCs w:val="20"/>
          <w:lang w:val="en-US" w:eastAsia="zh-CN"/>
        </w:rPr>
      </w:pPr>
    </w:p>
    <w:p>
      <w:pPr>
        <w:keepNext/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both"/>
        <w:textAlignment w:val="auto"/>
        <w:rPr>
          <w:rFonts w:hint="default" w:ascii="Times New Roman Bold" w:hAnsi="Times New Roman Bold" w:cs="Times New Roman Bold"/>
          <w:b/>
          <w:bCs w:val="0"/>
          <w:i w:val="0"/>
          <w:color w:val="auto"/>
          <w:sz w:val="20"/>
          <w:szCs w:val="20"/>
          <w:lang w:val="en-US"/>
        </w:rPr>
      </w:pPr>
      <w:r>
        <w:rPr>
          <w:rFonts w:hint="default" w:ascii="Times New Roman Bold" w:hAnsi="Times New Roman Bold" w:cs="Times New Roman Bold"/>
          <w:b/>
          <w:bCs w:val="0"/>
          <w:i w:val="0"/>
          <w:color w:val="auto"/>
          <w:sz w:val="20"/>
          <w:szCs w:val="20"/>
          <w:lang w:val="en-US"/>
        </w:rPr>
        <w:t>Supplementary Table S2. Full specification of the primary continuous-haemoglobin Ridge logistic regression model</w:t>
      </w:r>
    </w:p>
    <w:p>
      <w:pPr>
        <w:keepNext/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both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color w:val="auto"/>
          <w:sz w:val="20"/>
          <w:szCs w:val="20"/>
          <w:lang w:val="en-US"/>
        </w:rPr>
      </w:pPr>
    </w:p>
    <w:tbl>
      <w:tblPr>
        <w:tblStyle w:val="32"/>
        <w:tblW w:w="13973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5050"/>
        <w:gridCol w:w="2700"/>
        <w:gridCol w:w="2875"/>
      </w:tblGrid>
      <w:tr>
        <w:trPr>
          <w:trHeight w:val="283" w:hRule="atLeast"/>
        </w:trPr>
        <w:tc>
          <w:tcPr>
            <w:tcW w:w="334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Term</w:t>
            </w:r>
          </w:p>
        </w:tc>
        <w:tc>
          <w:tcPr>
            <w:tcW w:w="50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Coding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Coefficient on clinical scale</w:t>
            </w:r>
          </w:p>
        </w:tc>
        <w:tc>
          <w:tcPr>
            <w:tcW w:w="28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center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Odds ratio per clinical unit</w:t>
            </w:r>
          </w:p>
        </w:tc>
      </w:tr>
      <w:tr>
        <w:trPr>
          <w:trHeight w:val="283" w:hRule="atLeast"/>
        </w:trPr>
        <w:tc>
          <w:tcPr>
            <w:tcW w:w="334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Intercept</w:t>
            </w:r>
          </w:p>
        </w:tc>
        <w:tc>
          <w:tcPr>
            <w:tcW w:w="50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Not applicable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4.26984717</w:t>
            </w:r>
          </w:p>
        </w:tc>
        <w:tc>
          <w:tcPr>
            <w:tcW w:w="28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shd w:val="clear" w:fill="FFFFFF" w:themeFill="background1"/>
              <w:jc w:val="center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>
        <w:trPr>
          <w:trHeight w:val="283" w:hRule="atLeast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Age, per 10 years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Continuous; age divided by 10 before standardization.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-0.12506332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0.882</w:t>
            </w:r>
          </w:p>
        </w:tc>
      </w:tr>
      <w:tr>
        <w:trPr>
          <w:trHeight w:val="283" w:hRule="atLeast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Male sex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Binary: male = 1, female = 0.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0.70000603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2.014</w:t>
            </w:r>
          </w:p>
        </w:tc>
      </w:tr>
      <w:tr>
        <w:trPr>
          <w:trHeight w:val="283" w:hRule="atLeast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Planned open surgical approach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Binary: planned open = 1, planned minimally invasive = 0.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0.87586996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2.401</w:t>
            </w:r>
          </w:p>
        </w:tc>
      </w:tr>
      <w:tr>
        <w:trPr>
          <w:trHeight w:val="283" w:hRule="atLeast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Previous abdominal or pelvic surgery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Binary: yes = 1, no = 0.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-0.16750380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0.846</w:t>
            </w:r>
          </w:p>
        </w:tc>
      </w:tr>
      <w:tr>
        <w:trPr>
          <w:trHeight w:val="283" w:hRule="atLeast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ASA physical status III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Binary: ASA III = 1, ASA I–II = 0.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0.48171916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1.619</w:t>
            </w:r>
          </w:p>
        </w:tc>
      </w:tr>
      <w:tr>
        <w:trPr>
          <w:trHeight w:val="283" w:hRule="atLeast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Preoperative haemoglobin, per 10 g/L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Continuous; haemoglobin divided by 10 before standardization.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-0.54681814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0.579</w:t>
            </w:r>
          </w:p>
        </w:tc>
      </w:tr>
      <w:tr>
        <w:trPr>
          <w:trHeight w:val="283" w:hRule="atLeast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Gastric surgery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Dummy indicator: gastric = 1; colorectal = 0.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0.43842855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1.550</w:t>
            </w:r>
          </w:p>
        </w:tc>
      </w:tr>
      <w:tr>
        <w:trPr>
          <w:trHeight w:val="283" w:hRule="atLeast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Liver surgery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Dummy indicator: liver = 1; colorectal = 0.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1.15139609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3.163</w:t>
            </w:r>
          </w:p>
        </w:tc>
      </w:tr>
      <w:tr>
        <w:trPr>
          <w:trHeight w:val="283" w:hRule="atLeast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Biliary surgery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Dummy indicator: biliary = 1; colorectal = 0.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2.64944331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14.146</w:t>
            </w:r>
          </w:p>
        </w:tc>
      </w:tr>
      <w:tr>
        <w:trPr>
          <w:trHeight w:val="283" w:hRule="atLeast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Pancreatic surgery</w:t>
            </w:r>
          </w:p>
        </w:tc>
        <w:tc>
          <w:tcPr>
            <w:tcW w:w="5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Dummy indicator: pancreatic = 1; colorectal = 0.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1.69129357</w:t>
            </w:r>
          </w:p>
        </w:tc>
        <w:tc>
          <w:tcPr>
            <w:tcW w:w="2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5.426</w:t>
            </w:r>
          </w:p>
        </w:tc>
      </w:tr>
      <w:tr>
        <w:trPr>
          <w:trHeight w:val="283" w:hRule="atLeast"/>
        </w:trPr>
        <w:tc>
          <w:tcPr>
            <w:tcW w:w="33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Gynaecological surgery</w:t>
            </w:r>
          </w:p>
        </w:tc>
        <w:tc>
          <w:tcPr>
            <w:tcW w:w="50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Dummy indicator: gynaecological = 1; colorectal = 0.</w:t>
            </w:r>
          </w:p>
        </w:tc>
        <w:tc>
          <w:tcPr>
            <w:tcW w:w="27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0.21227293</w:t>
            </w:r>
          </w:p>
        </w:tc>
        <w:tc>
          <w:tcPr>
            <w:tcW w:w="28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center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1.236</w:t>
            </w:r>
          </w:p>
        </w:tc>
      </w:tr>
      <w:tr>
        <w:trPr>
          <w:trHeight w:val="1314" w:hRule="atLeast"/>
        </w:trPr>
        <w:tc>
          <w:tcPr>
            <w:tcW w:w="139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Clinical-scale implementation formula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top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LP = 4.26984717 -0.12506332×(age/10) +0.70000603×male +0.87586996×planned_open -0.16750380×previous_surgery +0.48171916×ASA_III -0.54681814×(Hb/10) +0.43842855×gastric +1.15139609×liver +2.64944331×biliary +1.69129357×pancreatic +0.21227293×gynaecological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Predicted probability = 1 / [1 + exp(−LP)]</w:t>
            </w:r>
          </w:p>
          <w:p>
            <w:pPr>
              <w:keepNext w:val="0"/>
              <w:keepLines w:val="0"/>
              <w:widowControl/>
              <w:suppressLineNumbers w:val="0"/>
              <w:shd w:val="clear" w:fill="FFFFFF" w:themeFill="background1"/>
              <w:jc w:val="left"/>
              <w:textAlignment w:val="bottom"/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Carlito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Recommend preoperative crossmatching when predicted probability ≥ 3.83%.</w:t>
            </w:r>
          </w:p>
        </w:tc>
      </w:tr>
    </w:tbl>
    <w:p>
      <w:pPr>
        <w:keepNext/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jc w:val="center"/>
        <w:textAlignment w:val="auto"/>
        <w:rPr>
          <w:rFonts w:hint="default" w:ascii="Times New Roman Regular" w:hAnsi="Times New Roman Regular" w:cs="Times New Roman Regular"/>
          <w:b w:val="0"/>
          <w:bCs/>
          <w:i w:val="0"/>
          <w:color w:val="auto"/>
          <w:sz w:val="20"/>
          <w:szCs w:val="20"/>
          <w:lang w:val="en-US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  <w:r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  <w:t>Supplementary Table S3. Comparison of candidate transfusion-risk model specifications</w:t>
      </w: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  <w:bookmarkStart w:id="0" w:name="_GoBack"/>
      <w:bookmarkEnd w:id="0"/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tbl>
      <w:tblPr>
        <w:tblW w:w="1416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1"/>
        <w:gridCol w:w="1288"/>
        <w:gridCol w:w="2200"/>
        <w:gridCol w:w="1550"/>
        <w:gridCol w:w="1800"/>
        <w:gridCol w:w="1675"/>
        <w:gridCol w:w="1525"/>
        <w:gridCol w:w="1476"/>
      </w:tblGrid>
      <w:tr>
        <w:trPr>
          <w:trHeight w:val="283" w:hRule="atLeast"/>
        </w:trPr>
        <w:tc>
          <w:tcPr>
            <w:tcW w:w="26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Model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Selected C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10-fold CV log loss, mean (SE)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1-SE eligible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Development OOF AUC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Bootstrap-corrected AUC</w:t>
            </w:r>
          </w:p>
        </w:tc>
        <w:tc>
          <w:tcPr>
            <w:tcW w:w="152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Temporal AUC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Temporal Brier</w:t>
            </w:r>
          </w:p>
        </w:tc>
      </w:tr>
      <w:tr>
        <w:trPr>
          <w:trHeight w:val="283" w:hRule="atLeast"/>
        </w:trPr>
        <w:tc>
          <w:tcPr>
            <w:tcW w:w="265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Procedure-only</w:t>
            </w:r>
          </w:p>
        </w:tc>
        <w:tc>
          <w:tcPr>
            <w:tcW w:w="128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0.0464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0.4852 (0.0091)</w:t>
            </w:r>
          </w:p>
        </w:tc>
        <w:tc>
          <w:tcPr>
            <w:tcW w:w="155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0.657</w:t>
            </w:r>
          </w:p>
        </w:tc>
        <w:tc>
          <w:tcPr>
            <w:tcW w:w="16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0.677</w:t>
            </w:r>
          </w:p>
        </w:tc>
        <w:tc>
          <w:tcPr>
            <w:tcW w:w="152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0.622</w:t>
            </w:r>
          </w:p>
        </w:tc>
        <w:tc>
          <w:tcPr>
            <w:tcW w:w="14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0.137</w:t>
            </w:r>
          </w:p>
        </w:tc>
      </w:tr>
      <w:tr>
        <w:trPr>
          <w:trHeight w:val="283" w:hRule="atLeast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Binary anaemia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0.4527 (0.0107)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0.739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0.754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0.713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0.131</w:t>
            </w:r>
          </w:p>
        </w:tc>
      </w:tr>
      <w:tr>
        <w:trPr>
          <w:trHeight w:val="283" w:hRule="atLeast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Continuous haemoglobin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0.4642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0.3952 (0.0116)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0.807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0.812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0.79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0.114</w:t>
            </w:r>
          </w:p>
        </w:tc>
      </w:tr>
      <w:tr>
        <w:trPr>
          <w:trHeight w:val="283" w:hRule="atLeast"/>
        </w:trPr>
        <w:tc>
          <w:tcPr>
            <w:tcW w:w="2651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Haemoglobin RCS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0.3783 (0.0120)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Yes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0.828</w:t>
            </w: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0.833</w:t>
            </w:r>
          </w:p>
        </w:tc>
        <w:tc>
          <w:tcPr>
            <w:tcW w:w="1525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0.811</w:t>
            </w: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0.106</w:t>
            </w:r>
          </w:p>
        </w:tc>
      </w:tr>
      <w:tr>
        <w:trPr>
          <w:trHeight w:val="283" w:hRule="atLeast"/>
        </w:trPr>
        <w:tc>
          <w:tcPr>
            <w:tcW w:w="26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Expanded laboratory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0.4642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0.3985 (0.0117)</w:t>
            </w:r>
          </w:p>
        </w:tc>
        <w:tc>
          <w:tcPr>
            <w:tcW w:w="15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No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0.805</w:t>
            </w: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0.81</w:t>
            </w:r>
          </w:p>
        </w:tc>
        <w:tc>
          <w:tcPr>
            <w:tcW w:w="152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0.788</w:t>
            </w:r>
          </w:p>
        </w:tc>
        <w:tc>
          <w:tcPr>
            <w:tcW w:w="14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0.114</w:t>
            </w:r>
          </w:p>
        </w:tc>
      </w:tr>
    </w:tbl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  <w:r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  <w:t>Supplementary Table S4. Sensitivity analyses of temporal model performance and simulated crossmatching consequences</w:t>
      </w:r>
    </w:p>
    <w:p>
      <w:pPr>
        <w:keepNext w:val="0"/>
        <w:keepLines w:val="0"/>
        <w:widowControl/>
        <w:suppressLineNumbers w:val="0"/>
        <w:shd w:val="clear" w:fill="FFFFFF" w:themeFill="background1"/>
        <w:jc w:val="center"/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</w:pPr>
    </w:p>
    <w:tbl>
      <w:tblPr>
        <w:tblStyle w:val="32"/>
        <w:tblW w:w="146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0"/>
        <w:gridCol w:w="2175"/>
        <w:gridCol w:w="1500"/>
        <w:gridCol w:w="1187"/>
        <w:gridCol w:w="2038"/>
        <w:gridCol w:w="1700"/>
        <w:gridCol w:w="1837"/>
        <w:gridCol w:w="1467"/>
      </w:tblGrid>
      <w:tr>
        <w:trPr>
          <w:trHeight w:val="283" w:hRule="atLeast"/>
          <w:jc w:val="center"/>
        </w:trPr>
        <w:tc>
          <w:tcPr>
            <w:tcW w:w="276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Sensitivity analysis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Locked threshold, %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Temporal AUC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Brier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Calibration intercept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Calibration slope</w:t>
            </w:r>
          </w:p>
        </w:tc>
        <w:tc>
          <w:tcPr>
            <w:tcW w:w="18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Recommended for crossmatching, n/N (%)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  <w:t>Transfusion events below threshold, n</w:t>
            </w:r>
          </w:p>
        </w:tc>
      </w:tr>
      <w:tr>
        <w:trPr>
          <w:trHeight w:val="283" w:hRule="atLeast"/>
          <w:jc w:val="center"/>
        </w:trPr>
        <w:tc>
          <w:tcPr>
            <w:tcW w:w="27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Primary analysis</w:t>
            </w:r>
          </w:p>
        </w:tc>
        <w:tc>
          <w:tcPr>
            <w:tcW w:w="217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3.83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</w:t>
            </w:r>
          </w:p>
        </w:tc>
        <w:tc>
          <w:tcPr>
            <w:tcW w:w="118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0.114</w:t>
            </w:r>
          </w:p>
        </w:tc>
        <w:tc>
          <w:tcPr>
            <w:tcW w:w="203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−0.480</w:t>
            </w:r>
          </w:p>
        </w:tc>
        <w:tc>
          <w:tcPr>
            <w:tcW w:w="17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0.781</w:t>
            </w:r>
          </w:p>
        </w:tc>
        <w:tc>
          <w:tcPr>
            <w:tcW w:w="18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421/527（79.9%）</w:t>
            </w:r>
          </w:p>
        </w:tc>
        <w:tc>
          <w:tcPr>
            <w:tcW w:w="146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rPr>
          <w:trHeight w:val="283" w:hRule="atLeast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Actual/final approach coding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4.42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0.796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0.111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−0.408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0.853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418/527（79.3%）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rPr>
          <w:trHeight w:val="283" w:hRule="atLeast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RCS haemoglobin model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5.62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0.808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0.107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−0.482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0.808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343/527（65.1%）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</w:tr>
      <w:tr>
        <w:trPr>
          <w:trHeight w:val="283" w:hRule="atLeast"/>
          <w:jc w:val="center"/>
        </w:trPr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Expanded laboratory model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4.13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0.788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0.114</w:t>
            </w:r>
          </w:p>
        </w:tc>
        <w:tc>
          <w:tcPr>
            <w:tcW w:w="2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−0.469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0.814</w:t>
            </w:r>
          </w:p>
        </w:tc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432/527（82.0%）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</w:tr>
      <w:tr>
        <w:trPr>
          <w:trHeight w:val="283" w:hRule="atLeast"/>
          <w:jc w:val="center"/>
        </w:trPr>
        <w:tc>
          <w:tcPr>
            <w:tcW w:w="276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left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Excluding unexpected postoperative haemorrhage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3.83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0.799</w:t>
            </w:r>
          </w:p>
        </w:tc>
        <w:tc>
          <w:tcPr>
            <w:tcW w:w="11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0.112</w:t>
            </w:r>
          </w:p>
        </w:tc>
        <w:tc>
          <w:tcPr>
            <w:tcW w:w="203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−0.468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0.807</w:t>
            </w:r>
          </w:p>
        </w:tc>
        <w:tc>
          <w:tcPr>
            <w:tcW w:w="18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421/526（80.0%）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 w:themeFill="background1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 w:val="0"/>
                <w:bCs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</w:tr>
    </w:tbl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  <w:r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  <w:t>Thresholds were derived separately for each model in the 2024 development cohort using the same target-sensitivity procedure and were applied unchanged to the 2025 temporal cohort. In the analysis excluding unexpected postoperative haemorrhage, the primary model coefficients and the 3.83% threshold remained unchanged.</w:t>
      </w: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宋体" w:cs="Times New Roman Regular"/>
          <w:b w:val="0"/>
          <w:bCs/>
          <w:i/>
          <w:color w:val="auto"/>
          <w:sz w:val="20"/>
          <w:szCs w:val="20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i/>
          <w:color w:val="auto"/>
          <w:sz w:val="20"/>
          <w:szCs w:val="20"/>
          <w:lang w:eastAsia="zh-CN"/>
        </w:rPr>
        <w:drawing>
          <wp:inline distT="0" distB="0" distL="114300" distR="114300">
            <wp:extent cx="6125210" cy="3512820"/>
            <wp:effectExtent l="0" t="0" r="21590" b="17780"/>
            <wp:docPr id="1" name="图片 1" descr="Supplementary_Figure_S1_predicted_risk_distribution_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upplementary_Figure_S1_predicted_risk_distribution_600dpi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521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shd w:val="clear" w:fill="FFFFFF" w:themeFill="background1"/>
        <w:jc w:val="left"/>
        <w:rPr>
          <w:rFonts w:hint="default" w:ascii="Times New Roman Regular" w:hAnsi="Times New Roman Regular" w:eastAsia="宋体" w:cs="Times New Roman Regular"/>
          <w:b w:val="0"/>
          <w:bCs/>
          <w:color w:val="auto"/>
          <w:kern w:val="0"/>
          <w:sz w:val="20"/>
          <w:szCs w:val="20"/>
          <w:lang w:val="en-US" w:eastAsia="zh-CN" w:bidi="ar"/>
        </w:rPr>
      </w:pPr>
      <w:r>
        <w:rPr>
          <w:rStyle w:val="133"/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  <w:t>Supplementary Figure S1. Distribution of predicted red-cell transfusion risks according to observed transfusion status in the 2025 temporal evaluation cohort.</w:t>
      </w:r>
      <w:r>
        <w:rPr>
          <w:rFonts w:hint="default" w:ascii="Times New Roman Regular" w:hAnsi="Times New Roman Regular" w:eastAsia="宋体" w:cs="Times New Roman Regular"/>
          <w:b w:val="0"/>
          <w:bCs/>
          <w:color w:val="auto"/>
          <w:kern w:val="0"/>
          <w:sz w:val="20"/>
          <w:szCs w:val="20"/>
          <w:lang w:val="en-US" w:eastAsia="zh-CN" w:bidi="ar"/>
        </w:rPr>
        <w:t xml:space="preserve"> </w:t>
      </w:r>
    </w:p>
    <w:p>
      <w:pPr>
        <w:keepNext w:val="0"/>
        <w:keepLines w:val="0"/>
        <w:widowControl/>
        <w:suppressLineNumbers w:val="0"/>
        <w:shd w:val="clear" w:fill="FFFFFF" w:themeFill="background1"/>
        <w:jc w:val="left"/>
        <w:rPr>
          <w:rFonts w:hint="default" w:ascii="Times New Roman Regular" w:hAnsi="Times New Roman Regular" w:cs="Times New Roman Regular"/>
          <w:b w:val="0"/>
          <w:bCs/>
          <w:color w:val="auto"/>
          <w:sz w:val="20"/>
          <w:szCs w:val="20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color w:val="auto"/>
          <w:kern w:val="0"/>
          <w:sz w:val="20"/>
          <w:szCs w:val="20"/>
          <w:lang w:val="en-US" w:eastAsia="zh-CN" w:bidi="ar"/>
        </w:rPr>
        <w:t>Density curves show the predicted probabilities generated by the primary continuous-haemoglobin Ridge logistic regression model among patients who did and did not receive red-cell transfusion within 72 h of surgery. The shaded area and vertical dashed line indicate the development-locked 3.83% crossmatching threshold. Of 527 patients, 421 had predicted risks at or above the threshold; two of 86 transfusion events occurred below the threshold</w:t>
      </w: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宋体" w:cs="Times New Roman Regular"/>
          <w:b w:val="0"/>
          <w:bCs/>
          <w:i/>
          <w:color w:val="auto"/>
          <w:sz w:val="20"/>
          <w:szCs w:val="20"/>
          <w:lang w:eastAsia="zh-CN"/>
        </w:rPr>
      </w:pPr>
      <w:r>
        <w:rPr>
          <w:rFonts w:hint="default" w:ascii="Times New Roman Regular" w:hAnsi="Times New Roman Regular" w:eastAsia="宋体" w:cs="Times New Roman Regular"/>
          <w:b w:val="0"/>
          <w:bCs/>
          <w:i/>
          <w:color w:val="auto"/>
          <w:sz w:val="20"/>
          <w:szCs w:val="20"/>
          <w:lang w:eastAsia="zh-CN"/>
        </w:rPr>
        <w:drawing>
          <wp:inline distT="0" distB="0" distL="114300" distR="114300">
            <wp:extent cx="6135370" cy="3649980"/>
            <wp:effectExtent l="0" t="0" r="11430" b="7620"/>
            <wp:docPr id="2" name="图片 2" descr="Supplementary_Figure_S2_Hb_association_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upplementary_Figure_S2_Hb_association_600dpi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537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宋体" w:cs="Times New Roman Regular"/>
          <w:b w:val="0"/>
          <w:bCs/>
          <w:color w:val="auto"/>
          <w:kern w:val="0"/>
          <w:sz w:val="20"/>
          <w:szCs w:val="20"/>
          <w:lang w:val="en-US" w:eastAsia="zh-CN" w:bidi="ar"/>
        </w:rPr>
      </w:pPr>
      <w:r>
        <w:rPr>
          <w:rStyle w:val="133"/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  <w:t>Supplementary Figure S2. Association between preoperative haemoglobin and predicted red-cell transfusion risk.</w:t>
      </w:r>
      <w:r>
        <w:rPr>
          <w:rFonts w:hint="default" w:ascii="Times New Roman Bold" w:hAnsi="Times New Roman Bold" w:eastAsia="宋体" w:cs="Times New Roman Bold"/>
          <w:b/>
          <w:bCs w:val="0"/>
          <w:color w:val="auto"/>
          <w:kern w:val="0"/>
          <w:sz w:val="20"/>
          <w:szCs w:val="20"/>
          <w:lang w:val="en-US" w:eastAsia="zh-CN" w:bidi="ar"/>
        </w:rPr>
        <w:br w:type="textWrapping"/>
      </w:r>
      <w:r>
        <w:rPr>
          <w:rFonts w:hint="default" w:ascii="Times New Roman Regular" w:hAnsi="Times New Roman Regular" w:eastAsia="宋体" w:cs="Times New Roman Regular"/>
          <w:b w:val="0"/>
          <w:bCs/>
          <w:color w:val="auto"/>
          <w:kern w:val="0"/>
          <w:sz w:val="20"/>
          <w:szCs w:val="20"/>
          <w:lang w:val="en-US" w:eastAsia="zh-CN" w:bidi="ar"/>
        </w:rPr>
        <w:t>The figure shows marginal predicted probabilities of red-cell transfusion within 72 h across the range of preoperative haemoglobin values for the primary continuous linear-haemoglobin Ridge model and the sensitivity restricted cubic spline (RCS) haemoglobin model. Shaded bands indicate 95% bootstrap confidence intervals. Short tick marks along the x-axis show the distribution of haemoglobin values in the 2024 development cohort. Vertical dashed lines indicate the prespecified RCS knots at 87, 124, and 148 g/L. The spline model suggested modest non-linearity. Comparative model-performance estimates are reported in Supplementary Table S3.</w:t>
      </w:r>
    </w:p>
    <w:p>
      <w:pPr>
        <w:keepLines w:val="0"/>
        <w:pageBreakBefore w:val="0"/>
        <w:widowControl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after="0" w:line="240" w:lineRule="auto"/>
        <w:textAlignment w:val="auto"/>
        <w:rPr>
          <w:rFonts w:hint="default" w:ascii="Times New Roman Regular" w:hAnsi="Times New Roman Regular" w:eastAsia="Times New Roman" w:cs="Times New Roman Regular"/>
          <w:b w:val="0"/>
          <w:bCs/>
          <w:i/>
          <w:color w:val="auto"/>
          <w:sz w:val="20"/>
          <w:szCs w:val="20"/>
        </w:rPr>
      </w:pPr>
    </w:p>
    <w:sectPr>
      <w:pgSz w:w="15840" w:h="12240" w:orient="landscape"/>
      <w:pgMar w:top="648" w:right="648" w:bottom="648" w:left="648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Carlito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E9FDAE5"/>
    <w:rsid w:val="3B3EC714"/>
    <w:rsid w:val="43D7957D"/>
    <w:rsid w:val="53F651A9"/>
    <w:rsid w:val="58CE7905"/>
    <w:rsid w:val="69F98C88"/>
    <w:rsid w:val="6EFACCBE"/>
    <w:rsid w:val="77D587EF"/>
    <w:rsid w:val="78FF32DD"/>
    <w:rsid w:val="7B7FFAB8"/>
    <w:rsid w:val="7E7E4EE7"/>
    <w:rsid w:val="7ED269C1"/>
    <w:rsid w:val="7F2F68AE"/>
    <w:rsid w:val="7F3F835C"/>
    <w:rsid w:val="7FF96FED"/>
    <w:rsid w:val="A5F3D6D2"/>
    <w:rsid w:val="B7ED7ACF"/>
    <w:rsid w:val="BFF3106A"/>
    <w:rsid w:val="D17F8BFE"/>
    <w:rsid w:val="DFEDA0CF"/>
    <w:rsid w:val="DFFFF63A"/>
    <w:rsid w:val="F8F7E57F"/>
    <w:rsid w:val="F8F9B8AE"/>
    <w:rsid w:val="F9CFFB8B"/>
    <w:rsid w:val="FBFE17AB"/>
    <w:rsid w:val="FBFF9A50"/>
    <w:rsid w:val="FDBFF7C8"/>
    <w:rsid w:val="FDDDCE7E"/>
    <w:rsid w:val="FFE139A5"/>
    <w:rsid w:val="FFEFDFFD"/>
    <w:rsid w:val="FFFD7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240" w:lineRule="auto"/>
    </w:pPr>
    <w:rPr>
      <w:rFonts w:ascii="Times New Roman" w:hAnsi="Times New Roman" w:eastAsia="Times New Roman" w:cstheme="minorBidi"/>
      <w:sz w:val="16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64">
    <w:name w:val="font11"/>
    <w:basedOn w:val="132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65">
    <w:name w:val="font01"/>
    <w:basedOn w:val="132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Office_6.5.0.8619_F1E327BC-269C-435d-A152-05C5408002CA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2013-12-24T11:15:00Z</dcterms:created>
  <dc:creator>静静</dc:creator>
  <cp:lastModifiedBy>静静</cp:lastModifiedBy>
  <dcterms:modified xsi:type="dcterms:W3CDTF">2026-07-17T20:25:30Z</dcterms:modified>
  <dc:title>Supplementary Tables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A22A49928C81467402CA576A3557628D_43</vt:lpwstr>
  </property>
</Properties>
</file>