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D1AA">
      <w:pPr>
        <w:pStyle w:val="13"/>
        <w:spacing w:line="400" w:lineRule="exact"/>
        <w:ind w:left="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Self-Powered UV Photodetector Based on Zr-Doped TiO</w:t>
      </w:r>
      <w:r>
        <w:rPr>
          <w:rFonts w:hint="eastAsia" w:cs="Times New Roman"/>
          <w:b/>
          <w:bCs/>
          <w:color w:val="000000"/>
          <w:sz w:val="32"/>
          <w:szCs w:val="32"/>
          <w:vertAlign w:val="subscript"/>
        </w:rPr>
        <w:t>2</w:t>
      </w:r>
      <w:r>
        <w:rPr>
          <w:rFonts w:cs="Times New Roman"/>
          <w:b/>
          <w:bCs/>
          <w:color w:val="000000"/>
          <w:sz w:val="32"/>
          <w:szCs w:val="32"/>
        </w:rPr>
        <w:t xml:space="preserve"> Nanorod Arrays with Improved Photoelectrochemical Performance</w:t>
      </w:r>
    </w:p>
    <w:p w14:paraId="6A616203">
      <w:pPr>
        <w:widowControl/>
        <w:spacing w:before="312" w:beforeLines="100"/>
        <w:jc w:val="center"/>
        <w:rPr>
          <w:i w:val="0"/>
          <w:iCs w:val="0"/>
          <w:kern w:val="0"/>
          <w:sz w:val="28"/>
          <w:szCs w:val="28"/>
        </w:rPr>
      </w:pPr>
      <w:r>
        <w:rPr>
          <w:rFonts w:hint="eastAsia"/>
          <w:i w:val="0"/>
          <w:iCs w:val="0"/>
          <w:kern w:val="0"/>
          <w:sz w:val="28"/>
          <w:szCs w:val="28"/>
        </w:rPr>
        <w:t>Junqin</w:t>
      </w:r>
      <w:r>
        <w:rPr>
          <w:i w:val="0"/>
          <w:iCs w:val="0"/>
          <w:kern w:val="0"/>
          <w:sz w:val="28"/>
          <w:szCs w:val="28"/>
        </w:rPr>
        <w:t xml:space="preserve"> </w:t>
      </w:r>
      <w:r>
        <w:rPr>
          <w:rFonts w:hint="eastAsia"/>
          <w:i w:val="0"/>
          <w:iCs w:val="0"/>
          <w:kern w:val="0"/>
          <w:sz w:val="28"/>
          <w:szCs w:val="28"/>
        </w:rPr>
        <w:t>Chang</w:t>
      </w:r>
      <w:r>
        <w:rPr>
          <w:i w:val="0"/>
          <w:iCs w:val="0"/>
          <w:kern w:val="0"/>
          <w:sz w:val="28"/>
          <w:szCs w:val="28"/>
          <w:vertAlign w:val="superscript"/>
        </w:rPr>
        <w:t>a</w:t>
      </w:r>
      <w:r>
        <w:rPr>
          <w:i w:val="0"/>
          <w:iCs w:val="0"/>
          <w:kern w:val="0"/>
          <w:sz w:val="28"/>
          <w:szCs w:val="28"/>
        </w:rPr>
        <w:t>, Yun Li</w:t>
      </w:r>
      <w:r>
        <w:rPr>
          <w:i w:val="0"/>
          <w:iCs w:val="0"/>
          <w:kern w:val="0"/>
          <w:sz w:val="28"/>
          <w:szCs w:val="28"/>
          <w:vertAlign w:val="superscript"/>
        </w:rPr>
        <w:t>a</w:t>
      </w:r>
      <w:r>
        <w:rPr>
          <w:i w:val="0"/>
          <w:iCs w:val="0"/>
          <w:kern w:val="0"/>
          <w:sz w:val="28"/>
          <w:szCs w:val="28"/>
        </w:rPr>
        <w:t>,</w:t>
      </w:r>
      <w:r>
        <w:rPr>
          <w:rFonts w:hint="eastAsia"/>
          <w:i w:val="0"/>
          <w:iCs w:val="0"/>
          <w:kern w:val="0"/>
          <w:sz w:val="28"/>
          <w:szCs w:val="28"/>
        </w:rPr>
        <w:t xml:space="preserve"> Jianlong Zhang</w:t>
      </w:r>
      <w:r>
        <w:rPr>
          <w:i w:val="0"/>
          <w:iCs w:val="0"/>
          <w:kern w:val="0"/>
          <w:sz w:val="28"/>
          <w:szCs w:val="28"/>
          <w:vertAlign w:val="superscript"/>
        </w:rPr>
        <w:t>a</w:t>
      </w:r>
      <w:r>
        <w:rPr>
          <w:i w:val="0"/>
          <w:iCs w:val="0"/>
          <w:kern w:val="0"/>
          <w:sz w:val="28"/>
          <w:szCs w:val="28"/>
        </w:rPr>
        <w:t>,</w:t>
      </w:r>
      <w:r>
        <w:rPr>
          <w:rFonts w:hint="eastAsia"/>
          <w:i w:val="0"/>
          <w:iCs w:val="0"/>
          <w:kern w:val="0"/>
          <w:sz w:val="28"/>
          <w:szCs w:val="28"/>
        </w:rPr>
        <w:t xml:space="preserve"> Mingliang Ma</w:t>
      </w:r>
      <w:r>
        <w:rPr>
          <w:i w:val="0"/>
          <w:iCs w:val="0"/>
          <w:kern w:val="0"/>
          <w:sz w:val="28"/>
          <w:szCs w:val="28"/>
          <w:vertAlign w:val="superscript"/>
        </w:rPr>
        <w:t>a</w:t>
      </w:r>
      <w:r>
        <w:rPr>
          <w:i w:val="0"/>
          <w:iCs w:val="0"/>
          <w:kern w:val="0"/>
          <w:sz w:val="28"/>
          <w:szCs w:val="28"/>
        </w:rPr>
        <w:t>,</w:t>
      </w:r>
      <w:r>
        <w:rPr>
          <w:rFonts w:hint="eastAsia"/>
          <w:i w:val="0"/>
          <w:iCs w:val="0"/>
          <w:kern w:val="0"/>
          <w:sz w:val="28"/>
          <w:szCs w:val="28"/>
          <w:lang w:val="en-US" w:eastAsia="zh-CN"/>
        </w:rPr>
        <w:t xml:space="preserve"> Long Wang</w:t>
      </w:r>
      <w:r>
        <w:rPr>
          <w:rFonts w:hint="eastAsia"/>
          <w:i w:val="0"/>
          <w:iCs w:val="0"/>
          <w:kern w:val="0"/>
          <w:sz w:val="28"/>
          <w:szCs w:val="28"/>
          <w:vertAlign w:val="superscript"/>
          <w:lang w:val="en-US" w:eastAsia="zh-CN"/>
        </w:rPr>
        <w:t>a</w:t>
      </w:r>
      <w:r>
        <w:rPr>
          <w:rFonts w:hint="eastAsia"/>
          <w:i w:val="0"/>
          <w:iCs w:val="0"/>
          <w:kern w:val="0"/>
          <w:sz w:val="28"/>
          <w:szCs w:val="28"/>
          <w:vertAlign w:val="baseline"/>
          <w:lang w:val="en-US" w:eastAsia="zh-CN"/>
        </w:rPr>
        <w:t>,</w:t>
      </w:r>
      <w:r>
        <w:rPr>
          <w:rFonts w:hint="eastAsia"/>
          <w:i w:val="0"/>
          <w:iCs w:val="0"/>
          <w:kern w:val="0"/>
          <w:sz w:val="28"/>
          <w:szCs w:val="28"/>
        </w:rPr>
        <w:t xml:space="preserve"> </w:t>
      </w:r>
      <w:r>
        <w:rPr>
          <w:i w:val="0"/>
          <w:iCs w:val="0"/>
          <w:kern w:val="0"/>
          <w:sz w:val="28"/>
          <w:szCs w:val="28"/>
        </w:rPr>
        <w:t>Na Wang</w:t>
      </w:r>
      <w:r>
        <w:rPr>
          <w:i w:val="0"/>
          <w:iCs w:val="0"/>
          <w:kern w:val="0"/>
          <w:sz w:val="28"/>
          <w:szCs w:val="28"/>
          <w:vertAlign w:val="superscript"/>
        </w:rPr>
        <w:t>a,*</w:t>
      </w:r>
      <w:bookmarkStart w:id="2" w:name="_GoBack"/>
      <w:bookmarkEnd w:id="2"/>
    </w:p>
    <w:p w14:paraId="34FA05A7">
      <w:pPr>
        <w:widowControl/>
        <w:spacing w:before="624" w:beforeLines="200"/>
        <w:jc w:val="center"/>
        <w:rPr>
          <w:szCs w:val="24"/>
        </w:rPr>
      </w:pPr>
      <w:r>
        <w:rPr>
          <w:kern w:val="0"/>
          <w:szCs w:val="24"/>
          <w:vertAlign w:val="superscript"/>
        </w:rPr>
        <w:t>a</w:t>
      </w:r>
      <w:r>
        <w:rPr>
          <w:kern w:val="0"/>
          <w:szCs w:val="24"/>
        </w:rPr>
        <w:t>School of Electronic and Electrical Engineering, Ningxia University, Yinchuan 750021, China</w:t>
      </w:r>
    </w:p>
    <w:p w14:paraId="76B7951B">
      <w:pPr>
        <w:widowControl/>
        <w:autoSpaceDE w:val="0"/>
        <w:spacing w:before="1560" w:beforeLines="500"/>
        <w:rPr>
          <w:kern w:val="0"/>
          <w:szCs w:val="24"/>
        </w:rPr>
      </w:pPr>
      <w:r>
        <w:rPr>
          <w:kern w:val="0"/>
          <w:szCs w:val="24"/>
          <w:vertAlign w:val="superscript"/>
        </w:rPr>
        <w:t>*</w:t>
      </w:r>
      <w:r>
        <w:rPr>
          <w:kern w:val="0"/>
          <w:szCs w:val="24"/>
        </w:rPr>
        <w:t xml:space="preserve">Corresponding authors. </w:t>
      </w:r>
    </w:p>
    <w:p w14:paraId="7BE02AE9">
      <w:pPr>
        <w:pStyle w:val="13"/>
        <w:spacing w:line="400" w:lineRule="exact"/>
        <w:ind w:left="0"/>
        <w:rPr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kern w:val="0"/>
          <w:szCs w:val="24"/>
        </w:rPr>
        <w:t xml:space="preserve">Email addresses: </w:t>
      </w:r>
      <w:bookmarkStart w:id="0" w:name="_Hlk204040232"/>
      <w:bookmarkEnd w:id="0"/>
      <w:r>
        <w:rPr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nwang@nxu.edu.cn (N.</w:t>
      </w:r>
      <w:r>
        <w:rPr>
          <w:rFonts w:hint="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Wang)</w:t>
      </w:r>
    </w:p>
    <w:p w14:paraId="7DC4B918">
      <w:pPr>
        <w:widowControl/>
        <w:jc w:val="left"/>
        <w:rPr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6E6F8292">
      <w:pPr>
        <w:pStyle w:val="13"/>
        <w:spacing w:line="400" w:lineRule="exact"/>
        <w:ind w:left="0"/>
        <w:rPr>
          <w:b/>
          <w:bCs/>
        </w:rPr>
      </w:pPr>
      <w:r>
        <w:rPr>
          <w:rFonts w:hint="eastAsia" w:cs="Times New Roman"/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J</w:t>
      </w:r>
      <w:r>
        <w:rPr>
          <w:rFonts w:hint="eastAsia"/>
          <w:b/>
          <w:bCs/>
          <w:i/>
          <w:iCs/>
        </w:rPr>
        <w:t>-</w:t>
      </w:r>
      <w:r>
        <w:rPr>
          <w:b/>
          <w:bCs/>
          <w:i/>
          <w:iCs/>
        </w:rPr>
        <w:t xml:space="preserve">V </w:t>
      </w:r>
      <w:r>
        <w:rPr>
          <w:b/>
          <w:bCs/>
        </w:rPr>
        <w:t xml:space="preserve">and </w:t>
      </w:r>
      <w:r>
        <w:rPr>
          <w:b/>
          <w:bCs/>
          <w:i/>
          <w:iCs/>
        </w:rPr>
        <w:t>P</w:t>
      </w:r>
      <w:r>
        <w:rPr>
          <w:rFonts w:hint="eastAsia"/>
          <w:b/>
          <w:bCs/>
          <w:i/>
          <w:iCs/>
        </w:rPr>
        <w:t>-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c</w:t>
      </w:r>
      <w:r>
        <w:rPr>
          <w:b/>
          <w:bCs/>
        </w:rPr>
        <w:t xml:space="preserve">haracteristics of </w:t>
      </w:r>
      <w:r>
        <w:rPr>
          <w:rFonts w:hint="eastAsia"/>
          <w:b/>
          <w:bCs/>
        </w:rPr>
        <w:t>d</w:t>
      </w:r>
      <w:r>
        <w:rPr>
          <w:b/>
          <w:bCs/>
        </w:rPr>
        <w:t>evices</w:t>
      </w:r>
    </w:p>
    <w:p w14:paraId="46F0FE78">
      <w:pPr>
        <w:pStyle w:val="14"/>
        <w:spacing w:before="0" w:beforeAutospacing="0" w:after="0" w:afterAutospacing="0" w:line="400" w:lineRule="exact"/>
        <w:ind w:firstLine="42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Figure S1 presents the current density</w:t>
      </w:r>
      <w:r>
        <w:rPr>
          <w:rFonts w:hint="eastAsia"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voltage (</w:t>
      </w:r>
      <w:r>
        <w:rPr>
          <w:rFonts w:ascii="Times New Roman" w:hAnsi="Times New Roman" w:cs="Times New Roman"/>
          <w:i/>
          <w:iCs/>
        </w:rPr>
        <w:t>J</w:t>
      </w:r>
      <w:r>
        <w:rPr>
          <w:rFonts w:hint="eastAsia"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</w:rPr>
        <w:t>) and power density</w:t>
      </w:r>
      <w:r>
        <w:rPr>
          <w:rFonts w:hint="eastAsia"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voltage (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hint="eastAsia"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</w:rPr>
        <w:t xml:space="preserve">) characteristics of EUVPD devices based on TNRAs, Zr-TNRAs-1, Zr-TNRAs-2, and Zr-TNRAs-3. The photovoltaic output performance of all devices was evaluated under 365 nm UV illumination, and the corresponding power conversion behavior was extracted from the </w:t>
      </w:r>
      <w:r>
        <w:rPr>
          <w:rFonts w:ascii="Times New Roman" w:hAnsi="Times New Roman" w:cs="Times New Roman"/>
          <w:i/>
          <w:iCs/>
        </w:rPr>
        <w:t>J</w:t>
      </w:r>
      <w:r>
        <w:rPr>
          <w:rFonts w:hint="eastAsia"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</w:rPr>
        <w:t xml:space="preserve"> curves. Among all samples, the Zr-TNRAs-2-based device exhibits the highest power output and short-circuit current density, consistent with the trend observed in the main tex</w:t>
      </w:r>
      <w:r>
        <w:rPr>
          <w:rFonts w:hint="eastAsia" w:ascii="Times New Roman" w:hAnsi="Times New Roman" w:cs="Times New Roman"/>
        </w:rPr>
        <w:t>.</w:t>
      </w:r>
    </w:p>
    <w:p w14:paraId="265F1CEF">
      <w:pPr>
        <w:pStyle w:val="13"/>
        <w:ind w:left="0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drawing>
          <wp:inline distT="0" distB="0" distL="114300" distR="114300">
            <wp:extent cx="5267960" cy="2068830"/>
            <wp:effectExtent l="0" t="0" r="5080" b="3810"/>
            <wp:docPr id="1" name="图片 1" descr="fi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OLE_LINK1"/>
    </w:p>
    <w:bookmarkEnd w:id="1"/>
    <w:p w14:paraId="29E5C069">
      <w:pPr>
        <w:pStyle w:val="1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Style w:val="12"/>
          <w:rFonts w:ascii="Times New Roman" w:hAnsi="Times New Roman" w:cs="Times New Roman"/>
          <w:sz w:val="21"/>
          <w:szCs w:val="21"/>
        </w:rPr>
        <w:t xml:space="preserve">Figure S1. </w:t>
      </w:r>
      <w:r>
        <w:rPr>
          <w:rFonts w:ascii="Times New Roman" w:hAnsi="Times New Roman" w:cs="Times New Roman"/>
          <w:sz w:val="21"/>
          <w:szCs w:val="21"/>
        </w:rPr>
        <w:t xml:space="preserve">(a) </w:t>
      </w:r>
      <w:r>
        <w:rPr>
          <w:rFonts w:hint="eastAsia" w:ascii="Times New Roman" w:hAnsi="Times New Roman" w:cs="Times New Roman"/>
          <w:i/>
          <w:iCs/>
          <w:sz w:val="21"/>
          <w:szCs w:val="21"/>
        </w:rPr>
        <w:t>J-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V </w:t>
      </w:r>
      <w:r>
        <w:rPr>
          <w:rFonts w:ascii="Times New Roman" w:hAnsi="Times New Roman" w:cs="Times New Roman"/>
          <w:sz w:val="21"/>
          <w:szCs w:val="21"/>
        </w:rPr>
        <w:t>curves of TNRAs and Zr-TNRAs-based devices</w:t>
      </w:r>
      <w:r>
        <w:rPr>
          <w:rFonts w:hint="eastAsia" w:ascii="Times New Roman" w:hAnsi="Times New Roman" w:cs="Times New Roman"/>
          <w:sz w:val="21"/>
          <w:szCs w:val="21"/>
        </w:rPr>
        <w:t>;</w:t>
      </w:r>
      <w:r>
        <w:rPr>
          <w:rFonts w:ascii="Times New Roman" w:hAnsi="Times New Roman" w:cs="Times New Roman"/>
          <w:sz w:val="21"/>
          <w:szCs w:val="21"/>
        </w:rPr>
        <w:t xml:space="preserve"> (b) </w:t>
      </w:r>
      <w:r>
        <w:rPr>
          <w:rFonts w:ascii="Times New Roman" w:hAnsi="Times New Roman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cs="Times New Roman"/>
          <w:i/>
          <w:iCs/>
          <w:sz w:val="21"/>
          <w:szCs w:val="21"/>
        </w:rPr>
        <w:t>-</w:t>
      </w:r>
      <w:r>
        <w:rPr>
          <w:rFonts w:ascii="Times New Roman" w:hAnsi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 xml:space="preserve"> curves of the corresponding devices.</w:t>
      </w:r>
    </w:p>
    <w:p w14:paraId="6E134FD6">
      <w:pPr>
        <w:pStyle w:val="13"/>
        <w:spacing w:line="400" w:lineRule="exact"/>
        <w:ind w:left="0"/>
        <w:rPr>
          <w:b/>
          <w:bCs/>
        </w:rPr>
      </w:pPr>
      <w:r>
        <w:rPr>
          <w:rFonts w:hint="eastAsia" w:cs="Times New Roman"/>
          <w:b/>
          <w:bCs/>
        </w:rPr>
        <w:t>2.</w:t>
      </w:r>
      <w:r>
        <w:rPr>
          <w:b/>
          <w:bCs/>
        </w:rPr>
        <w:t xml:space="preserve"> Photocurrent </w:t>
      </w:r>
      <w:r>
        <w:rPr>
          <w:rFonts w:hint="eastAsia"/>
          <w:b/>
          <w:bCs/>
        </w:rPr>
        <w:t>r</w:t>
      </w:r>
      <w:r>
        <w:rPr>
          <w:b/>
          <w:bCs/>
        </w:rPr>
        <w:t xml:space="preserve">esponse under </w:t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ifferent UV </w:t>
      </w:r>
      <w:r>
        <w:rPr>
          <w:rFonts w:hint="eastAsia"/>
          <w:b/>
          <w:bCs/>
        </w:rPr>
        <w:t>i</w:t>
      </w:r>
      <w:r>
        <w:rPr>
          <w:b/>
          <w:bCs/>
        </w:rPr>
        <w:t>rradiance</w:t>
      </w:r>
    </w:p>
    <w:p w14:paraId="75EAC0D2">
      <w:pPr>
        <w:pStyle w:val="13"/>
        <w:spacing w:line="400" w:lineRule="exact"/>
        <w:ind w:left="0" w:firstLine="420"/>
      </w:pPr>
      <w:r>
        <w:t>Figure S2 shows the photocurrent density responses of devices based on (a) TNRAs, (b) Zr-TNRAs-1, (c) Zr-TNRAs-2, and (d) Zr-TNRAs-3 under different UV irradiation intensities.</w:t>
      </w:r>
      <w:r>
        <w:rPr>
          <w:rFonts w:hint="eastAsia"/>
        </w:rPr>
        <w:t xml:space="preserve"> </w:t>
      </w:r>
      <w:r>
        <w:t>All devices exhibit stable and repeatable photocurrent switching behavior under varying light intensities, indicating good photoresponse stability and reproducibility.</w:t>
      </w:r>
    </w:p>
    <w:p w14:paraId="49F430B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843020"/>
            <wp:effectExtent l="0" t="0" r="6985" b="12700"/>
            <wp:docPr id="2" name="图片 2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D18F9">
      <w:pPr>
        <w:pStyle w:val="1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Style w:val="12"/>
          <w:rFonts w:ascii="Times New Roman" w:hAnsi="Times New Roman" w:cs="Times New Roman"/>
          <w:sz w:val="21"/>
          <w:szCs w:val="21"/>
        </w:rPr>
        <w:t xml:space="preserve">Figure S2. </w:t>
      </w:r>
      <w:r>
        <w:rPr>
          <w:rStyle w:val="12"/>
          <w:rFonts w:ascii="Times New Roman" w:hAnsi="Times New Roman" w:cs="Times New Roman"/>
          <w:b w:val="0"/>
          <w:bCs w:val="0"/>
          <w:sz w:val="21"/>
          <w:szCs w:val="21"/>
        </w:rPr>
        <w:t>Photocurrent density responses of EUVPD devices under different UV irradiation intensities.</w:t>
      </w:r>
      <w:r>
        <w:rPr>
          <w:rStyle w:val="12"/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(a) TNRAs-based device</w:t>
      </w:r>
      <w:r>
        <w:rPr>
          <w:rFonts w:hint="eastAsia" w:ascii="Times New Roman" w:hAnsi="Times New Roman" w:cs="Times New Roman"/>
          <w:sz w:val="21"/>
          <w:szCs w:val="21"/>
        </w:rPr>
        <w:t>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sz w:val="21"/>
          <w:szCs w:val="21"/>
        </w:rPr>
        <w:t>b) Zr-TNRAs-1-based device</w:t>
      </w:r>
      <w:r>
        <w:rPr>
          <w:rFonts w:hint="eastAsia" w:ascii="Times New Roman" w:hAnsi="Times New Roman" w:cs="Times New Roman"/>
          <w:sz w:val="21"/>
          <w:szCs w:val="21"/>
        </w:rPr>
        <w:t xml:space="preserve">; </w:t>
      </w:r>
      <w:r>
        <w:rPr>
          <w:rFonts w:ascii="Times New Roman" w:hAnsi="Times New Roman" w:cs="Times New Roman"/>
          <w:sz w:val="21"/>
          <w:szCs w:val="21"/>
        </w:rPr>
        <w:t>(c) Zr-TNRAs-2-based device</w:t>
      </w:r>
      <w:r>
        <w:rPr>
          <w:rFonts w:hint="eastAsia" w:ascii="Times New Roman" w:hAnsi="Times New Roman" w:cs="Times New Roman"/>
          <w:sz w:val="21"/>
          <w:szCs w:val="21"/>
        </w:rPr>
        <w:t xml:space="preserve">; </w:t>
      </w:r>
      <w:r>
        <w:rPr>
          <w:rFonts w:ascii="Times New Roman" w:hAnsi="Times New Roman" w:cs="Times New Roman"/>
          <w:sz w:val="21"/>
          <w:szCs w:val="21"/>
        </w:rPr>
        <w:t>(d) Zr-TNRAs-3-based device.</w:t>
      </w:r>
    </w:p>
    <w:p w14:paraId="03B3C90D">
      <w:pPr>
        <w:spacing w:line="400" w:lineRule="exact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 xml:space="preserve">3. </w:t>
      </w:r>
      <w:r>
        <w:rPr>
          <w:rFonts w:cs="Times New Roman"/>
          <w:b/>
          <w:bCs/>
        </w:rPr>
        <w:t xml:space="preserve">Calculation of </w:t>
      </w:r>
      <w:r>
        <w:rPr>
          <w:rFonts w:hint="eastAsia"/>
          <w:b/>
          <w:bCs/>
        </w:rPr>
        <w:t>p</w:t>
      </w:r>
      <w:r>
        <w:rPr>
          <w:b/>
          <w:bCs/>
        </w:rPr>
        <w:t xml:space="preserve">hotodetector </w:t>
      </w:r>
      <w:r>
        <w:rPr>
          <w:rFonts w:hint="eastAsia"/>
          <w:b/>
          <w:bCs/>
        </w:rPr>
        <w:t>p</w:t>
      </w:r>
      <w:r>
        <w:rPr>
          <w:b/>
          <w:bCs/>
        </w:rPr>
        <w:t>erformance</w:t>
      </w:r>
      <w:r>
        <w:rPr>
          <w:rFonts w:cs="Times New Roman"/>
          <w:b/>
          <w:bCs/>
        </w:rPr>
        <w:t xml:space="preserve"> </w:t>
      </w:r>
      <w:r>
        <w:rPr>
          <w:rFonts w:hint="eastAsia" w:cs="Times New Roman"/>
          <w:b/>
          <w:bCs/>
        </w:rPr>
        <w:t>p</w:t>
      </w:r>
      <w:r>
        <w:rPr>
          <w:rFonts w:cs="Times New Roman"/>
          <w:b/>
          <w:bCs/>
        </w:rPr>
        <w:t>arameters</w:t>
      </w:r>
    </w:p>
    <w:p w14:paraId="23349ADE">
      <w:pPr>
        <w:spacing w:line="400" w:lineRule="exact"/>
        <w:ind w:firstLine="420"/>
        <w:rPr>
          <w:rFonts w:cs="Times New Roman"/>
          <w:b/>
          <w:bCs/>
        </w:rPr>
      </w:pPr>
      <w:r>
        <w:t>The key performance parameters of the UV photodetectors are calculated as follows:</w:t>
      </w:r>
    </w:p>
    <w:p w14:paraId="3425F165">
      <w:pPr>
        <w:spacing w:line="40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>(1) Responsivity (R)</w:t>
      </w:r>
    </w:p>
    <w:p w14:paraId="2EAA72C1">
      <w:pPr>
        <w:spacing w:line="240" w:lineRule="atLeast"/>
        <w:rPr>
          <w:rFonts w:cs="Times New Roman"/>
        </w:rPr>
      </w:pPr>
      <m:oMathPara>
        <m:oMath>
          <m:r>
            <m:rPr/>
            <w:rPr>
              <w:rFonts w:ascii="Cambria Math" w:hAnsi="Cambria Math" w:cs="Times New Roman"/>
            </w:rPr>
            <m:t>R=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</w:rPr>
                    <m:t>I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</w:rPr>
                    <m:t>p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ctrlPr>
                <w:rPr>
                  <w:rFonts w:ascii="Cambria Math" w:hAnsi="Cambria Math" w:cs="Times New Roman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</w:rPr>
                    <m:t>P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cs="Times New Roman"/>
                      <w:b w:val="0"/>
                      <w:i w:val="0"/>
                    </w:rPr>
                    <m:t>in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ctrlPr>
                <w:rPr>
                  <w:rFonts w:ascii="Cambria Math" w:hAnsi="Cambria Math" w:cs="Times New Roman"/>
                </w:rPr>
              </m:ctrlPr>
            </m:den>
          </m:f>
        </m:oMath>
      </m:oMathPara>
    </w:p>
    <w:p w14:paraId="5C011F64">
      <w:pPr>
        <w:spacing w:line="400" w:lineRule="exact"/>
        <w:ind w:firstLine="420"/>
        <w:rPr>
          <w:rFonts w:cs="Times New Roman"/>
          <w:b/>
          <w:bCs/>
        </w:r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ph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is the photocurrent,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in</m:t>
            </m:r>
            <m:ctrlPr>
              <w:rPr>
                <w:rFonts w:ascii="Cambria Math" w:hAnsi="Cambria Math"/>
              </w:rPr>
            </m:ctrlPr>
          </m:sub>
        </m:sSub>
        <m:r>
          <m:rPr/>
          <w:rPr>
            <w:rFonts w:ascii="Cambria Math" w:hAnsi="Cambria Math"/>
          </w:rPr>
          <m:t>=E×A</m:t>
        </m:r>
      </m:oMath>
      <w:r>
        <w:t xml:space="preserve">is the incident optical power, with </w:t>
      </w:r>
      <m:oMath>
        <m:r>
          <m:rPr/>
          <w:rPr>
            <w:rFonts w:ascii="Cambria Math" w:hAnsi="Cambria Math"/>
          </w:rPr>
          <m:t>E</m:t>
        </m:r>
      </m:oMath>
      <w:r>
        <w:t xml:space="preserve">being the irradiation intensity (W cm⁻²) and </w:t>
      </w:r>
      <m:oMath>
        <m:r>
          <m:rPr/>
          <w:rPr>
            <w:rFonts w:ascii="Cambria Math" w:hAnsi="Cambria Math"/>
          </w:rPr>
          <m:t>A</m:t>
        </m:r>
      </m:oMath>
      <w:r>
        <w:t>the illuminated area (cm²).</w:t>
      </w:r>
      <w:r>
        <w:rPr>
          <w:rFonts w:cs="Times New Roman"/>
          <w:b/>
          <w:bCs/>
        </w:rPr>
        <w:t xml:space="preserve"> </w:t>
      </w:r>
    </w:p>
    <w:p w14:paraId="321E31E5">
      <w:pPr>
        <w:spacing w:line="40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>(2) On/Off Ratio</w:t>
      </w:r>
      <w:r>
        <w:rPr>
          <w:rFonts w:hint="eastAsia" w:cs="Times New Roman"/>
          <w:b/>
          <w:bCs/>
        </w:rPr>
        <w:t xml:space="preserve"> (</w:t>
      </w:r>
      <w:r>
        <w:rPr>
          <w:rFonts w:cs="Times New Roman"/>
          <w:b/>
          <w:bCs/>
          <w:i/>
          <w:iCs/>
        </w:rPr>
        <w:t>S</w:t>
      </w:r>
      <w:r>
        <w:rPr>
          <w:rFonts w:cs="Times New Roman"/>
          <w:b/>
          <w:bCs/>
        </w:rPr>
        <w:t>)</w:t>
      </w:r>
    </w:p>
    <w:p w14:paraId="4B6CED9D">
      <w:pPr>
        <w:spacing w:line="240" w:lineRule="atLeast"/>
        <w:rPr>
          <w:rFonts w:cs="Times New Roman"/>
        </w:rPr>
      </w:pPr>
      <m:oMathPara>
        <m:oMath>
          <m:r>
            <m:rPr/>
            <w:rPr>
              <w:rFonts w:ascii="Cambria Math" w:hAnsi="Cambria Math" w:cs="Times New Roman"/>
            </w:rPr>
            <m:t>S=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</w:rPr>
                    <m:t>I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</w:rPr>
                    <m:t>p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ctrlPr>
                <w:rPr>
                  <w:rFonts w:ascii="Cambria Math" w:hAnsi="Cambria Math" w:cs="Times New Roman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</w:rPr>
                    <m:t>I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</w:rPr>
                    <m:t>d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ctrlPr>
                <w:rPr>
                  <w:rFonts w:ascii="Cambria Math" w:hAnsi="Cambria Math" w:cs="Times New Roman"/>
                </w:rPr>
              </m:ctrlPr>
            </m:den>
          </m:f>
        </m:oMath>
      </m:oMathPara>
    </w:p>
    <w:p w14:paraId="2CE48E8E">
      <w:pPr>
        <w:spacing w:line="400" w:lineRule="exact"/>
        <w:ind w:firstLine="420"/>
        <w:rPr>
          <w:rFonts w:cs="Times New Roman"/>
          <w:b/>
          <w:bCs/>
        </w:r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</w:rPr>
            </m:ctrlPr>
          </m:sub>
        </m:sSub>
      </m:oMath>
      <w:r>
        <w:t>are the photocurrent and dark current, respectively.</w:t>
      </w:r>
      <w:r>
        <w:rPr>
          <w:rFonts w:cs="Times New Roman"/>
          <w:b/>
          <w:bCs/>
        </w:rPr>
        <w:t xml:space="preserve"> </w:t>
      </w:r>
    </w:p>
    <w:p w14:paraId="573DB45A">
      <w:pPr>
        <w:spacing w:line="40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>(3) Response Time</w:t>
      </w:r>
    </w:p>
    <w:p w14:paraId="753CC792">
      <w:pPr>
        <w:spacing w:line="400" w:lineRule="exact"/>
        <w:ind w:firstLine="420"/>
        <w:rPr>
          <w:rFonts w:cs="Times New Roman"/>
        </w:rPr>
      </w:pPr>
      <w:r>
        <w:rPr>
          <w:rFonts w:cs="Times New Roman"/>
        </w:rPr>
        <w:t>The rise time is defined as the time required for the photocurrent to increase from 10% to 90% of its maximum value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τ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r</m:t>
            </m:r>
            <m:ctrlPr>
              <w:rPr>
                <w:rFonts w:ascii="Cambria Math" w:hAnsi="Cambria Math" w:cs="Times New Roman"/>
              </w:rPr>
            </m:ctrlPr>
          </m:sub>
        </m:sSub>
      </m:oMath>
      <w:r>
        <w:rPr>
          <w:rFonts w:cs="Times New Roman"/>
        </w:rPr>
        <w:t>), while the decay time is defined as the time required for the photocurrent to decrease from 90% to 10% of its maximum value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τ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d</m:t>
            </m:r>
            <m:ctrlPr>
              <w:rPr>
                <w:rFonts w:ascii="Cambria Math" w:hAnsi="Cambria Math" w:cs="Times New Roman"/>
              </w:rPr>
            </m:ctrlPr>
          </m:sub>
        </m:sSub>
      </m:oMath>
      <w:r>
        <w:rPr>
          <w:rFonts w:cs="Times New Roman"/>
        </w:rPr>
        <w:t>).</w:t>
      </w:r>
    </w:p>
    <w:p w14:paraId="37C114F1">
      <w:pPr>
        <w:spacing w:line="40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(4) </w:t>
      </w:r>
      <w:r>
        <w:t>Specific Detectivity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  <w:i/>
          <w:iCs/>
        </w:rPr>
        <w:t>D*</w:t>
      </w:r>
      <w:r>
        <w:rPr>
          <w:rFonts w:cs="Times New Roman"/>
          <w:b/>
          <w:bCs/>
        </w:rPr>
        <w:t>)</w:t>
      </w:r>
    </w:p>
    <w:p w14:paraId="054D206B">
      <w:pPr>
        <w:spacing w:line="240" w:lineRule="atLeast"/>
        <w:rPr>
          <w:rFonts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</w:rPr>
                <m:t>D</m:t>
              </m:r>
              <m:ctrlPr>
                <w:rPr>
                  <w:rFonts w:ascii="Cambria Math" w:hAnsi="Cambria Math" w:cs="Times New Roman"/>
                </w:rPr>
              </m:ctrlPr>
            </m:e>
            <m:sup>
              <m:r>
                <m:rPr/>
                <w:rPr>
                  <w:rFonts w:ascii="Cambria Math" w:hAnsi="Cambria Math" w:cs="Times New Roman"/>
                </w:rPr>
                <m:t>∗</m:t>
              </m:r>
              <m:ctrlPr>
                <w:rPr>
                  <w:rFonts w:ascii="Cambria Math" w:hAnsi="Cambria Math" w:cs="Times New Roman"/>
                </w:rPr>
              </m:ctrlPr>
            </m:sup>
          </m:sSup>
          <m:r>
            <m:rPr/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</w:rPr>
                    <m:t>p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sub>
              </m:sSub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</w:rPr>
                    <m:t>A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</m:rad>
              <m:ctrlPr>
                <w:rPr>
                  <w:rFonts w:ascii="Cambria Math" w:hAnsi="Cambria Math" w:cs="Times New Roman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</w:rPr>
                    <m:t>2e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I</m:t>
                      </m:r>
                      <m:ctrlPr>
                        <w:rPr>
                          <w:rFonts w:ascii="Cambria Math" w:hAnsi="Cambria Math" w:cs="Times New Roman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d</m:t>
                      </m:r>
                      <m:ctrlPr>
                        <w:rPr>
                          <w:rFonts w:ascii="Cambria Math" w:hAnsi="Cambria Math" w:cs="Times New Roman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</w:rPr>
                  </m:ctrlPr>
                </m:e>
              </m:rad>
              <m:ctrlPr>
                <w:rPr>
                  <w:rFonts w:ascii="Cambria Math" w:hAnsi="Cambria Math" w:cs="Times New Roman"/>
                </w:rPr>
              </m:ctrlPr>
            </m:den>
          </m:f>
        </m:oMath>
      </m:oMathPara>
    </w:p>
    <w:p w14:paraId="7AE16B8E">
      <w:pPr>
        <w:spacing w:line="400" w:lineRule="exact"/>
        <w:ind w:firstLine="420"/>
      </w:pPr>
      <w:r>
        <w:t xml:space="preserve">where </w:t>
      </w:r>
      <m:oMath>
        <m:r>
          <m:rPr/>
          <w:rPr>
            <w:rFonts w:ascii="Cambria Math" w:hAnsi="Cambria Math"/>
          </w:rPr>
          <m:t xml:space="preserve">q </m:t>
        </m:r>
      </m:oMath>
      <w:r>
        <w:t>is the elementary charge.</w:t>
      </w:r>
    </w:p>
    <w:p w14:paraId="34E819C0">
      <w:pPr>
        <w:spacing w:line="400" w:lineRule="exact"/>
      </w:pPr>
      <w:r>
        <w:rPr>
          <w:rFonts w:hint="eastAsia" w:cs="Times New Roman"/>
          <w:b/>
          <w:bCs/>
        </w:rPr>
        <w:t xml:space="preserve">4. </w:t>
      </w:r>
      <w:r>
        <w:rPr>
          <w:rFonts w:cs="Times New Roman"/>
          <w:b/>
          <w:bCs/>
        </w:rPr>
        <w:t xml:space="preserve">Optoelectronic </w:t>
      </w:r>
      <w:r>
        <w:rPr>
          <w:rFonts w:hint="eastAsia" w:cs="Times New Roman"/>
          <w:b/>
          <w:bCs/>
        </w:rPr>
        <w:t>p</w:t>
      </w:r>
      <w:r>
        <w:rPr>
          <w:rFonts w:cs="Times New Roman"/>
          <w:b/>
          <w:bCs/>
        </w:rPr>
        <w:t xml:space="preserve">arameters of </w:t>
      </w:r>
      <w:r>
        <w:rPr>
          <w:rFonts w:hint="eastAsia" w:cs="Times New Roman"/>
          <w:b/>
          <w:bCs/>
        </w:rPr>
        <w:t>d</w:t>
      </w:r>
      <w:r>
        <w:rPr>
          <w:rFonts w:cs="Times New Roman"/>
          <w:b/>
          <w:bCs/>
        </w:rPr>
        <w:t>evices</w:t>
      </w:r>
    </w:p>
    <w:p w14:paraId="4730BBA2">
      <w:pPr>
        <w:widowControl/>
        <w:spacing w:before="156" w:beforeLines="50" w:line="240" w:lineRule="atLeast"/>
        <w:jc w:val="center"/>
        <w:rPr>
          <w:rFonts w:eastAsia="黑体"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 xml:space="preserve">Table </w:t>
      </w:r>
      <w:r>
        <w:rPr>
          <w:rFonts w:hint="eastAsia" w:cs="Times New Roman"/>
          <w:b/>
          <w:bCs/>
          <w:sz w:val="21"/>
          <w:szCs w:val="21"/>
        </w:rPr>
        <w:t>S</w:t>
      </w:r>
      <w:r>
        <w:rPr>
          <w:rFonts w:cs="Times New Roman"/>
          <w:b/>
          <w:bCs/>
          <w:sz w:val="21"/>
          <w:szCs w:val="21"/>
        </w:rPr>
        <w:fldChar w:fldCharType="begin"/>
      </w:r>
      <w:r>
        <w:rPr>
          <w:rFonts w:cs="Times New Roman"/>
          <w:b/>
          <w:bCs/>
          <w:sz w:val="21"/>
          <w:szCs w:val="21"/>
        </w:rPr>
        <w:instrText xml:space="preserve"> SEQ Table._ \* ARABIC </w:instrText>
      </w:r>
      <w:r>
        <w:rPr>
          <w:rFonts w:cs="Times New Roman"/>
          <w:b/>
          <w:bCs/>
          <w:sz w:val="21"/>
          <w:szCs w:val="21"/>
        </w:rPr>
        <w:fldChar w:fldCharType="separate"/>
      </w:r>
      <w:r>
        <w:rPr>
          <w:rFonts w:cs="Times New Roman"/>
          <w:b/>
          <w:bCs/>
          <w:sz w:val="21"/>
          <w:szCs w:val="21"/>
        </w:rPr>
        <w:t>1</w:t>
      </w:r>
      <w:r>
        <w:rPr>
          <w:rFonts w:cs="Times New Roman"/>
          <w:b/>
          <w:bCs/>
          <w:sz w:val="21"/>
          <w:szCs w:val="21"/>
        </w:rPr>
        <w:fldChar w:fldCharType="end"/>
      </w:r>
      <w:r>
        <w:rPr>
          <w:rFonts w:cs="Times New Roman"/>
          <w:b/>
          <w:bCs/>
          <w:sz w:val="21"/>
          <w:szCs w:val="21"/>
        </w:rPr>
        <w:t>.</w:t>
      </w:r>
      <w:r>
        <w:rPr>
          <w:rFonts w:cs="Times New Roman"/>
          <w:sz w:val="21"/>
          <w:szCs w:val="21"/>
        </w:rPr>
        <w:t xml:space="preserve"> Electrical parameters of EUVPD devices with different anode structures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803"/>
        <w:gridCol w:w="1687"/>
        <w:gridCol w:w="1688"/>
        <w:gridCol w:w="1675"/>
      </w:tblGrid>
      <w:tr w14:paraId="4FA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339B0A5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>Anode structure of EUVPD devices</w:t>
            </w:r>
          </w:p>
        </w:tc>
        <w:tc>
          <w:tcPr>
            <w:tcW w:w="18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E9B42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Current</w:t>
            </w:r>
          </w:p>
        </w:tc>
        <w:tc>
          <w:tcPr>
            <w:tcW w:w="16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B12D9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Open-circuit</w:t>
            </w:r>
          </w:p>
          <w:p w14:paraId="4D2F93A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>voltage</w:t>
            </w:r>
          </w:p>
        </w:tc>
        <w:tc>
          <w:tcPr>
            <w:tcW w:w="16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409A0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Short-circuit</w:t>
            </w:r>
          </w:p>
          <w:p w14:paraId="0A60E98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>Current density</w:t>
            </w:r>
          </w:p>
        </w:tc>
        <w:tc>
          <w:tcPr>
            <w:tcW w:w="16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EB1590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>Maximum power density</w:t>
            </w:r>
          </w:p>
        </w:tc>
      </w:tr>
      <w:tr w14:paraId="375A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923F1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8B605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i/>
              </w:rPr>
              <w:t>I</w:t>
            </w:r>
            <w:r>
              <w:rPr>
                <w:rFonts w:cs="Times New Roman"/>
                <w:iCs/>
                <w:vertAlign w:val="subscript"/>
              </w:rPr>
              <w:t>light</w:t>
            </w:r>
            <w:r>
              <w:rPr>
                <w:rFonts w:cs="Times New Roman"/>
                <w:iCs/>
              </w:rPr>
              <w:t xml:space="preserve"> (mA)/</w:t>
            </w:r>
            <w:r>
              <w:rPr>
                <w:rFonts w:cs="Times New Roman"/>
                <w:i/>
              </w:rPr>
              <w:t>I</w:t>
            </w:r>
            <w:r>
              <w:rPr>
                <w:rFonts w:cs="Times New Roman"/>
                <w:iCs/>
                <w:vertAlign w:val="subscript"/>
              </w:rPr>
              <w:t>dark</w:t>
            </w:r>
            <w:r>
              <w:rPr>
                <w:rFonts w:cs="Times New Roman"/>
                <w:iCs/>
              </w:rPr>
              <w:t xml:space="preserve"> (μA)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FFC0E00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>V</w:t>
            </w:r>
            <w:r>
              <w:rPr>
                <w:rFonts w:cs="Times New Roman"/>
                <w:iCs/>
                <w:color w:val="000000"/>
                <w:vertAlign w:val="subscript"/>
              </w:rPr>
              <w:t>oc</w:t>
            </w:r>
            <w:r>
              <w:rPr>
                <w:rFonts w:cs="Times New Roman"/>
                <w:i/>
                <w:color w:val="000000"/>
                <w:vertAlign w:val="subscript"/>
              </w:rPr>
              <w:t xml:space="preserve"> </w:t>
            </w:r>
            <w:r>
              <w:rPr>
                <w:rFonts w:cs="Times New Roman"/>
                <w:color w:val="000000"/>
              </w:rPr>
              <w:t>(V)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B1DD6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>J</w:t>
            </w:r>
            <w:r>
              <w:rPr>
                <w:rFonts w:cs="Times New Roman"/>
                <w:iCs/>
                <w:color w:val="000000"/>
                <w:vertAlign w:val="subscript"/>
              </w:rPr>
              <w:t>sc</w:t>
            </w:r>
            <w:r>
              <w:rPr>
                <w:rFonts w:cs="Times New Roman"/>
                <w:i/>
                <w:color w:val="000000"/>
                <w:vertAlign w:val="subscript"/>
              </w:rPr>
              <w:t xml:space="preserve"> </w:t>
            </w:r>
            <w:r>
              <w:rPr>
                <w:rFonts w:cs="Times New Roman"/>
                <w:color w:val="000000"/>
              </w:rPr>
              <w:t>(mA /cm</w:t>
            </w:r>
            <w:r>
              <w:rPr>
                <w:rFonts w:cs="Times New Roman"/>
                <w:color w:val="000000"/>
                <w:vertAlign w:val="superscript"/>
              </w:rPr>
              <w:t>2</w:t>
            </w:r>
            <w:r>
              <w:rPr>
                <w:rFonts w:cs="Times New Roman"/>
                <w:color w:val="000000"/>
              </w:rPr>
              <w:t>)</w:t>
            </w:r>
          </w:p>
        </w:tc>
        <w:tc>
          <w:tcPr>
            <w:tcW w:w="167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87BC98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</w:rPr>
              <w:t>P</w:t>
            </w:r>
            <w:r>
              <w:rPr>
                <w:rFonts w:cs="Times New Roman"/>
                <w:color w:val="000000"/>
                <w:vertAlign w:val="subscript"/>
              </w:rPr>
              <w:t>max</w:t>
            </w:r>
            <w:r>
              <w:rPr>
                <w:rFonts w:cs="Times New Roman"/>
                <w:color w:val="000000"/>
              </w:rPr>
              <w:t xml:space="preserve"> (mW /cm</w:t>
            </w:r>
            <w:r>
              <w:rPr>
                <w:rFonts w:cs="Times New Roman"/>
                <w:color w:val="000000"/>
                <w:vertAlign w:val="superscript"/>
              </w:rPr>
              <w:t>2</w:t>
            </w:r>
            <w:r>
              <w:rPr>
                <w:rFonts w:cs="Times New Roman"/>
                <w:color w:val="000000"/>
              </w:rPr>
              <w:t>)</w:t>
            </w:r>
          </w:p>
        </w:tc>
      </w:tr>
      <w:tr w14:paraId="54CA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6D0E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</w:rPr>
              <w:t>TNRAs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9A973">
            <w:pPr>
              <w:spacing w:line="400" w:lineRule="exac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0.67/0.20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6981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0.327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47E3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0.71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C07F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0.044</w:t>
            </w:r>
          </w:p>
        </w:tc>
      </w:tr>
      <w:tr w14:paraId="4608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E9BC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Zr-TNRAs-1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B1762">
            <w:pPr>
              <w:spacing w:line="400" w:lineRule="exac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1.42/0.28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CC84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0.332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BC55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1.21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ECFD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0.088</w:t>
            </w:r>
          </w:p>
        </w:tc>
      </w:tr>
      <w:tr w14:paraId="3297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7A6D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Zr-TNRAs-2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93317">
            <w:pPr>
              <w:spacing w:line="400" w:lineRule="exac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1.76/0.09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9EC2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0.330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52BC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1.62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D06B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0.103</w:t>
            </w:r>
          </w:p>
        </w:tc>
      </w:tr>
      <w:tr w14:paraId="0310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8AFE6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Zr-TNRAs-3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4E3A24">
            <w:pPr>
              <w:spacing w:line="400" w:lineRule="exac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0.97/0.45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193B9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0.334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80EF4E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1.39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D629D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0.076</w:t>
            </w:r>
          </w:p>
        </w:tc>
      </w:tr>
    </w:tbl>
    <w:p w14:paraId="1BE255A4">
      <w:pPr>
        <w:spacing w:line="400" w:lineRule="exact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>5. Preparation of quasi-solid-state electrolyte (QSE)</w:t>
      </w:r>
    </w:p>
    <w:p w14:paraId="54FC3C83">
      <w:pPr>
        <w:widowControl/>
        <w:spacing w:line="440" w:lineRule="exact"/>
        <w:ind w:firstLine="42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QSE was prepared using a polymer gelation approach. Briefly, 0.5 g of polyethylene oxide (PEO, Mw ≈ 300,000) was dissolved in 2.5 mL of a liquid iodide-based electrolyte. The liquid electrolyte was composed of lithium iodide (0.1673 g), iodine (0.1586 g), 4-tert-butylpyridine (0.1690 g), and 1,2-dimethyl-3-propylimidazolium iodide (0.3988 g) dissolved in deionized water. The mixture was magnetically stirred at room temperature for 24 h to ensure complete dissolution of PEO and formation of a homogeneous gel network. Subsequently, 0.05 g polyethylene glycol (PEG, Mw ≈ 10,000) was added and stirred for an additional 30 min to reduce crystallinity and enhance ionic transport properties.</w:t>
      </w:r>
    </w:p>
    <w:p w14:paraId="6BAA4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2453F"/>
    <w:rsid w:val="000C2327"/>
    <w:rsid w:val="00113A89"/>
    <w:rsid w:val="001A4BE1"/>
    <w:rsid w:val="001B6AA7"/>
    <w:rsid w:val="002D7B17"/>
    <w:rsid w:val="0033417F"/>
    <w:rsid w:val="00462C53"/>
    <w:rsid w:val="00466C1A"/>
    <w:rsid w:val="00772992"/>
    <w:rsid w:val="00A465D2"/>
    <w:rsid w:val="00B54C1D"/>
    <w:rsid w:val="00D26270"/>
    <w:rsid w:val="00F91821"/>
    <w:rsid w:val="0A544337"/>
    <w:rsid w:val="0AB37D52"/>
    <w:rsid w:val="0B1E7D1E"/>
    <w:rsid w:val="2002453F"/>
    <w:rsid w:val="22307786"/>
    <w:rsid w:val="39D70D2B"/>
    <w:rsid w:val="53733096"/>
    <w:rsid w:val="54A352E4"/>
    <w:rsid w:val="7E0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40" w:lineRule="exact"/>
      <w:outlineLvl w:val="2"/>
    </w:pPr>
    <w:rPr>
      <w:rFonts w:ascii="Calibri" w:hAnsi="Calibri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pdq2pg_selectionanchorcontain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15">
    <w:name w:val="页眉 字符"/>
    <w:basedOn w:val="11"/>
    <w:link w:val="7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6">
    <w:name w:val="页脚 字符"/>
    <w:basedOn w:val="11"/>
    <w:link w:val="6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1559</Characters>
  <Lines>26</Lines>
  <Paragraphs>7</Paragraphs>
  <TotalTime>11</TotalTime>
  <ScaleCrop>false</ScaleCrop>
  <LinksUpToDate>false</LinksUpToDate>
  <CharactersWithSpaces>1780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2026-06-17T05:17:00Z</dcterms:created>
  <dc:creator>瑜乐</dc:creator>
  <cp:lastModifiedBy>瑜乐</cp:lastModifiedBy>
  <dcterms:modified xsi:type="dcterms:W3CDTF">2026-07-08T01:54:29Z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0D29F6BA93E940CF810EA7E6E61B85D6_11</vt:lpwstr>
  </property>
  <property fmtid="{D5CDD505-2E9C-101B-9397-08002B2CF9AE}" pid="4" name="KSOTemplateDocerSaveRecord">
    <vt:lpwstr>eyJoZGlkIjoiZTA2MzBhNjUwNzE0MWMzZmZjZjEzZjFjOGNmOTFlMzciLCJ1c2VySWQiOiIxMjY0MzEyNzU1In0=</vt:lpwstr>
  </property>
</Properties>
</file>