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Arial" w:hAnsi="Arial" w:eastAsia="Arial"/>
          <w:sz w:val="24"/>
        </w:rPr>
        <w:t>Supplementary Information</w:t>
      </w:r>
    </w:p>
    <w:p>
      <w:r>
        <w:rPr>
          <w:rFonts w:ascii="Arial" w:hAnsi="Arial" w:eastAsia="Arial"/>
          <w:sz w:val="24"/>
        </w:rPr>
        <w:t>CHRFAM7A-assigned transcript detection is enriched in a LAMP3+CCR7+ dendritic-cell state in esophageal squamous cell carcinoma</w:t>
      </w:r>
    </w:p>
    <w:p>
      <w:r>
        <w:rPr>
          <w:rFonts w:ascii="Arial" w:hAnsi="Arial" w:eastAsia="Arial"/>
          <w:sz w:val="24"/>
        </w:rPr>
        <w:t>Zhao-Wei Gao, Xue-Li Gao, Shu-Min Lun, Li-Juan Duan, Xiao-xiao Wang, Fang Zhao, Sha-sha Cao, and Yao-Wen Zhang</w:t>
      </w:r>
    </w:p>
    <w:p>
      <w:pPr>
        <w:ind w:firstLine="0"/>
      </w:pPr>
      <w:r>
        <w:rPr>
          <w:rFonts w:ascii="Arial" w:hAnsi="Arial" w:eastAsia="Arial"/>
          <w:b/>
          <w:sz w:val="24"/>
        </w:rPr>
        <w:t>Supplementary Table S1. Tumor core-myeloid subtype counts and CHRFAM7A-assigned detection.</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cantSplit/>
        </w:trPr>
        <w:tc>
          <w:tcPr>
            <w:tcW w:type="dxa" w:w="1440"/>
            <w:shd w:fill="D9EAF7"/>
            <w:vAlign w:val="top"/>
          </w:tcPr>
          <w:p>
            <w:pPr>
              <w:spacing w:after="0" w:line="240" w:lineRule="auto"/>
              <w:ind w:firstLine="0"/>
            </w:pPr>
            <w:r>
              <w:rPr>
                <w:rFonts w:ascii="Arial" w:hAnsi="Arial" w:eastAsia="Arial"/>
                <w:b/>
                <w:sz w:val="19"/>
              </w:rPr>
              <w:t>Subtype</w:t>
            </w:r>
          </w:p>
        </w:tc>
        <w:tc>
          <w:tcPr>
            <w:tcW w:type="dxa" w:w="1440"/>
            <w:shd w:fill="D9EAF7"/>
            <w:vAlign w:val="top"/>
          </w:tcPr>
          <w:p>
            <w:pPr>
              <w:spacing w:after="0" w:line="240" w:lineRule="auto"/>
              <w:ind w:firstLine="0"/>
            </w:pPr>
            <w:r>
              <w:rPr>
                <w:rFonts w:ascii="Arial" w:hAnsi="Arial" w:eastAsia="Arial"/>
                <w:b/>
                <w:sz w:val="19"/>
              </w:rPr>
              <w:t>Cells</w:t>
            </w:r>
          </w:p>
        </w:tc>
        <w:tc>
          <w:tcPr>
            <w:tcW w:type="dxa" w:w="1440"/>
            <w:shd w:fill="D9EAF7"/>
            <w:vAlign w:val="top"/>
          </w:tcPr>
          <w:p>
            <w:pPr>
              <w:spacing w:after="0" w:line="240" w:lineRule="auto"/>
              <w:ind w:firstLine="0"/>
            </w:pPr>
            <w:r>
              <w:rPr>
                <w:rFonts w:ascii="Arial" w:hAnsi="Arial" w:eastAsia="Arial"/>
                <w:b/>
                <w:sz w:val="19"/>
              </w:rPr>
              <w:t>Positive cells</w:t>
            </w:r>
          </w:p>
        </w:tc>
        <w:tc>
          <w:tcPr>
            <w:tcW w:type="dxa" w:w="1440"/>
            <w:shd w:fill="D9EAF7"/>
            <w:vAlign w:val="top"/>
          </w:tcPr>
          <w:p>
            <w:pPr>
              <w:spacing w:after="0" w:line="240" w:lineRule="auto"/>
              <w:ind w:firstLine="0"/>
            </w:pPr>
            <w:r>
              <w:rPr>
                <w:rFonts w:ascii="Arial" w:hAnsi="Arial" w:eastAsia="Arial"/>
                <w:b/>
                <w:sz w:val="19"/>
              </w:rPr>
              <w:t>Raw detection (%)</w:t>
            </w:r>
          </w:p>
        </w:tc>
        <w:tc>
          <w:tcPr>
            <w:tcW w:type="dxa" w:w="1440"/>
            <w:shd w:fill="D9EAF7"/>
            <w:vAlign w:val="top"/>
          </w:tcPr>
          <w:p>
            <w:pPr>
              <w:spacing w:after="0" w:line="240" w:lineRule="auto"/>
              <w:ind w:firstLine="0"/>
            </w:pPr>
            <w:r>
              <w:rPr>
                <w:rFonts w:ascii="Arial" w:hAnsi="Arial" w:eastAsia="Arial"/>
                <w:b/>
                <w:sz w:val="19"/>
              </w:rPr>
              <w:t>Adjusted probability (%)</w:t>
            </w:r>
          </w:p>
        </w:tc>
        <w:tc>
          <w:tcPr>
            <w:tcW w:type="dxa" w:w="1440"/>
            <w:shd w:fill="D9EAF7"/>
            <w:vAlign w:val="top"/>
          </w:tcPr>
          <w:p>
            <w:pPr>
              <w:spacing w:after="0" w:line="240" w:lineRule="auto"/>
              <w:ind w:firstLine="0"/>
            </w:pPr>
            <w:r>
              <w:rPr>
                <w:rFonts w:ascii="Arial" w:hAnsi="Arial" w:eastAsia="Arial"/>
                <w:b/>
                <w:sz w:val="19"/>
              </w:rPr>
              <w:t>95% CI (%)</w:t>
            </w:r>
          </w:p>
        </w:tc>
      </w:tr>
      <w:tr>
        <w:trPr>
          <w:cantSplit/>
          <w:cantSplit/>
        </w:trPr>
        <w:tc>
          <w:tcPr>
            <w:tcW w:type="dxa" w:w="1440"/>
            <w:vAlign w:val="top"/>
          </w:tcPr>
          <w:p>
            <w:pPr>
              <w:spacing w:after="0" w:line="240" w:lineRule="auto"/>
              <w:ind w:firstLine="0"/>
            </w:pPr>
            <w:r>
              <w:rPr>
                <w:rFonts w:ascii="Arial" w:hAnsi="Arial" w:eastAsia="Arial"/>
                <w:sz w:val="19"/>
              </w:rPr>
              <w:t>tDC</w:t>
            </w:r>
          </w:p>
        </w:tc>
        <w:tc>
          <w:tcPr>
            <w:tcW w:type="dxa" w:w="1440"/>
            <w:vAlign w:val="top"/>
          </w:tcPr>
          <w:p>
            <w:pPr>
              <w:spacing w:after="0" w:line="240" w:lineRule="auto"/>
              <w:ind w:firstLine="0"/>
            </w:pPr>
            <w:r>
              <w:rPr>
                <w:rFonts w:ascii="Arial" w:hAnsi="Arial" w:eastAsia="Arial"/>
                <w:sz w:val="19"/>
              </w:rPr>
              <w:t>946</w:t>
            </w:r>
          </w:p>
        </w:tc>
        <w:tc>
          <w:tcPr>
            <w:tcW w:type="dxa" w:w="1440"/>
            <w:vAlign w:val="top"/>
          </w:tcPr>
          <w:p>
            <w:pPr>
              <w:spacing w:after="0" w:line="240" w:lineRule="auto"/>
              <w:ind w:firstLine="0"/>
            </w:pPr>
            <w:r>
              <w:rPr>
                <w:rFonts w:ascii="Arial" w:hAnsi="Arial" w:eastAsia="Arial"/>
                <w:sz w:val="19"/>
              </w:rPr>
              <w:t>289</w:t>
            </w:r>
          </w:p>
        </w:tc>
        <w:tc>
          <w:tcPr>
            <w:tcW w:type="dxa" w:w="1440"/>
            <w:vAlign w:val="top"/>
          </w:tcPr>
          <w:p>
            <w:pPr>
              <w:spacing w:after="0" w:line="240" w:lineRule="auto"/>
              <w:ind w:firstLine="0"/>
            </w:pPr>
            <w:r>
              <w:rPr>
                <w:rFonts w:ascii="Arial" w:hAnsi="Arial" w:eastAsia="Arial"/>
                <w:sz w:val="19"/>
              </w:rPr>
              <w:t>30.55</w:t>
            </w:r>
          </w:p>
        </w:tc>
        <w:tc>
          <w:tcPr>
            <w:tcW w:type="dxa" w:w="1440"/>
            <w:vAlign w:val="top"/>
          </w:tcPr>
          <w:p>
            <w:pPr>
              <w:spacing w:after="0" w:line="240" w:lineRule="auto"/>
              <w:ind w:firstLine="0"/>
            </w:pPr>
            <w:r>
              <w:rPr>
                <w:rFonts w:ascii="Arial" w:hAnsi="Arial" w:eastAsia="Arial"/>
                <w:sz w:val="19"/>
              </w:rPr>
              <w:t>27.34</w:t>
            </w:r>
          </w:p>
        </w:tc>
        <w:tc>
          <w:tcPr>
            <w:tcW w:type="dxa" w:w="1440"/>
            <w:vAlign w:val="top"/>
          </w:tcPr>
          <w:p>
            <w:pPr>
              <w:spacing w:after="0" w:line="240" w:lineRule="auto"/>
              <w:ind w:firstLine="0"/>
            </w:pPr>
            <w:r>
              <w:rPr>
                <w:rFonts w:ascii="Arial" w:hAnsi="Arial" w:eastAsia="Arial"/>
                <w:sz w:val="19"/>
              </w:rPr>
              <w:t>24.21-30.72</w:t>
            </w:r>
          </w:p>
        </w:tc>
      </w:tr>
      <w:tr>
        <w:trPr>
          <w:cantSplit/>
          <w:cantSplit/>
        </w:trPr>
        <w:tc>
          <w:tcPr>
            <w:tcW w:type="dxa" w:w="1440"/>
            <w:vAlign w:val="top"/>
          </w:tcPr>
          <w:p>
            <w:pPr>
              <w:spacing w:after="0" w:line="240" w:lineRule="auto"/>
              <w:ind w:firstLine="0"/>
            </w:pPr>
            <w:r>
              <w:rPr>
                <w:rFonts w:ascii="Arial" w:hAnsi="Arial" w:eastAsia="Arial"/>
                <w:sz w:val="19"/>
              </w:rPr>
              <w:t>TAM04</w:t>
            </w:r>
          </w:p>
        </w:tc>
        <w:tc>
          <w:tcPr>
            <w:tcW w:type="dxa" w:w="1440"/>
            <w:vAlign w:val="top"/>
          </w:tcPr>
          <w:p>
            <w:pPr>
              <w:spacing w:after="0" w:line="240" w:lineRule="auto"/>
              <w:ind w:firstLine="0"/>
            </w:pPr>
            <w:r>
              <w:rPr>
                <w:rFonts w:ascii="Arial" w:hAnsi="Arial" w:eastAsia="Arial"/>
                <w:sz w:val="19"/>
              </w:rPr>
              <w:t>673</w:t>
            </w:r>
          </w:p>
        </w:tc>
        <w:tc>
          <w:tcPr>
            <w:tcW w:type="dxa" w:w="1440"/>
            <w:vAlign w:val="top"/>
          </w:tcPr>
          <w:p>
            <w:pPr>
              <w:spacing w:after="0" w:line="240" w:lineRule="auto"/>
              <w:ind w:firstLine="0"/>
            </w:pPr>
            <w:r>
              <w:rPr>
                <w:rFonts w:ascii="Arial" w:hAnsi="Arial" w:eastAsia="Arial"/>
                <w:sz w:val="19"/>
              </w:rPr>
              <w:t>107</w:t>
            </w:r>
          </w:p>
        </w:tc>
        <w:tc>
          <w:tcPr>
            <w:tcW w:type="dxa" w:w="1440"/>
            <w:vAlign w:val="top"/>
          </w:tcPr>
          <w:p>
            <w:pPr>
              <w:spacing w:after="0" w:line="240" w:lineRule="auto"/>
              <w:ind w:firstLine="0"/>
            </w:pPr>
            <w:r>
              <w:rPr>
                <w:rFonts w:ascii="Arial" w:hAnsi="Arial" w:eastAsia="Arial"/>
                <w:sz w:val="19"/>
              </w:rPr>
              <w:t>15.90</w:t>
            </w:r>
          </w:p>
        </w:tc>
        <w:tc>
          <w:tcPr>
            <w:tcW w:type="dxa" w:w="1440"/>
            <w:vAlign w:val="top"/>
          </w:tcPr>
          <w:p>
            <w:pPr>
              <w:spacing w:after="0" w:line="240" w:lineRule="auto"/>
              <w:ind w:firstLine="0"/>
            </w:pPr>
            <w:r>
              <w:rPr>
                <w:rFonts w:ascii="Arial" w:hAnsi="Arial" w:eastAsia="Arial"/>
                <w:sz w:val="19"/>
              </w:rPr>
              <w:t>7.66</w:t>
            </w:r>
          </w:p>
        </w:tc>
        <w:tc>
          <w:tcPr>
            <w:tcW w:type="dxa" w:w="1440"/>
            <w:vAlign w:val="top"/>
          </w:tcPr>
          <w:p>
            <w:pPr>
              <w:spacing w:after="0" w:line="240" w:lineRule="auto"/>
              <w:ind w:firstLine="0"/>
            </w:pPr>
            <w:r>
              <w:rPr>
                <w:rFonts w:ascii="Arial" w:hAnsi="Arial" w:eastAsia="Arial"/>
                <w:sz w:val="19"/>
              </w:rPr>
              <w:t>5.94-9.81</w:t>
            </w:r>
          </w:p>
        </w:tc>
      </w:tr>
      <w:tr>
        <w:trPr>
          <w:cantSplit/>
          <w:cantSplit/>
        </w:trPr>
        <w:tc>
          <w:tcPr>
            <w:tcW w:type="dxa" w:w="1440"/>
            <w:vAlign w:val="top"/>
          </w:tcPr>
          <w:p>
            <w:pPr>
              <w:spacing w:after="0" w:line="240" w:lineRule="auto"/>
              <w:ind w:firstLine="0"/>
            </w:pPr>
            <w:r>
              <w:rPr>
                <w:rFonts w:ascii="Arial" w:hAnsi="Arial" w:eastAsia="Arial"/>
                <w:sz w:val="19"/>
              </w:rPr>
              <w:t>cDC</w:t>
            </w:r>
          </w:p>
        </w:tc>
        <w:tc>
          <w:tcPr>
            <w:tcW w:type="dxa" w:w="1440"/>
            <w:vAlign w:val="top"/>
          </w:tcPr>
          <w:p>
            <w:pPr>
              <w:spacing w:after="0" w:line="240" w:lineRule="auto"/>
              <w:ind w:firstLine="0"/>
            </w:pPr>
            <w:r>
              <w:rPr>
                <w:rFonts w:ascii="Arial" w:hAnsi="Arial" w:eastAsia="Arial"/>
                <w:sz w:val="19"/>
              </w:rPr>
              <w:t>2567</w:t>
            </w:r>
          </w:p>
        </w:tc>
        <w:tc>
          <w:tcPr>
            <w:tcW w:type="dxa" w:w="1440"/>
            <w:vAlign w:val="top"/>
          </w:tcPr>
          <w:p>
            <w:pPr>
              <w:spacing w:after="0" w:line="240" w:lineRule="auto"/>
              <w:ind w:firstLine="0"/>
            </w:pPr>
            <w:r>
              <w:rPr>
                <w:rFonts w:ascii="Arial" w:hAnsi="Arial" w:eastAsia="Arial"/>
                <w:sz w:val="19"/>
              </w:rPr>
              <w:t>257</w:t>
            </w:r>
          </w:p>
        </w:tc>
        <w:tc>
          <w:tcPr>
            <w:tcW w:type="dxa" w:w="1440"/>
            <w:vAlign w:val="top"/>
          </w:tcPr>
          <w:p>
            <w:pPr>
              <w:spacing w:after="0" w:line="240" w:lineRule="auto"/>
              <w:ind w:firstLine="0"/>
            </w:pPr>
            <w:r>
              <w:rPr>
                <w:rFonts w:ascii="Arial" w:hAnsi="Arial" w:eastAsia="Arial"/>
                <w:sz w:val="19"/>
              </w:rPr>
              <w:t>10.01</w:t>
            </w:r>
          </w:p>
        </w:tc>
        <w:tc>
          <w:tcPr>
            <w:tcW w:type="dxa" w:w="1440"/>
            <w:vAlign w:val="top"/>
          </w:tcPr>
          <w:p>
            <w:pPr>
              <w:spacing w:after="0" w:line="240" w:lineRule="auto"/>
              <w:ind w:firstLine="0"/>
            </w:pPr>
            <w:r>
              <w:rPr>
                <w:rFonts w:ascii="Arial" w:hAnsi="Arial" w:eastAsia="Arial"/>
                <w:sz w:val="19"/>
              </w:rPr>
              <w:t>6.53</w:t>
            </w:r>
          </w:p>
        </w:tc>
        <w:tc>
          <w:tcPr>
            <w:tcW w:type="dxa" w:w="1440"/>
            <w:vAlign w:val="top"/>
          </w:tcPr>
          <w:p>
            <w:pPr>
              <w:spacing w:after="0" w:line="240" w:lineRule="auto"/>
              <w:ind w:firstLine="0"/>
            </w:pPr>
            <w:r>
              <w:rPr>
                <w:rFonts w:ascii="Arial" w:hAnsi="Arial" w:eastAsia="Arial"/>
                <w:sz w:val="19"/>
              </w:rPr>
              <w:t>5.61-7.59</w:t>
            </w:r>
          </w:p>
        </w:tc>
      </w:tr>
      <w:tr>
        <w:trPr>
          <w:cantSplit/>
          <w:cantSplit/>
        </w:trPr>
        <w:tc>
          <w:tcPr>
            <w:tcW w:type="dxa" w:w="1440"/>
            <w:vAlign w:val="top"/>
          </w:tcPr>
          <w:p>
            <w:pPr>
              <w:spacing w:after="0" w:line="240" w:lineRule="auto"/>
              <w:ind w:firstLine="0"/>
            </w:pPr>
            <w:r>
              <w:rPr>
                <w:rFonts w:ascii="Arial" w:hAnsi="Arial" w:eastAsia="Arial"/>
                <w:sz w:val="19"/>
              </w:rPr>
              <w:t>TAM02</w:t>
            </w:r>
          </w:p>
        </w:tc>
        <w:tc>
          <w:tcPr>
            <w:tcW w:type="dxa" w:w="1440"/>
            <w:vAlign w:val="top"/>
          </w:tcPr>
          <w:p>
            <w:pPr>
              <w:spacing w:after="0" w:line="240" w:lineRule="auto"/>
              <w:ind w:firstLine="0"/>
            </w:pPr>
            <w:r>
              <w:rPr>
                <w:rFonts w:ascii="Arial" w:hAnsi="Arial" w:eastAsia="Arial"/>
                <w:sz w:val="19"/>
              </w:rPr>
              <w:t>4589</w:t>
            </w:r>
          </w:p>
        </w:tc>
        <w:tc>
          <w:tcPr>
            <w:tcW w:type="dxa" w:w="1440"/>
            <w:vAlign w:val="top"/>
          </w:tcPr>
          <w:p>
            <w:pPr>
              <w:spacing w:after="0" w:line="240" w:lineRule="auto"/>
              <w:ind w:firstLine="0"/>
            </w:pPr>
            <w:r>
              <w:rPr>
                <w:rFonts w:ascii="Arial" w:hAnsi="Arial" w:eastAsia="Arial"/>
                <w:sz w:val="19"/>
              </w:rPr>
              <w:t>393</w:t>
            </w:r>
          </w:p>
        </w:tc>
        <w:tc>
          <w:tcPr>
            <w:tcW w:type="dxa" w:w="1440"/>
            <w:vAlign w:val="top"/>
          </w:tcPr>
          <w:p>
            <w:pPr>
              <w:spacing w:after="0" w:line="240" w:lineRule="auto"/>
              <w:ind w:firstLine="0"/>
            </w:pPr>
            <w:r>
              <w:rPr>
                <w:rFonts w:ascii="Arial" w:hAnsi="Arial" w:eastAsia="Arial"/>
                <w:sz w:val="19"/>
              </w:rPr>
              <w:t>8.56</w:t>
            </w:r>
          </w:p>
        </w:tc>
        <w:tc>
          <w:tcPr>
            <w:tcW w:type="dxa" w:w="1440"/>
            <w:vAlign w:val="top"/>
          </w:tcPr>
          <w:p>
            <w:pPr>
              <w:spacing w:after="0" w:line="240" w:lineRule="auto"/>
              <w:ind w:firstLine="0"/>
            </w:pPr>
            <w:r>
              <w:rPr>
                <w:rFonts w:ascii="Arial" w:hAnsi="Arial" w:eastAsia="Arial"/>
                <w:sz w:val="19"/>
              </w:rPr>
              <w:t>6.57</w:t>
            </w:r>
          </w:p>
        </w:tc>
        <w:tc>
          <w:tcPr>
            <w:tcW w:type="dxa" w:w="1440"/>
            <w:vAlign w:val="top"/>
          </w:tcPr>
          <w:p>
            <w:pPr>
              <w:spacing w:after="0" w:line="240" w:lineRule="auto"/>
              <w:ind w:firstLine="0"/>
            </w:pPr>
            <w:r>
              <w:rPr>
                <w:rFonts w:ascii="Arial" w:hAnsi="Arial" w:eastAsia="Arial"/>
                <w:sz w:val="19"/>
              </w:rPr>
              <w:t>5.75-7.49</w:t>
            </w:r>
          </w:p>
        </w:tc>
      </w:tr>
      <w:tr>
        <w:trPr>
          <w:cantSplit/>
          <w:cantSplit/>
        </w:trPr>
        <w:tc>
          <w:tcPr>
            <w:tcW w:type="dxa" w:w="1440"/>
            <w:vAlign w:val="top"/>
          </w:tcPr>
          <w:p>
            <w:pPr>
              <w:spacing w:after="0" w:line="240" w:lineRule="auto"/>
              <w:ind w:firstLine="0"/>
            </w:pPr>
            <w:r>
              <w:rPr>
                <w:rFonts w:ascii="Arial" w:hAnsi="Arial" w:eastAsia="Arial"/>
                <w:sz w:val="19"/>
              </w:rPr>
              <w:t>TAM01</w:t>
            </w:r>
          </w:p>
        </w:tc>
        <w:tc>
          <w:tcPr>
            <w:tcW w:type="dxa" w:w="1440"/>
            <w:vAlign w:val="top"/>
          </w:tcPr>
          <w:p>
            <w:pPr>
              <w:spacing w:after="0" w:line="240" w:lineRule="auto"/>
              <w:ind w:firstLine="0"/>
            </w:pPr>
            <w:r>
              <w:rPr>
                <w:rFonts w:ascii="Arial" w:hAnsi="Arial" w:eastAsia="Arial"/>
                <w:sz w:val="19"/>
              </w:rPr>
              <w:t>489</w:t>
            </w:r>
          </w:p>
        </w:tc>
        <w:tc>
          <w:tcPr>
            <w:tcW w:type="dxa" w:w="1440"/>
            <w:vAlign w:val="top"/>
          </w:tcPr>
          <w:p>
            <w:pPr>
              <w:spacing w:after="0" w:line="240" w:lineRule="auto"/>
              <w:ind w:firstLine="0"/>
            </w:pPr>
            <w:r>
              <w:rPr>
                <w:rFonts w:ascii="Arial" w:hAnsi="Arial" w:eastAsia="Arial"/>
                <w:sz w:val="19"/>
              </w:rPr>
              <w:t>38</w:t>
            </w:r>
          </w:p>
        </w:tc>
        <w:tc>
          <w:tcPr>
            <w:tcW w:type="dxa" w:w="1440"/>
            <w:vAlign w:val="top"/>
          </w:tcPr>
          <w:p>
            <w:pPr>
              <w:spacing w:after="0" w:line="240" w:lineRule="auto"/>
              <w:ind w:firstLine="0"/>
            </w:pPr>
            <w:r>
              <w:rPr>
                <w:rFonts w:ascii="Arial" w:hAnsi="Arial" w:eastAsia="Arial"/>
                <w:sz w:val="19"/>
              </w:rPr>
              <w:t>7.77</w:t>
            </w:r>
          </w:p>
        </w:tc>
        <w:tc>
          <w:tcPr>
            <w:tcW w:type="dxa" w:w="1440"/>
            <w:vAlign w:val="top"/>
          </w:tcPr>
          <w:p>
            <w:pPr>
              <w:spacing w:after="0" w:line="240" w:lineRule="auto"/>
              <w:ind w:firstLine="0"/>
            </w:pPr>
            <w:r>
              <w:rPr>
                <w:rFonts w:ascii="Arial" w:hAnsi="Arial" w:eastAsia="Arial"/>
                <w:sz w:val="19"/>
              </w:rPr>
              <w:t>5.77</w:t>
            </w:r>
          </w:p>
        </w:tc>
        <w:tc>
          <w:tcPr>
            <w:tcW w:type="dxa" w:w="1440"/>
            <w:vAlign w:val="top"/>
          </w:tcPr>
          <w:p>
            <w:pPr>
              <w:spacing w:after="0" w:line="240" w:lineRule="auto"/>
              <w:ind w:firstLine="0"/>
            </w:pPr>
            <w:r>
              <w:rPr>
                <w:rFonts w:ascii="Arial" w:hAnsi="Arial" w:eastAsia="Arial"/>
                <w:sz w:val="19"/>
              </w:rPr>
              <w:t>4.13-8.01</w:t>
            </w:r>
          </w:p>
        </w:tc>
      </w:tr>
      <w:tr>
        <w:trPr>
          <w:cantSplit/>
          <w:cantSplit/>
        </w:trPr>
        <w:tc>
          <w:tcPr>
            <w:tcW w:type="dxa" w:w="1440"/>
            <w:vAlign w:val="top"/>
          </w:tcPr>
          <w:p>
            <w:pPr>
              <w:spacing w:after="0" w:line="240" w:lineRule="auto"/>
              <w:ind w:firstLine="0"/>
            </w:pPr>
            <w:r>
              <w:rPr>
                <w:rFonts w:ascii="Arial" w:hAnsi="Arial" w:eastAsia="Arial"/>
                <w:sz w:val="19"/>
              </w:rPr>
              <w:t>TAM03</w:t>
            </w:r>
          </w:p>
        </w:tc>
        <w:tc>
          <w:tcPr>
            <w:tcW w:type="dxa" w:w="1440"/>
            <w:vAlign w:val="top"/>
          </w:tcPr>
          <w:p>
            <w:pPr>
              <w:spacing w:after="0" w:line="240" w:lineRule="auto"/>
              <w:ind w:firstLine="0"/>
            </w:pPr>
            <w:r>
              <w:rPr>
                <w:rFonts w:ascii="Arial" w:hAnsi="Arial" w:eastAsia="Arial"/>
                <w:sz w:val="19"/>
              </w:rPr>
              <w:t>467</w:t>
            </w:r>
          </w:p>
        </w:tc>
        <w:tc>
          <w:tcPr>
            <w:tcW w:type="dxa" w:w="1440"/>
            <w:vAlign w:val="top"/>
          </w:tcPr>
          <w:p>
            <w:pPr>
              <w:spacing w:after="0" w:line="240" w:lineRule="auto"/>
              <w:ind w:firstLine="0"/>
            </w:pPr>
            <w:r>
              <w:rPr>
                <w:rFonts w:ascii="Arial" w:hAnsi="Arial" w:eastAsia="Arial"/>
                <w:sz w:val="19"/>
              </w:rPr>
              <w:t>36</w:t>
            </w:r>
          </w:p>
        </w:tc>
        <w:tc>
          <w:tcPr>
            <w:tcW w:type="dxa" w:w="1440"/>
            <w:vAlign w:val="top"/>
          </w:tcPr>
          <w:p>
            <w:pPr>
              <w:spacing w:after="0" w:line="240" w:lineRule="auto"/>
              <w:ind w:firstLine="0"/>
            </w:pPr>
            <w:r>
              <w:rPr>
                <w:rFonts w:ascii="Arial" w:hAnsi="Arial" w:eastAsia="Arial"/>
                <w:sz w:val="19"/>
              </w:rPr>
              <w:t>7.71</w:t>
            </w:r>
          </w:p>
        </w:tc>
        <w:tc>
          <w:tcPr>
            <w:tcW w:type="dxa" w:w="1440"/>
            <w:vAlign w:val="top"/>
          </w:tcPr>
          <w:p>
            <w:pPr>
              <w:spacing w:after="0" w:line="240" w:lineRule="auto"/>
              <w:ind w:firstLine="0"/>
            </w:pPr>
            <w:r>
              <w:rPr>
                <w:rFonts w:ascii="Arial" w:hAnsi="Arial" w:eastAsia="Arial"/>
                <w:sz w:val="19"/>
              </w:rPr>
              <w:t>5.17</w:t>
            </w:r>
          </w:p>
        </w:tc>
        <w:tc>
          <w:tcPr>
            <w:tcW w:type="dxa" w:w="1440"/>
            <w:vAlign w:val="top"/>
          </w:tcPr>
          <w:p>
            <w:pPr>
              <w:spacing w:after="0" w:line="240" w:lineRule="auto"/>
              <w:ind w:firstLine="0"/>
            </w:pPr>
            <w:r>
              <w:rPr>
                <w:rFonts w:ascii="Arial" w:hAnsi="Arial" w:eastAsia="Arial"/>
                <w:sz w:val="19"/>
              </w:rPr>
              <w:t>3.64-7.29</w:t>
            </w:r>
          </w:p>
        </w:tc>
      </w:tr>
      <w:tr>
        <w:trPr>
          <w:cantSplit/>
          <w:cantSplit/>
        </w:trPr>
        <w:tc>
          <w:tcPr>
            <w:tcW w:type="dxa" w:w="1440"/>
            <w:vAlign w:val="top"/>
          </w:tcPr>
          <w:p>
            <w:pPr>
              <w:spacing w:after="0" w:line="240" w:lineRule="auto"/>
              <w:ind w:firstLine="0"/>
            </w:pPr>
            <w:r>
              <w:rPr>
                <w:rFonts w:ascii="Arial" w:hAnsi="Arial" w:eastAsia="Arial"/>
                <w:sz w:val="19"/>
              </w:rPr>
              <w:t>Mono02</w:t>
            </w:r>
          </w:p>
        </w:tc>
        <w:tc>
          <w:tcPr>
            <w:tcW w:type="dxa" w:w="1440"/>
            <w:vAlign w:val="top"/>
          </w:tcPr>
          <w:p>
            <w:pPr>
              <w:spacing w:after="0" w:line="240" w:lineRule="auto"/>
              <w:ind w:firstLine="0"/>
            </w:pPr>
            <w:r>
              <w:rPr>
                <w:rFonts w:ascii="Arial" w:hAnsi="Arial" w:eastAsia="Arial"/>
                <w:sz w:val="19"/>
              </w:rPr>
              <w:t>657</w:t>
            </w:r>
          </w:p>
        </w:tc>
        <w:tc>
          <w:tcPr>
            <w:tcW w:type="dxa" w:w="1440"/>
            <w:vAlign w:val="top"/>
          </w:tcPr>
          <w:p>
            <w:pPr>
              <w:spacing w:after="0" w:line="240" w:lineRule="auto"/>
              <w:ind w:firstLine="0"/>
            </w:pPr>
            <w:r>
              <w:rPr>
                <w:rFonts w:ascii="Arial" w:hAnsi="Arial" w:eastAsia="Arial"/>
                <w:sz w:val="19"/>
              </w:rPr>
              <w:t>48</w:t>
            </w:r>
          </w:p>
        </w:tc>
        <w:tc>
          <w:tcPr>
            <w:tcW w:type="dxa" w:w="1440"/>
            <w:vAlign w:val="top"/>
          </w:tcPr>
          <w:p>
            <w:pPr>
              <w:spacing w:after="0" w:line="240" w:lineRule="auto"/>
              <w:ind w:firstLine="0"/>
            </w:pPr>
            <w:r>
              <w:rPr>
                <w:rFonts w:ascii="Arial" w:hAnsi="Arial" w:eastAsia="Arial"/>
                <w:sz w:val="19"/>
              </w:rPr>
              <w:t>7.31</w:t>
            </w:r>
          </w:p>
        </w:tc>
        <w:tc>
          <w:tcPr>
            <w:tcW w:type="dxa" w:w="1440"/>
            <w:vAlign w:val="top"/>
          </w:tcPr>
          <w:p>
            <w:pPr>
              <w:spacing w:after="0" w:line="240" w:lineRule="auto"/>
              <w:ind w:firstLine="0"/>
            </w:pPr>
            <w:r>
              <w:rPr>
                <w:rFonts w:ascii="Arial" w:hAnsi="Arial" w:eastAsia="Arial"/>
                <w:sz w:val="19"/>
              </w:rPr>
              <w:t>6.33</w:t>
            </w:r>
          </w:p>
        </w:tc>
        <w:tc>
          <w:tcPr>
            <w:tcW w:type="dxa" w:w="1440"/>
            <w:vAlign w:val="top"/>
          </w:tcPr>
          <w:p>
            <w:pPr>
              <w:spacing w:after="0" w:line="240" w:lineRule="auto"/>
              <w:ind w:firstLine="0"/>
            </w:pPr>
            <w:r>
              <w:rPr>
                <w:rFonts w:ascii="Arial" w:hAnsi="Arial" w:eastAsia="Arial"/>
                <w:sz w:val="19"/>
              </w:rPr>
              <w:t>4.73-8.43</w:t>
            </w:r>
          </w:p>
        </w:tc>
      </w:tr>
      <w:tr>
        <w:trPr>
          <w:cantSplit/>
          <w:cantSplit/>
        </w:trPr>
        <w:tc>
          <w:tcPr>
            <w:tcW w:type="dxa" w:w="1440"/>
            <w:vAlign w:val="top"/>
          </w:tcPr>
          <w:p>
            <w:pPr>
              <w:spacing w:after="0" w:line="240" w:lineRule="auto"/>
              <w:ind w:firstLine="0"/>
            </w:pPr>
            <w:r>
              <w:rPr>
                <w:rFonts w:ascii="Arial" w:hAnsi="Arial" w:eastAsia="Arial"/>
                <w:sz w:val="19"/>
              </w:rPr>
              <w:t>pDC</w:t>
            </w:r>
          </w:p>
        </w:tc>
        <w:tc>
          <w:tcPr>
            <w:tcW w:type="dxa" w:w="1440"/>
            <w:vAlign w:val="top"/>
          </w:tcPr>
          <w:p>
            <w:pPr>
              <w:spacing w:after="0" w:line="240" w:lineRule="auto"/>
              <w:ind w:firstLine="0"/>
            </w:pPr>
            <w:r>
              <w:rPr>
                <w:rFonts w:ascii="Arial" w:hAnsi="Arial" w:eastAsia="Arial"/>
                <w:sz w:val="19"/>
              </w:rPr>
              <w:t>891</w:t>
            </w:r>
          </w:p>
        </w:tc>
        <w:tc>
          <w:tcPr>
            <w:tcW w:type="dxa" w:w="1440"/>
            <w:vAlign w:val="top"/>
          </w:tcPr>
          <w:p>
            <w:pPr>
              <w:spacing w:after="0" w:line="240" w:lineRule="auto"/>
              <w:ind w:firstLine="0"/>
            </w:pPr>
            <w:r>
              <w:rPr>
                <w:rFonts w:ascii="Arial" w:hAnsi="Arial" w:eastAsia="Arial"/>
                <w:sz w:val="19"/>
              </w:rPr>
              <w:t>58</w:t>
            </w:r>
          </w:p>
        </w:tc>
        <w:tc>
          <w:tcPr>
            <w:tcW w:type="dxa" w:w="1440"/>
            <w:vAlign w:val="top"/>
          </w:tcPr>
          <w:p>
            <w:pPr>
              <w:spacing w:after="0" w:line="240" w:lineRule="auto"/>
              <w:ind w:firstLine="0"/>
            </w:pPr>
            <w:r>
              <w:rPr>
                <w:rFonts w:ascii="Arial" w:hAnsi="Arial" w:eastAsia="Arial"/>
                <w:sz w:val="19"/>
              </w:rPr>
              <w:t>6.51</w:t>
            </w:r>
          </w:p>
        </w:tc>
        <w:tc>
          <w:tcPr>
            <w:tcW w:type="dxa" w:w="1440"/>
            <w:vAlign w:val="top"/>
          </w:tcPr>
          <w:p>
            <w:pPr>
              <w:spacing w:after="0" w:line="240" w:lineRule="auto"/>
              <w:ind w:firstLine="0"/>
            </w:pPr>
            <w:r>
              <w:rPr>
                <w:rFonts w:ascii="Arial" w:hAnsi="Arial" w:eastAsia="Arial"/>
                <w:sz w:val="19"/>
              </w:rPr>
              <w:t>7.07</w:t>
            </w:r>
          </w:p>
        </w:tc>
        <w:tc>
          <w:tcPr>
            <w:tcW w:type="dxa" w:w="1440"/>
            <w:vAlign w:val="top"/>
          </w:tcPr>
          <w:p>
            <w:pPr>
              <w:spacing w:after="0" w:line="240" w:lineRule="auto"/>
              <w:ind w:firstLine="0"/>
            </w:pPr>
            <w:r>
              <w:rPr>
                <w:rFonts w:ascii="Arial" w:hAnsi="Arial" w:eastAsia="Arial"/>
                <w:sz w:val="19"/>
              </w:rPr>
              <w:t>5.43-9.16</w:t>
            </w:r>
          </w:p>
        </w:tc>
      </w:tr>
      <w:tr>
        <w:trPr>
          <w:cantSplit/>
          <w:cantSplit/>
        </w:trPr>
        <w:tc>
          <w:tcPr>
            <w:tcW w:type="dxa" w:w="1440"/>
            <w:vAlign w:val="top"/>
          </w:tcPr>
          <w:p>
            <w:pPr>
              <w:spacing w:after="0" w:line="240" w:lineRule="auto"/>
              <w:ind w:firstLine="0"/>
            </w:pPr>
            <w:r>
              <w:rPr>
                <w:rFonts w:ascii="Arial" w:hAnsi="Arial" w:eastAsia="Arial"/>
                <w:sz w:val="19"/>
              </w:rPr>
              <w:t>Mast</w:t>
            </w:r>
          </w:p>
        </w:tc>
        <w:tc>
          <w:tcPr>
            <w:tcW w:type="dxa" w:w="1440"/>
            <w:vAlign w:val="top"/>
          </w:tcPr>
          <w:p>
            <w:pPr>
              <w:spacing w:after="0" w:line="240" w:lineRule="auto"/>
              <w:ind w:firstLine="0"/>
            </w:pPr>
            <w:r>
              <w:rPr>
                <w:rFonts w:ascii="Arial" w:hAnsi="Arial" w:eastAsia="Arial"/>
                <w:sz w:val="19"/>
              </w:rPr>
              <w:t>1767</w:t>
            </w:r>
          </w:p>
        </w:tc>
        <w:tc>
          <w:tcPr>
            <w:tcW w:type="dxa" w:w="1440"/>
            <w:vAlign w:val="top"/>
          </w:tcPr>
          <w:p>
            <w:pPr>
              <w:spacing w:after="0" w:line="240" w:lineRule="auto"/>
              <w:ind w:firstLine="0"/>
            </w:pPr>
            <w:r>
              <w:rPr>
                <w:rFonts w:ascii="Arial" w:hAnsi="Arial" w:eastAsia="Arial"/>
                <w:sz w:val="19"/>
              </w:rPr>
              <w:t>111</w:t>
            </w:r>
          </w:p>
        </w:tc>
        <w:tc>
          <w:tcPr>
            <w:tcW w:type="dxa" w:w="1440"/>
            <w:vAlign w:val="top"/>
          </w:tcPr>
          <w:p>
            <w:pPr>
              <w:spacing w:after="0" w:line="240" w:lineRule="auto"/>
              <w:ind w:firstLine="0"/>
            </w:pPr>
            <w:r>
              <w:rPr>
                <w:rFonts w:ascii="Arial" w:hAnsi="Arial" w:eastAsia="Arial"/>
                <w:sz w:val="19"/>
              </w:rPr>
              <w:t>6.28</w:t>
            </w:r>
          </w:p>
        </w:tc>
        <w:tc>
          <w:tcPr>
            <w:tcW w:type="dxa" w:w="1440"/>
            <w:vAlign w:val="top"/>
          </w:tcPr>
          <w:p>
            <w:pPr>
              <w:spacing w:after="0" w:line="240" w:lineRule="auto"/>
              <w:ind w:firstLine="0"/>
            </w:pPr>
            <w:r>
              <w:rPr>
                <w:rFonts w:ascii="Arial" w:hAnsi="Arial" w:eastAsia="Arial"/>
                <w:sz w:val="19"/>
              </w:rPr>
              <w:t>8.72</w:t>
            </w:r>
          </w:p>
        </w:tc>
        <w:tc>
          <w:tcPr>
            <w:tcW w:type="dxa" w:w="1440"/>
            <w:vAlign w:val="top"/>
          </w:tcPr>
          <w:p>
            <w:pPr>
              <w:spacing w:after="0" w:line="240" w:lineRule="auto"/>
              <w:ind w:firstLine="0"/>
            </w:pPr>
            <w:r>
              <w:rPr>
                <w:rFonts w:ascii="Arial" w:hAnsi="Arial" w:eastAsia="Arial"/>
                <w:sz w:val="19"/>
              </w:rPr>
              <w:t>7.10-10.66</w:t>
            </w:r>
          </w:p>
        </w:tc>
      </w:tr>
      <w:tr>
        <w:trPr>
          <w:cantSplit/>
          <w:cantSplit/>
        </w:trPr>
        <w:tc>
          <w:tcPr>
            <w:tcW w:type="dxa" w:w="1440"/>
            <w:vAlign w:val="top"/>
          </w:tcPr>
          <w:p>
            <w:pPr>
              <w:spacing w:after="0" w:line="240" w:lineRule="auto"/>
              <w:ind w:firstLine="0"/>
            </w:pPr>
            <w:r>
              <w:rPr>
                <w:rFonts w:ascii="Arial" w:hAnsi="Arial" w:eastAsia="Arial"/>
                <w:sz w:val="19"/>
              </w:rPr>
              <w:t>Mono03</w:t>
            </w:r>
          </w:p>
        </w:tc>
        <w:tc>
          <w:tcPr>
            <w:tcW w:type="dxa" w:w="1440"/>
            <w:vAlign w:val="top"/>
          </w:tcPr>
          <w:p>
            <w:pPr>
              <w:spacing w:after="0" w:line="240" w:lineRule="auto"/>
              <w:ind w:firstLine="0"/>
            </w:pPr>
            <w:r>
              <w:rPr>
                <w:rFonts w:ascii="Arial" w:hAnsi="Arial" w:eastAsia="Arial"/>
                <w:sz w:val="19"/>
              </w:rPr>
              <w:t>3192</w:t>
            </w:r>
          </w:p>
        </w:tc>
        <w:tc>
          <w:tcPr>
            <w:tcW w:type="dxa" w:w="1440"/>
            <w:vAlign w:val="top"/>
          </w:tcPr>
          <w:p>
            <w:pPr>
              <w:spacing w:after="0" w:line="240" w:lineRule="auto"/>
              <w:ind w:firstLine="0"/>
            </w:pPr>
            <w:r>
              <w:rPr>
                <w:rFonts w:ascii="Arial" w:hAnsi="Arial" w:eastAsia="Arial"/>
                <w:sz w:val="19"/>
              </w:rPr>
              <w:t>112</w:t>
            </w:r>
          </w:p>
        </w:tc>
        <w:tc>
          <w:tcPr>
            <w:tcW w:type="dxa" w:w="1440"/>
            <w:vAlign w:val="top"/>
          </w:tcPr>
          <w:p>
            <w:pPr>
              <w:spacing w:after="0" w:line="240" w:lineRule="auto"/>
              <w:ind w:firstLine="0"/>
            </w:pPr>
            <w:r>
              <w:rPr>
                <w:rFonts w:ascii="Arial" w:hAnsi="Arial" w:eastAsia="Arial"/>
                <w:sz w:val="19"/>
              </w:rPr>
              <w:t>3.51</w:t>
            </w:r>
          </w:p>
        </w:tc>
        <w:tc>
          <w:tcPr>
            <w:tcW w:type="dxa" w:w="1440"/>
            <w:vAlign w:val="top"/>
          </w:tcPr>
          <w:p>
            <w:pPr>
              <w:spacing w:after="0" w:line="240" w:lineRule="auto"/>
              <w:ind w:firstLine="0"/>
            </w:pPr>
            <w:r>
              <w:rPr>
                <w:rFonts w:ascii="Arial" w:hAnsi="Arial" w:eastAsia="Arial"/>
                <w:sz w:val="19"/>
              </w:rPr>
              <w:t>3.54</w:t>
            </w:r>
          </w:p>
        </w:tc>
        <w:tc>
          <w:tcPr>
            <w:tcW w:type="dxa" w:w="1440"/>
            <w:vAlign w:val="top"/>
          </w:tcPr>
          <w:p>
            <w:pPr>
              <w:spacing w:after="0" w:line="240" w:lineRule="auto"/>
              <w:ind w:firstLine="0"/>
            </w:pPr>
            <w:r>
              <w:rPr>
                <w:rFonts w:ascii="Arial" w:hAnsi="Arial" w:eastAsia="Arial"/>
                <w:sz w:val="19"/>
              </w:rPr>
              <w:t>2.90-4.31</w:t>
            </w:r>
          </w:p>
        </w:tc>
      </w:tr>
      <w:tr>
        <w:trPr>
          <w:cantSplit/>
          <w:cantSplit/>
        </w:trPr>
        <w:tc>
          <w:tcPr>
            <w:tcW w:type="dxa" w:w="1440"/>
            <w:vAlign w:val="top"/>
          </w:tcPr>
          <w:p>
            <w:pPr>
              <w:spacing w:after="0" w:line="240" w:lineRule="auto"/>
              <w:ind w:firstLine="0"/>
            </w:pPr>
            <w:r>
              <w:rPr>
                <w:rFonts w:ascii="Arial" w:hAnsi="Arial" w:eastAsia="Arial"/>
                <w:sz w:val="19"/>
              </w:rPr>
              <w:t>Mono01</w:t>
            </w:r>
          </w:p>
        </w:tc>
        <w:tc>
          <w:tcPr>
            <w:tcW w:type="dxa" w:w="1440"/>
            <w:vAlign w:val="top"/>
          </w:tcPr>
          <w:p>
            <w:pPr>
              <w:spacing w:after="0" w:line="240" w:lineRule="auto"/>
              <w:ind w:firstLine="0"/>
            </w:pPr>
            <w:r>
              <w:rPr>
                <w:rFonts w:ascii="Arial" w:hAnsi="Arial" w:eastAsia="Arial"/>
                <w:sz w:val="19"/>
              </w:rPr>
              <w:t>2023</w:t>
            </w:r>
          </w:p>
        </w:tc>
        <w:tc>
          <w:tcPr>
            <w:tcW w:type="dxa" w:w="1440"/>
            <w:vAlign w:val="top"/>
          </w:tcPr>
          <w:p>
            <w:pPr>
              <w:spacing w:after="0" w:line="240" w:lineRule="auto"/>
              <w:ind w:firstLine="0"/>
            </w:pPr>
            <w:r>
              <w:rPr>
                <w:rFonts w:ascii="Arial" w:hAnsi="Arial" w:eastAsia="Arial"/>
                <w:sz w:val="19"/>
              </w:rPr>
              <w:t>39</w:t>
            </w:r>
          </w:p>
        </w:tc>
        <w:tc>
          <w:tcPr>
            <w:tcW w:type="dxa" w:w="1440"/>
            <w:vAlign w:val="top"/>
          </w:tcPr>
          <w:p>
            <w:pPr>
              <w:spacing w:after="0" w:line="240" w:lineRule="auto"/>
              <w:ind w:firstLine="0"/>
            </w:pPr>
            <w:r>
              <w:rPr>
                <w:rFonts w:ascii="Arial" w:hAnsi="Arial" w:eastAsia="Arial"/>
                <w:sz w:val="19"/>
              </w:rPr>
              <w:t>1.93</w:t>
            </w:r>
          </w:p>
        </w:tc>
        <w:tc>
          <w:tcPr>
            <w:tcW w:type="dxa" w:w="1440"/>
            <w:vAlign w:val="top"/>
          </w:tcPr>
          <w:p>
            <w:pPr>
              <w:spacing w:after="0" w:line="240" w:lineRule="auto"/>
              <w:ind w:firstLine="0"/>
            </w:pPr>
            <w:r>
              <w:rPr>
                <w:rFonts w:ascii="Arial" w:hAnsi="Arial" w:eastAsia="Arial"/>
                <w:sz w:val="19"/>
              </w:rPr>
              <w:t>2.37</w:t>
            </w:r>
          </w:p>
        </w:tc>
        <w:tc>
          <w:tcPr>
            <w:tcW w:type="dxa" w:w="1440"/>
            <w:vAlign w:val="top"/>
          </w:tcPr>
          <w:p>
            <w:pPr>
              <w:spacing w:after="0" w:line="240" w:lineRule="auto"/>
              <w:ind w:firstLine="0"/>
            </w:pPr>
            <w:r>
              <w:rPr>
                <w:rFonts w:ascii="Arial" w:hAnsi="Arial" w:eastAsia="Arial"/>
                <w:sz w:val="19"/>
              </w:rPr>
              <w:t>1.72-3.27</w:t>
            </w:r>
          </w:p>
        </w:tc>
      </w:tr>
    </w:tbl>
    <w:p>
      <w:pPr>
        <w:ind w:firstLine="0"/>
      </w:pPr>
      <w:r>
        <w:rPr>
          <w:rFonts w:ascii="Arial" w:hAnsi="Arial" w:eastAsia="Arial"/>
          <w:i/>
          <w:sz w:val="24"/>
        </w:rPr>
        <w:t>Adjusted probabilities derive from the primary sample-random-intercept mixed-effects model at average technical covariate values.</w:t>
      </w:r>
    </w:p>
    <w:p/>
    <w:p>
      <w:pPr>
        <w:ind w:firstLine="0"/>
      </w:pPr>
      <w:r>
        <w:rPr>
          <w:rFonts w:ascii="Arial" w:hAnsi="Arial" w:eastAsia="Arial"/>
          <w:b/>
          <w:sz w:val="24"/>
        </w:rPr>
        <w:t>Supplementary Table S2. Pairwise tDC comparisons in the primary mixed-effects model.</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cantSplit/>
        </w:trPr>
        <w:tc>
          <w:tcPr>
            <w:tcW w:type="dxa" w:w="2160"/>
            <w:shd w:fill="D9EAF7"/>
            <w:vAlign w:val="top"/>
          </w:tcPr>
          <w:p>
            <w:pPr>
              <w:spacing w:after="0" w:line="240" w:lineRule="auto"/>
              <w:ind w:firstLine="0"/>
            </w:pPr>
            <w:r>
              <w:rPr>
                <w:rFonts w:ascii="Arial" w:hAnsi="Arial" w:eastAsia="Arial"/>
                <w:b/>
                <w:sz w:val="19"/>
              </w:rPr>
              <w:t>Comparison</w:t>
            </w:r>
          </w:p>
        </w:tc>
        <w:tc>
          <w:tcPr>
            <w:tcW w:type="dxa" w:w="2160"/>
            <w:shd w:fill="D9EAF7"/>
            <w:vAlign w:val="top"/>
          </w:tcPr>
          <w:p>
            <w:pPr>
              <w:spacing w:after="0" w:line="240" w:lineRule="auto"/>
              <w:ind w:firstLine="0"/>
            </w:pPr>
            <w:r>
              <w:rPr>
                <w:rFonts w:ascii="Arial" w:hAnsi="Arial" w:eastAsia="Arial"/>
                <w:b/>
                <w:sz w:val="19"/>
              </w:rPr>
              <w:t>Odds ratio</w:t>
            </w:r>
          </w:p>
        </w:tc>
        <w:tc>
          <w:tcPr>
            <w:tcW w:type="dxa" w:w="2160"/>
            <w:shd w:fill="D9EAF7"/>
            <w:vAlign w:val="top"/>
          </w:tcPr>
          <w:p>
            <w:pPr>
              <w:spacing w:after="0" w:line="240" w:lineRule="auto"/>
              <w:ind w:firstLine="0"/>
            </w:pPr>
            <w:r>
              <w:rPr>
                <w:rFonts w:ascii="Arial" w:hAnsi="Arial" w:eastAsia="Arial"/>
                <w:b/>
                <w:sz w:val="19"/>
              </w:rPr>
              <w:t>95% CI</w:t>
            </w:r>
          </w:p>
        </w:tc>
        <w:tc>
          <w:tcPr>
            <w:tcW w:type="dxa" w:w="2160"/>
            <w:shd w:fill="D9EAF7"/>
            <w:vAlign w:val="top"/>
          </w:tcPr>
          <w:p>
            <w:pPr>
              <w:spacing w:after="0" w:line="240" w:lineRule="auto"/>
              <w:ind w:firstLine="0"/>
            </w:pPr>
            <w:r>
              <w:rPr>
                <w:rFonts w:ascii="Arial" w:hAnsi="Arial" w:eastAsia="Arial"/>
                <w:b/>
                <w:sz w:val="19"/>
              </w:rPr>
              <w:t>BH-adjusted P</w:t>
            </w:r>
          </w:p>
        </w:tc>
      </w:tr>
      <w:tr>
        <w:trPr>
          <w:cantSplit/>
          <w:cantSplit/>
        </w:trPr>
        <w:tc>
          <w:tcPr>
            <w:tcW w:type="dxa" w:w="2160"/>
            <w:vAlign w:val="top"/>
          </w:tcPr>
          <w:p>
            <w:pPr>
              <w:spacing w:after="0" w:line="240" w:lineRule="auto"/>
              <w:ind w:firstLine="0"/>
            </w:pPr>
            <w:r>
              <w:rPr>
                <w:rFonts w:ascii="Arial" w:hAnsi="Arial" w:eastAsia="Arial"/>
                <w:sz w:val="19"/>
              </w:rPr>
              <w:t>tDC vs Mono01</w:t>
            </w:r>
          </w:p>
        </w:tc>
        <w:tc>
          <w:tcPr>
            <w:tcW w:type="dxa" w:w="2160"/>
            <w:vAlign w:val="top"/>
          </w:tcPr>
          <w:p>
            <w:pPr>
              <w:spacing w:after="0" w:line="240" w:lineRule="auto"/>
              <w:ind w:firstLine="0"/>
            </w:pPr>
            <w:r>
              <w:rPr>
                <w:rFonts w:ascii="Arial" w:hAnsi="Arial" w:eastAsia="Arial"/>
                <w:sz w:val="19"/>
              </w:rPr>
              <w:t>15.48</w:t>
            </w:r>
          </w:p>
        </w:tc>
        <w:tc>
          <w:tcPr>
            <w:tcW w:type="dxa" w:w="2160"/>
            <w:vAlign w:val="top"/>
          </w:tcPr>
          <w:p>
            <w:pPr>
              <w:spacing w:after="0" w:line="240" w:lineRule="auto"/>
              <w:ind w:firstLine="0"/>
            </w:pPr>
            <w:r>
              <w:rPr>
                <w:rFonts w:ascii="Arial" w:hAnsi="Arial" w:eastAsia="Arial"/>
                <w:sz w:val="19"/>
              </w:rPr>
              <w:t>9.30-25.77</w:t>
            </w:r>
          </w:p>
        </w:tc>
        <w:tc>
          <w:tcPr>
            <w:tcW w:type="dxa" w:w="2160"/>
            <w:vAlign w:val="top"/>
          </w:tcPr>
          <w:p>
            <w:pPr>
              <w:spacing w:after="0" w:line="240" w:lineRule="auto"/>
              <w:ind w:firstLine="0"/>
            </w:pPr>
            <w:r>
              <w:rPr>
                <w:rFonts w:ascii="Arial" w:hAnsi="Arial" w:eastAsia="Arial"/>
                <w:sz w:val="19"/>
              </w:rPr>
              <w:t>4.03e-51</w:t>
            </w:r>
          </w:p>
        </w:tc>
      </w:tr>
      <w:tr>
        <w:trPr>
          <w:cantSplit/>
          <w:cantSplit/>
        </w:trPr>
        <w:tc>
          <w:tcPr>
            <w:tcW w:type="dxa" w:w="2160"/>
            <w:vAlign w:val="top"/>
          </w:tcPr>
          <w:p>
            <w:pPr>
              <w:spacing w:after="0" w:line="240" w:lineRule="auto"/>
              <w:ind w:firstLine="0"/>
            </w:pPr>
            <w:r>
              <w:rPr>
                <w:rFonts w:ascii="Arial" w:hAnsi="Arial" w:eastAsia="Arial"/>
                <w:sz w:val="19"/>
              </w:rPr>
              <w:t>tDC vs Mono02</w:t>
            </w:r>
          </w:p>
        </w:tc>
        <w:tc>
          <w:tcPr>
            <w:tcW w:type="dxa" w:w="2160"/>
            <w:vAlign w:val="top"/>
          </w:tcPr>
          <w:p>
            <w:pPr>
              <w:spacing w:after="0" w:line="240" w:lineRule="auto"/>
              <w:ind w:firstLine="0"/>
            </w:pPr>
            <w:r>
              <w:rPr>
                <w:rFonts w:ascii="Arial" w:hAnsi="Arial" w:eastAsia="Arial"/>
                <w:sz w:val="19"/>
              </w:rPr>
              <w:t>5.57</w:t>
            </w:r>
          </w:p>
        </w:tc>
        <w:tc>
          <w:tcPr>
            <w:tcW w:type="dxa" w:w="2160"/>
            <w:vAlign w:val="top"/>
          </w:tcPr>
          <w:p>
            <w:pPr>
              <w:spacing w:after="0" w:line="240" w:lineRule="auto"/>
              <w:ind w:firstLine="0"/>
            </w:pPr>
            <w:r>
              <w:rPr>
                <w:rFonts w:ascii="Arial" w:hAnsi="Arial" w:eastAsia="Arial"/>
                <w:sz w:val="19"/>
              </w:rPr>
              <w:t>3.45-8.97</w:t>
            </w:r>
          </w:p>
        </w:tc>
        <w:tc>
          <w:tcPr>
            <w:tcW w:type="dxa" w:w="2160"/>
            <w:vAlign w:val="top"/>
          </w:tcPr>
          <w:p>
            <w:pPr>
              <w:spacing w:after="0" w:line="240" w:lineRule="auto"/>
              <w:ind w:firstLine="0"/>
            </w:pPr>
            <w:r>
              <w:rPr>
                <w:rFonts w:ascii="Arial" w:hAnsi="Arial" w:eastAsia="Arial"/>
                <w:sz w:val="19"/>
              </w:rPr>
              <w:t>7.95e-24</w:t>
            </w:r>
          </w:p>
        </w:tc>
      </w:tr>
      <w:tr>
        <w:trPr>
          <w:cantSplit/>
          <w:cantSplit/>
        </w:trPr>
        <w:tc>
          <w:tcPr>
            <w:tcW w:type="dxa" w:w="2160"/>
            <w:vAlign w:val="top"/>
          </w:tcPr>
          <w:p>
            <w:pPr>
              <w:spacing w:after="0" w:line="240" w:lineRule="auto"/>
              <w:ind w:firstLine="0"/>
            </w:pPr>
            <w:r>
              <w:rPr>
                <w:rFonts w:ascii="Arial" w:hAnsi="Arial" w:eastAsia="Arial"/>
                <w:sz w:val="19"/>
              </w:rPr>
              <w:t>tDC vs Mono03</w:t>
            </w:r>
          </w:p>
        </w:tc>
        <w:tc>
          <w:tcPr>
            <w:tcW w:type="dxa" w:w="2160"/>
            <w:vAlign w:val="top"/>
          </w:tcPr>
          <w:p>
            <w:pPr>
              <w:spacing w:after="0" w:line="240" w:lineRule="auto"/>
              <w:ind w:firstLine="0"/>
            </w:pPr>
            <w:r>
              <w:rPr>
                <w:rFonts w:ascii="Arial" w:hAnsi="Arial" w:eastAsia="Arial"/>
                <w:sz w:val="19"/>
              </w:rPr>
              <w:t>10.26</w:t>
            </w:r>
          </w:p>
        </w:tc>
        <w:tc>
          <w:tcPr>
            <w:tcW w:type="dxa" w:w="2160"/>
            <w:vAlign w:val="top"/>
          </w:tcPr>
          <w:p>
            <w:pPr>
              <w:spacing w:after="0" w:line="240" w:lineRule="auto"/>
              <w:ind w:firstLine="0"/>
            </w:pPr>
            <w:r>
              <w:rPr>
                <w:rFonts w:ascii="Arial" w:hAnsi="Arial" w:eastAsia="Arial"/>
                <w:sz w:val="19"/>
              </w:rPr>
              <w:t>7.25-14.53</w:t>
            </w:r>
          </w:p>
        </w:tc>
        <w:tc>
          <w:tcPr>
            <w:tcW w:type="dxa" w:w="2160"/>
            <w:vAlign w:val="top"/>
          </w:tcPr>
          <w:p>
            <w:pPr>
              <w:spacing w:after="0" w:line="240" w:lineRule="auto"/>
              <w:ind w:firstLine="0"/>
            </w:pPr>
            <w:r>
              <w:rPr>
                <w:rFonts w:ascii="Arial" w:hAnsi="Arial" w:eastAsia="Arial"/>
                <w:sz w:val="19"/>
              </w:rPr>
              <w:t>5.49e-78</w:t>
            </w:r>
          </w:p>
        </w:tc>
      </w:tr>
      <w:tr>
        <w:trPr>
          <w:cantSplit/>
          <w:cantSplit/>
        </w:trPr>
        <w:tc>
          <w:tcPr>
            <w:tcW w:type="dxa" w:w="2160"/>
            <w:vAlign w:val="top"/>
          </w:tcPr>
          <w:p>
            <w:pPr>
              <w:spacing w:after="0" w:line="240" w:lineRule="auto"/>
              <w:ind w:firstLine="0"/>
            </w:pPr>
            <w:r>
              <w:rPr>
                <w:rFonts w:ascii="Arial" w:hAnsi="Arial" w:eastAsia="Arial"/>
                <w:sz w:val="19"/>
              </w:rPr>
              <w:t>tDC vs TAM01</w:t>
            </w:r>
          </w:p>
        </w:tc>
        <w:tc>
          <w:tcPr>
            <w:tcW w:type="dxa" w:w="2160"/>
            <w:vAlign w:val="top"/>
          </w:tcPr>
          <w:p>
            <w:pPr>
              <w:spacing w:after="0" w:line="240" w:lineRule="auto"/>
              <w:ind w:firstLine="0"/>
            </w:pPr>
            <w:r>
              <w:rPr>
                <w:rFonts w:ascii="Arial" w:hAnsi="Arial" w:eastAsia="Arial"/>
                <w:sz w:val="19"/>
              </w:rPr>
              <w:t>6.14</w:t>
            </w:r>
          </w:p>
        </w:tc>
        <w:tc>
          <w:tcPr>
            <w:tcW w:type="dxa" w:w="2160"/>
            <w:vAlign w:val="top"/>
          </w:tcPr>
          <w:p>
            <w:pPr>
              <w:spacing w:after="0" w:line="240" w:lineRule="auto"/>
              <w:ind w:firstLine="0"/>
            </w:pPr>
            <w:r>
              <w:rPr>
                <w:rFonts w:ascii="Arial" w:hAnsi="Arial" w:eastAsia="Arial"/>
                <w:sz w:val="19"/>
              </w:rPr>
              <w:t>3.61-10.44</w:t>
            </w:r>
          </w:p>
        </w:tc>
        <w:tc>
          <w:tcPr>
            <w:tcW w:type="dxa" w:w="2160"/>
            <w:vAlign w:val="top"/>
          </w:tcPr>
          <w:p>
            <w:pPr>
              <w:spacing w:after="0" w:line="240" w:lineRule="auto"/>
              <w:ind w:firstLine="0"/>
            </w:pPr>
            <w:r>
              <w:rPr>
                <w:rFonts w:ascii="Arial" w:hAnsi="Arial" w:eastAsia="Arial"/>
                <w:sz w:val="19"/>
              </w:rPr>
              <w:t>8.06e-22</w:t>
            </w:r>
          </w:p>
        </w:tc>
      </w:tr>
      <w:tr>
        <w:trPr>
          <w:cantSplit/>
          <w:cantSplit/>
        </w:trPr>
        <w:tc>
          <w:tcPr>
            <w:tcW w:type="dxa" w:w="2160"/>
            <w:vAlign w:val="top"/>
          </w:tcPr>
          <w:p>
            <w:pPr>
              <w:spacing w:after="0" w:line="240" w:lineRule="auto"/>
              <w:ind w:firstLine="0"/>
            </w:pPr>
            <w:r>
              <w:rPr>
                <w:rFonts w:ascii="Arial" w:hAnsi="Arial" w:eastAsia="Arial"/>
                <w:sz w:val="19"/>
              </w:rPr>
              <w:t>tDC vs TAM02</w:t>
            </w:r>
          </w:p>
        </w:tc>
        <w:tc>
          <w:tcPr>
            <w:tcW w:type="dxa" w:w="2160"/>
            <w:vAlign w:val="top"/>
          </w:tcPr>
          <w:p>
            <w:pPr>
              <w:spacing w:after="0" w:line="240" w:lineRule="auto"/>
              <w:ind w:firstLine="0"/>
            </w:pPr>
            <w:r>
              <w:rPr>
                <w:rFonts w:ascii="Arial" w:hAnsi="Arial" w:eastAsia="Arial"/>
                <w:sz w:val="19"/>
              </w:rPr>
              <w:t>5.35</w:t>
            </w:r>
          </w:p>
        </w:tc>
        <w:tc>
          <w:tcPr>
            <w:tcW w:type="dxa" w:w="2160"/>
            <w:vAlign w:val="top"/>
          </w:tcPr>
          <w:p>
            <w:pPr>
              <w:spacing w:after="0" w:line="240" w:lineRule="auto"/>
              <w:ind w:firstLine="0"/>
            </w:pPr>
            <w:r>
              <w:rPr>
                <w:rFonts w:ascii="Arial" w:hAnsi="Arial" w:eastAsia="Arial"/>
                <w:sz w:val="19"/>
              </w:rPr>
              <w:t>4.11-6.97</w:t>
            </w:r>
          </w:p>
        </w:tc>
        <w:tc>
          <w:tcPr>
            <w:tcW w:type="dxa" w:w="2160"/>
            <w:vAlign w:val="top"/>
          </w:tcPr>
          <w:p>
            <w:pPr>
              <w:spacing w:after="0" w:line="240" w:lineRule="auto"/>
              <w:ind w:firstLine="0"/>
            </w:pPr>
            <w:r>
              <w:rPr>
                <w:rFonts w:ascii="Arial" w:hAnsi="Arial" w:eastAsia="Arial"/>
                <w:sz w:val="19"/>
              </w:rPr>
              <w:t>2.63e-70</w:t>
            </w:r>
          </w:p>
        </w:tc>
      </w:tr>
      <w:tr>
        <w:trPr>
          <w:cantSplit/>
          <w:cantSplit/>
        </w:trPr>
        <w:tc>
          <w:tcPr>
            <w:tcW w:type="dxa" w:w="2160"/>
            <w:vAlign w:val="top"/>
          </w:tcPr>
          <w:p>
            <w:pPr>
              <w:spacing w:after="0" w:line="240" w:lineRule="auto"/>
              <w:ind w:firstLine="0"/>
            </w:pPr>
            <w:r>
              <w:rPr>
                <w:rFonts w:ascii="Arial" w:hAnsi="Arial" w:eastAsia="Arial"/>
                <w:sz w:val="19"/>
              </w:rPr>
              <w:t>tDC vs TAM03</w:t>
            </w:r>
          </w:p>
        </w:tc>
        <w:tc>
          <w:tcPr>
            <w:tcW w:type="dxa" w:w="2160"/>
            <w:vAlign w:val="top"/>
          </w:tcPr>
          <w:p>
            <w:pPr>
              <w:spacing w:after="0" w:line="240" w:lineRule="auto"/>
              <w:ind w:firstLine="0"/>
            </w:pPr>
            <w:r>
              <w:rPr>
                <w:rFonts w:ascii="Arial" w:hAnsi="Arial" w:eastAsia="Arial"/>
                <w:sz w:val="19"/>
              </w:rPr>
              <w:t>6.91</w:t>
            </w:r>
          </w:p>
        </w:tc>
        <w:tc>
          <w:tcPr>
            <w:tcW w:type="dxa" w:w="2160"/>
            <w:vAlign w:val="top"/>
          </w:tcPr>
          <w:p>
            <w:pPr>
              <w:spacing w:after="0" w:line="240" w:lineRule="auto"/>
              <w:ind w:firstLine="0"/>
            </w:pPr>
            <w:r>
              <w:rPr>
                <w:rFonts w:ascii="Arial" w:hAnsi="Arial" w:eastAsia="Arial"/>
                <w:sz w:val="19"/>
              </w:rPr>
              <w:t>3.99-11.95</w:t>
            </w:r>
          </w:p>
        </w:tc>
        <w:tc>
          <w:tcPr>
            <w:tcW w:type="dxa" w:w="2160"/>
            <w:vAlign w:val="top"/>
          </w:tcPr>
          <w:p>
            <w:pPr>
              <w:spacing w:after="0" w:line="240" w:lineRule="auto"/>
              <w:ind w:firstLine="0"/>
            </w:pPr>
            <w:r>
              <w:rPr>
                <w:rFonts w:ascii="Arial" w:hAnsi="Arial" w:eastAsia="Arial"/>
                <w:sz w:val="19"/>
              </w:rPr>
              <w:t>4.55e-23</w:t>
            </w:r>
          </w:p>
        </w:tc>
      </w:tr>
      <w:tr>
        <w:trPr>
          <w:cantSplit/>
          <w:cantSplit/>
        </w:trPr>
        <w:tc>
          <w:tcPr>
            <w:tcW w:type="dxa" w:w="2160"/>
            <w:vAlign w:val="top"/>
          </w:tcPr>
          <w:p>
            <w:pPr>
              <w:spacing w:after="0" w:line="240" w:lineRule="auto"/>
              <w:ind w:firstLine="0"/>
            </w:pPr>
            <w:r>
              <w:rPr>
                <w:rFonts w:ascii="Arial" w:hAnsi="Arial" w:eastAsia="Arial"/>
                <w:sz w:val="19"/>
              </w:rPr>
              <w:t>tDC vs TAM04</w:t>
            </w:r>
          </w:p>
        </w:tc>
        <w:tc>
          <w:tcPr>
            <w:tcW w:type="dxa" w:w="2160"/>
            <w:vAlign w:val="top"/>
          </w:tcPr>
          <w:p>
            <w:pPr>
              <w:spacing w:after="0" w:line="240" w:lineRule="auto"/>
              <w:ind w:firstLine="0"/>
            </w:pPr>
            <w:r>
              <w:rPr>
                <w:rFonts w:ascii="Arial" w:hAnsi="Arial" w:eastAsia="Arial"/>
                <w:sz w:val="19"/>
              </w:rPr>
              <w:t>4.54</w:t>
            </w:r>
          </w:p>
        </w:tc>
        <w:tc>
          <w:tcPr>
            <w:tcW w:type="dxa" w:w="2160"/>
            <w:vAlign w:val="top"/>
          </w:tcPr>
          <w:p>
            <w:pPr>
              <w:spacing w:after="0" w:line="240" w:lineRule="auto"/>
              <w:ind w:firstLine="0"/>
            </w:pPr>
            <w:r>
              <w:rPr>
                <w:rFonts w:ascii="Arial" w:hAnsi="Arial" w:eastAsia="Arial"/>
                <w:sz w:val="19"/>
              </w:rPr>
              <w:t>3.02-6.82</w:t>
            </w:r>
          </w:p>
        </w:tc>
        <w:tc>
          <w:tcPr>
            <w:tcW w:type="dxa" w:w="2160"/>
            <w:vAlign w:val="top"/>
          </w:tcPr>
          <w:p>
            <w:pPr>
              <w:spacing w:after="0" w:line="240" w:lineRule="auto"/>
              <w:ind w:firstLine="0"/>
            </w:pPr>
            <w:r>
              <w:rPr>
                <w:rFonts w:ascii="Arial" w:hAnsi="Arial" w:eastAsia="Arial"/>
                <w:sz w:val="19"/>
              </w:rPr>
              <w:t>3.73e-25</w:t>
            </w:r>
          </w:p>
        </w:tc>
      </w:tr>
      <w:tr>
        <w:trPr>
          <w:cantSplit/>
          <w:cantSplit/>
        </w:trPr>
        <w:tc>
          <w:tcPr>
            <w:tcW w:type="dxa" w:w="2160"/>
            <w:vAlign w:val="top"/>
          </w:tcPr>
          <w:p>
            <w:pPr>
              <w:spacing w:after="0" w:line="240" w:lineRule="auto"/>
              <w:ind w:firstLine="0"/>
            </w:pPr>
            <w:r>
              <w:rPr>
                <w:rFonts w:ascii="Arial" w:hAnsi="Arial" w:eastAsia="Arial"/>
                <w:sz w:val="19"/>
              </w:rPr>
              <w:t>tDC vs Mast</w:t>
            </w:r>
          </w:p>
        </w:tc>
        <w:tc>
          <w:tcPr>
            <w:tcW w:type="dxa" w:w="2160"/>
            <w:vAlign w:val="top"/>
          </w:tcPr>
          <w:p>
            <w:pPr>
              <w:spacing w:after="0" w:line="240" w:lineRule="auto"/>
              <w:ind w:firstLine="0"/>
            </w:pPr>
            <w:r>
              <w:rPr>
                <w:rFonts w:ascii="Arial" w:hAnsi="Arial" w:eastAsia="Arial"/>
                <w:sz w:val="19"/>
              </w:rPr>
              <w:t>3.94</w:t>
            </w:r>
          </w:p>
        </w:tc>
        <w:tc>
          <w:tcPr>
            <w:tcW w:type="dxa" w:w="2160"/>
            <w:vAlign w:val="top"/>
          </w:tcPr>
          <w:p>
            <w:pPr>
              <w:spacing w:after="0" w:line="240" w:lineRule="auto"/>
              <w:ind w:firstLine="0"/>
            </w:pPr>
            <w:r>
              <w:rPr>
                <w:rFonts w:ascii="Arial" w:hAnsi="Arial" w:eastAsia="Arial"/>
                <w:sz w:val="19"/>
              </w:rPr>
              <w:t>2.71-5.73</w:t>
            </w:r>
          </w:p>
        </w:tc>
        <w:tc>
          <w:tcPr>
            <w:tcW w:type="dxa" w:w="2160"/>
            <w:vAlign w:val="top"/>
          </w:tcPr>
          <w:p>
            <w:pPr>
              <w:spacing w:after="0" w:line="240" w:lineRule="auto"/>
              <w:ind w:firstLine="0"/>
            </w:pPr>
            <w:r>
              <w:rPr>
                <w:rFonts w:ascii="Arial" w:hAnsi="Arial" w:eastAsia="Arial"/>
                <w:sz w:val="19"/>
              </w:rPr>
              <w:t>1.95e-24</w:t>
            </w:r>
          </w:p>
        </w:tc>
      </w:tr>
      <w:tr>
        <w:trPr>
          <w:cantSplit/>
          <w:cantSplit/>
        </w:trPr>
        <w:tc>
          <w:tcPr>
            <w:tcW w:type="dxa" w:w="2160"/>
            <w:vAlign w:val="top"/>
          </w:tcPr>
          <w:p>
            <w:pPr>
              <w:spacing w:after="0" w:line="240" w:lineRule="auto"/>
              <w:ind w:firstLine="0"/>
            </w:pPr>
            <w:r>
              <w:rPr>
                <w:rFonts w:ascii="Arial" w:hAnsi="Arial" w:eastAsia="Arial"/>
                <w:sz w:val="19"/>
              </w:rPr>
              <w:t>tDC vs cDC</w:t>
            </w:r>
          </w:p>
        </w:tc>
        <w:tc>
          <w:tcPr>
            <w:tcW w:type="dxa" w:w="2160"/>
            <w:vAlign w:val="top"/>
          </w:tcPr>
          <w:p>
            <w:pPr>
              <w:spacing w:after="0" w:line="240" w:lineRule="auto"/>
              <w:ind w:firstLine="0"/>
            </w:pPr>
            <w:r>
              <w:rPr>
                <w:rFonts w:ascii="Arial" w:hAnsi="Arial" w:eastAsia="Arial"/>
                <w:sz w:val="19"/>
              </w:rPr>
              <w:t>5.39</w:t>
            </w:r>
          </w:p>
        </w:tc>
        <w:tc>
          <w:tcPr>
            <w:tcW w:type="dxa" w:w="2160"/>
            <w:vAlign w:val="top"/>
          </w:tcPr>
          <w:p>
            <w:pPr>
              <w:spacing w:after="0" w:line="240" w:lineRule="auto"/>
              <w:ind w:firstLine="0"/>
            </w:pPr>
            <w:r>
              <w:rPr>
                <w:rFonts w:ascii="Arial" w:hAnsi="Arial" w:eastAsia="Arial"/>
                <w:sz w:val="19"/>
              </w:rPr>
              <w:t>4.05-7.16</w:t>
            </w:r>
          </w:p>
        </w:tc>
        <w:tc>
          <w:tcPr>
            <w:tcW w:type="dxa" w:w="2160"/>
            <w:vAlign w:val="top"/>
          </w:tcPr>
          <w:p>
            <w:pPr>
              <w:spacing w:after="0" w:line="240" w:lineRule="auto"/>
              <w:ind w:firstLine="0"/>
            </w:pPr>
            <w:r>
              <w:rPr>
                <w:rFonts w:ascii="Arial" w:hAnsi="Arial" w:eastAsia="Arial"/>
                <w:sz w:val="19"/>
              </w:rPr>
              <w:t>1.70e-61</w:t>
            </w:r>
          </w:p>
        </w:tc>
      </w:tr>
      <w:tr>
        <w:trPr>
          <w:cantSplit/>
          <w:cantSplit/>
        </w:trPr>
        <w:tc>
          <w:tcPr>
            <w:tcW w:type="dxa" w:w="2160"/>
            <w:vAlign w:val="top"/>
          </w:tcPr>
          <w:p>
            <w:pPr>
              <w:spacing w:after="0" w:line="240" w:lineRule="auto"/>
              <w:ind w:firstLine="0"/>
            </w:pPr>
            <w:r>
              <w:rPr>
                <w:rFonts w:ascii="Arial" w:hAnsi="Arial" w:eastAsia="Arial"/>
                <w:sz w:val="19"/>
              </w:rPr>
              <w:t>tDC vs pDC</w:t>
            </w:r>
          </w:p>
        </w:tc>
        <w:tc>
          <w:tcPr>
            <w:tcW w:type="dxa" w:w="2160"/>
            <w:vAlign w:val="top"/>
          </w:tcPr>
          <w:p>
            <w:pPr>
              <w:spacing w:after="0" w:line="240" w:lineRule="auto"/>
              <w:ind w:firstLine="0"/>
            </w:pPr>
            <w:r>
              <w:rPr>
                <w:rFonts w:ascii="Arial" w:hAnsi="Arial" w:eastAsia="Arial"/>
                <w:sz w:val="19"/>
              </w:rPr>
              <w:t>4.95</w:t>
            </w:r>
          </w:p>
        </w:tc>
        <w:tc>
          <w:tcPr>
            <w:tcW w:type="dxa" w:w="2160"/>
            <w:vAlign w:val="top"/>
          </w:tcPr>
          <w:p>
            <w:pPr>
              <w:spacing w:after="0" w:line="240" w:lineRule="auto"/>
              <w:ind w:firstLine="0"/>
            </w:pPr>
            <w:r>
              <w:rPr>
                <w:rFonts w:ascii="Arial" w:hAnsi="Arial" w:eastAsia="Arial"/>
                <w:sz w:val="19"/>
              </w:rPr>
              <w:t>3.16-7.73</w:t>
            </w:r>
          </w:p>
        </w:tc>
        <w:tc>
          <w:tcPr>
            <w:tcW w:type="dxa" w:w="2160"/>
            <w:vAlign w:val="top"/>
          </w:tcPr>
          <w:p>
            <w:pPr>
              <w:spacing w:after="0" w:line="240" w:lineRule="auto"/>
              <w:ind w:firstLine="0"/>
            </w:pPr>
            <w:r>
              <w:rPr>
                <w:rFonts w:ascii="Arial" w:hAnsi="Arial" w:eastAsia="Arial"/>
                <w:sz w:val="19"/>
              </w:rPr>
              <w:t>1.16e-23</w:t>
            </w:r>
          </w:p>
        </w:tc>
      </w:tr>
    </w:tbl>
    <w:p/>
    <w:p>
      <w:pPr>
        <w:ind w:firstLine="0"/>
      </w:pPr>
      <w:r>
        <w:rPr>
          <w:rFonts w:ascii="Arial" w:hAnsi="Arial" w:eastAsia="Arial"/>
          <w:b/>
          <w:sz w:val="24"/>
        </w:rPr>
        <w:t>Supplementary Table S3. UMI-threshold conditional-logistic robustness models.</w:t>
      </w:r>
    </w:p>
    <w:tbl>
      <w:tblPr>
        <w:tblStyle w:val="TableGrid"/>
        <w:tblW w:type="auto" w:w="0"/>
        <w:jc w:val="center"/>
        <w:tblLook w:firstColumn="1" w:firstRow="1" w:lastColumn="0" w:lastRow="0" w:noHBand="0" w:noVBand="1" w:val="04A0"/>
      </w:tblPr>
      <w:tblGrid>
        <w:gridCol w:w="1234"/>
        <w:gridCol w:w="1234"/>
        <w:gridCol w:w="1234"/>
        <w:gridCol w:w="1234"/>
        <w:gridCol w:w="1234"/>
        <w:gridCol w:w="1234"/>
        <w:gridCol w:w="1234"/>
      </w:tblGrid>
      <w:tr>
        <w:trPr>
          <w:tblHeader w:val="true"/>
          <w:cantSplit/>
        </w:trPr>
        <w:tc>
          <w:tcPr>
            <w:tcW w:type="dxa" w:w="1234"/>
            <w:shd w:fill="D9EAF7"/>
            <w:vAlign w:val="top"/>
          </w:tcPr>
          <w:p>
            <w:pPr>
              <w:spacing w:after="0" w:line="240" w:lineRule="auto"/>
              <w:ind w:firstLine="0"/>
            </w:pPr>
            <w:r>
              <w:rPr>
                <w:rFonts w:ascii="Arial" w:hAnsi="Arial" w:eastAsia="Arial"/>
                <w:b/>
                <w:sz w:val="19"/>
              </w:rPr>
              <w:t>Compartment</w:t>
            </w:r>
          </w:p>
        </w:tc>
        <w:tc>
          <w:tcPr>
            <w:tcW w:type="dxa" w:w="1234"/>
            <w:shd w:fill="D9EAF7"/>
            <w:vAlign w:val="top"/>
          </w:tcPr>
          <w:p>
            <w:pPr>
              <w:spacing w:after="0" w:line="240" w:lineRule="auto"/>
              <w:ind w:firstLine="0"/>
            </w:pPr>
            <w:r>
              <w:rPr>
                <w:rFonts w:ascii="Arial" w:hAnsi="Arial" w:eastAsia="Arial"/>
                <w:b/>
                <w:sz w:val="19"/>
              </w:rPr>
              <w:t>Threshold</w:t>
            </w:r>
          </w:p>
        </w:tc>
        <w:tc>
          <w:tcPr>
            <w:tcW w:type="dxa" w:w="1234"/>
            <w:shd w:fill="D9EAF7"/>
            <w:vAlign w:val="top"/>
          </w:tcPr>
          <w:p>
            <w:pPr>
              <w:spacing w:after="0" w:line="240" w:lineRule="auto"/>
              <w:ind w:firstLine="0"/>
            </w:pPr>
            <w:r>
              <w:rPr>
                <w:rFonts w:ascii="Arial" w:hAnsi="Arial" w:eastAsia="Arial"/>
                <w:b/>
                <w:sz w:val="19"/>
              </w:rPr>
              <w:t>Events</w:t>
            </w:r>
          </w:p>
        </w:tc>
        <w:tc>
          <w:tcPr>
            <w:tcW w:type="dxa" w:w="1234"/>
            <w:shd w:fill="D9EAF7"/>
            <w:vAlign w:val="top"/>
          </w:tcPr>
          <w:p>
            <w:pPr>
              <w:spacing w:after="0" w:line="240" w:lineRule="auto"/>
              <w:ind w:firstLine="0"/>
            </w:pPr>
            <w:r>
              <w:rPr>
                <w:rFonts w:ascii="Arial" w:hAnsi="Arial" w:eastAsia="Arial"/>
                <w:b/>
                <w:sz w:val="19"/>
              </w:rPr>
              <w:t>tDC events</w:t>
            </w:r>
          </w:p>
        </w:tc>
        <w:tc>
          <w:tcPr>
            <w:tcW w:type="dxa" w:w="1234"/>
            <w:shd w:fill="D9EAF7"/>
            <w:vAlign w:val="top"/>
          </w:tcPr>
          <w:p>
            <w:pPr>
              <w:spacing w:after="0" w:line="240" w:lineRule="auto"/>
              <w:ind w:firstLine="0"/>
            </w:pPr>
            <w:r>
              <w:rPr>
                <w:rFonts w:ascii="Arial" w:hAnsi="Arial" w:eastAsia="Arial"/>
                <w:b/>
                <w:sz w:val="19"/>
              </w:rPr>
              <w:t>Odds ratio</w:t>
            </w:r>
          </w:p>
        </w:tc>
        <w:tc>
          <w:tcPr>
            <w:tcW w:type="dxa" w:w="1234"/>
            <w:shd w:fill="D9EAF7"/>
            <w:vAlign w:val="top"/>
          </w:tcPr>
          <w:p>
            <w:pPr>
              <w:spacing w:after="0" w:line="240" w:lineRule="auto"/>
              <w:ind w:firstLine="0"/>
            </w:pPr>
            <w:r>
              <w:rPr>
                <w:rFonts w:ascii="Arial" w:hAnsi="Arial" w:eastAsia="Arial"/>
                <w:b/>
                <w:sz w:val="19"/>
              </w:rPr>
              <w:t>95% CI</w:t>
            </w:r>
          </w:p>
        </w:tc>
        <w:tc>
          <w:tcPr>
            <w:tcW w:type="dxa" w:w="1234"/>
            <w:shd w:fill="D9EAF7"/>
            <w:vAlign w:val="top"/>
          </w:tcPr>
          <w:p>
            <w:pPr>
              <w:spacing w:after="0" w:line="240" w:lineRule="auto"/>
              <w:ind w:firstLine="0"/>
            </w:pPr>
            <w:r>
              <w:rPr>
                <w:rFonts w:ascii="Arial" w:hAnsi="Arial" w:eastAsia="Arial"/>
                <w:b/>
                <w:sz w:val="19"/>
              </w:rPr>
              <w:t>P</w:t>
            </w:r>
          </w:p>
        </w:tc>
      </w:tr>
      <w:tr>
        <w:trPr>
          <w:cantSplit/>
          <w:cantSplit/>
        </w:trPr>
        <w:tc>
          <w:tcPr>
            <w:tcW w:type="dxa" w:w="1234"/>
            <w:vAlign w:val="top"/>
          </w:tcPr>
          <w:p>
            <w:pPr>
              <w:spacing w:after="0" w:line="240" w:lineRule="auto"/>
              <w:ind w:firstLine="0"/>
            </w:pPr>
            <w:r>
              <w:rPr>
                <w:rFonts w:ascii="Arial" w:hAnsi="Arial" w:eastAsia="Arial"/>
                <w:sz w:val="19"/>
              </w:rPr>
              <w:t>All core myeloid</w:t>
            </w:r>
          </w:p>
        </w:tc>
        <w:tc>
          <w:tcPr>
            <w:tcW w:type="dxa" w:w="1234"/>
            <w:vAlign w:val="top"/>
          </w:tcPr>
          <w:p>
            <w:pPr>
              <w:spacing w:after="0" w:line="240" w:lineRule="auto"/>
              <w:ind w:firstLine="0"/>
            </w:pPr>
            <w:r>
              <w:rPr>
                <w:rFonts w:ascii="Arial" w:hAnsi="Arial" w:eastAsia="Arial"/>
                <w:sz w:val="19"/>
              </w:rPr>
              <w:t>&gt;=1 UMI</w:t>
            </w:r>
          </w:p>
        </w:tc>
        <w:tc>
          <w:tcPr>
            <w:tcW w:type="dxa" w:w="1234"/>
            <w:vAlign w:val="top"/>
          </w:tcPr>
          <w:p>
            <w:pPr>
              <w:spacing w:after="0" w:line="240" w:lineRule="auto"/>
              <w:ind w:firstLine="0"/>
            </w:pPr>
            <w:r>
              <w:rPr>
                <w:rFonts w:ascii="Arial" w:hAnsi="Arial" w:eastAsia="Arial"/>
                <w:sz w:val="19"/>
              </w:rPr>
              <w:t>1488</w:t>
            </w:r>
          </w:p>
        </w:tc>
        <w:tc>
          <w:tcPr>
            <w:tcW w:type="dxa" w:w="1234"/>
            <w:vAlign w:val="top"/>
          </w:tcPr>
          <w:p>
            <w:pPr>
              <w:spacing w:after="0" w:line="240" w:lineRule="auto"/>
              <w:ind w:firstLine="0"/>
            </w:pPr>
            <w:r>
              <w:rPr>
                <w:rFonts w:ascii="Arial" w:hAnsi="Arial" w:eastAsia="Arial"/>
                <w:sz w:val="19"/>
              </w:rPr>
              <w:t>289</w:t>
            </w:r>
          </w:p>
        </w:tc>
        <w:tc>
          <w:tcPr>
            <w:tcW w:type="dxa" w:w="1234"/>
            <w:vAlign w:val="top"/>
          </w:tcPr>
          <w:p>
            <w:pPr>
              <w:spacing w:after="0" w:line="240" w:lineRule="auto"/>
              <w:ind w:firstLine="0"/>
            </w:pPr>
            <w:r>
              <w:rPr>
                <w:rFonts w:ascii="Arial" w:hAnsi="Arial" w:eastAsia="Arial"/>
                <w:sz w:val="19"/>
              </w:rPr>
              <w:t>6.64</w:t>
            </w:r>
          </w:p>
        </w:tc>
        <w:tc>
          <w:tcPr>
            <w:tcW w:type="dxa" w:w="1234"/>
            <w:vAlign w:val="top"/>
          </w:tcPr>
          <w:p>
            <w:pPr>
              <w:spacing w:after="0" w:line="240" w:lineRule="auto"/>
              <w:ind w:firstLine="0"/>
            </w:pPr>
            <w:r>
              <w:rPr>
                <w:rFonts w:ascii="Arial" w:hAnsi="Arial" w:eastAsia="Arial"/>
                <w:sz w:val="19"/>
              </w:rPr>
              <w:t>5.73-7.68</w:t>
            </w:r>
          </w:p>
        </w:tc>
        <w:tc>
          <w:tcPr>
            <w:tcW w:type="dxa" w:w="1234"/>
            <w:vAlign w:val="top"/>
          </w:tcPr>
          <w:p>
            <w:pPr>
              <w:spacing w:after="0" w:line="240" w:lineRule="auto"/>
              <w:ind w:firstLine="0"/>
            </w:pPr>
            <w:r>
              <w:rPr>
                <w:rFonts w:ascii="Arial" w:hAnsi="Arial" w:eastAsia="Arial"/>
                <w:sz w:val="19"/>
              </w:rPr>
              <w:t>6.56e-142</w:t>
            </w:r>
          </w:p>
        </w:tc>
      </w:tr>
      <w:tr>
        <w:trPr>
          <w:cantSplit/>
          <w:cantSplit/>
        </w:trPr>
        <w:tc>
          <w:tcPr>
            <w:tcW w:type="dxa" w:w="1234"/>
            <w:vAlign w:val="top"/>
          </w:tcPr>
          <w:p>
            <w:pPr>
              <w:spacing w:after="0" w:line="240" w:lineRule="auto"/>
              <w:ind w:firstLine="0"/>
            </w:pPr>
            <w:r>
              <w:rPr>
                <w:rFonts w:ascii="Arial" w:hAnsi="Arial" w:eastAsia="Arial"/>
                <w:sz w:val="19"/>
              </w:rPr>
              <w:t>DC compartment</w:t>
            </w:r>
          </w:p>
        </w:tc>
        <w:tc>
          <w:tcPr>
            <w:tcW w:type="dxa" w:w="1234"/>
            <w:vAlign w:val="top"/>
          </w:tcPr>
          <w:p>
            <w:pPr>
              <w:spacing w:after="0" w:line="240" w:lineRule="auto"/>
              <w:ind w:firstLine="0"/>
            </w:pPr>
            <w:r>
              <w:rPr>
                <w:rFonts w:ascii="Arial" w:hAnsi="Arial" w:eastAsia="Arial"/>
                <w:sz w:val="19"/>
              </w:rPr>
              <w:t>&gt;=1 UMI</w:t>
            </w:r>
          </w:p>
        </w:tc>
        <w:tc>
          <w:tcPr>
            <w:tcW w:type="dxa" w:w="1234"/>
            <w:vAlign w:val="top"/>
          </w:tcPr>
          <w:p>
            <w:pPr>
              <w:spacing w:after="0" w:line="240" w:lineRule="auto"/>
              <w:ind w:firstLine="0"/>
            </w:pPr>
            <w:r>
              <w:rPr>
                <w:rFonts w:ascii="Arial" w:hAnsi="Arial" w:eastAsia="Arial"/>
                <w:sz w:val="19"/>
              </w:rPr>
              <w:t>604</w:t>
            </w:r>
          </w:p>
        </w:tc>
        <w:tc>
          <w:tcPr>
            <w:tcW w:type="dxa" w:w="1234"/>
            <w:vAlign w:val="top"/>
          </w:tcPr>
          <w:p>
            <w:pPr>
              <w:spacing w:after="0" w:line="240" w:lineRule="auto"/>
              <w:ind w:firstLine="0"/>
            </w:pPr>
            <w:r>
              <w:rPr>
                <w:rFonts w:ascii="Arial" w:hAnsi="Arial" w:eastAsia="Arial"/>
                <w:sz w:val="19"/>
              </w:rPr>
              <w:t>289</w:t>
            </w:r>
          </w:p>
        </w:tc>
        <w:tc>
          <w:tcPr>
            <w:tcW w:type="dxa" w:w="1234"/>
            <w:vAlign w:val="top"/>
          </w:tcPr>
          <w:p>
            <w:pPr>
              <w:spacing w:after="0" w:line="240" w:lineRule="auto"/>
              <w:ind w:firstLine="0"/>
            </w:pPr>
            <w:r>
              <w:rPr>
                <w:rFonts w:ascii="Arial" w:hAnsi="Arial" w:eastAsia="Arial"/>
                <w:sz w:val="19"/>
              </w:rPr>
              <w:t>4.94</w:t>
            </w:r>
          </w:p>
        </w:tc>
        <w:tc>
          <w:tcPr>
            <w:tcW w:type="dxa" w:w="1234"/>
            <w:vAlign w:val="top"/>
          </w:tcPr>
          <w:p>
            <w:pPr>
              <w:spacing w:after="0" w:line="240" w:lineRule="auto"/>
              <w:ind w:firstLine="0"/>
            </w:pPr>
            <w:r>
              <w:rPr>
                <w:rFonts w:ascii="Arial" w:hAnsi="Arial" w:eastAsia="Arial"/>
                <w:sz w:val="19"/>
              </w:rPr>
              <w:t>4.11-5.94</w:t>
            </w:r>
          </w:p>
        </w:tc>
        <w:tc>
          <w:tcPr>
            <w:tcW w:type="dxa" w:w="1234"/>
            <w:vAlign w:val="top"/>
          </w:tcPr>
          <w:p>
            <w:pPr>
              <w:spacing w:after="0" w:line="240" w:lineRule="auto"/>
              <w:ind w:firstLine="0"/>
            </w:pPr>
            <w:r>
              <w:rPr>
                <w:rFonts w:ascii="Arial" w:hAnsi="Arial" w:eastAsia="Arial"/>
                <w:sz w:val="19"/>
              </w:rPr>
              <w:t>6.14e-65</w:t>
            </w:r>
          </w:p>
        </w:tc>
      </w:tr>
      <w:tr>
        <w:trPr>
          <w:cantSplit/>
          <w:cantSplit/>
        </w:trPr>
        <w:tc>
          <w:tcPr>
            <w:tcW w:type="dxa" w:w="1234"/>
            <w:vAlign w:val="top"/>
          </w:tcPr>
          <w:p>
            <w:pPr>
              <w:spacing w:after="0" w:line="240" w:lineRule="auto"/>
              <w:ind w:firstLine="0"/>
            </w:pPr>
            <w:r>
              <w:rPr>
                <w:rFonts w:ascii="Arial" w:hAnsi="Arial" w:eastAsia="Arial"/>
                <w:sz w:val="19"/>
              </w:rPr>
              <w:t>All core myeloid</w:t>
            </w:r>
          </w:p>
        </w:tc>
        <w:tc>
          <w:tcPr>
            <w:tcW w:type="dxa" w:w="1234"/>
            <w:vAlign w:val="top"/>
          </w:tcPr>
          <w:p>
            <w:pPr>
              <w:spacing w:after="0" w:line="240" w:lineRule="auto"/>
              <w:ind w:firstLine="0"/>
            </w:pPr>
            <w:r>
              <w:rPr>
                <w:rFonts w:ascii="Arial" w:hAnsi="Arial" w:eastAsia="Arial"/>
                <w:sz w:val="19"/>
              </w:rPr>
              <w:t>&gt;=2 UMI</w:t>
            </w:r>
          </w:p>
        </w:tc>
        <w:tc>
          <w:tcPr>
            <w:tcW w:type="dxa" w:w="1234"/>
            <w:vAlign w:val="top"/>
          </w:tcPr>
          <w:p>
            <w:pPr>
              <w:spacing w:after="0" w:line="240" w:lineRule="auto"/>
              <w:ind w:firstLine="0"/>
            </w:pPr>
            <w:r>
              <w:rPr>
                <w:rFonts w:ascii="Arial" w:hAnsi="Arial" w:eastAsia="Arial"/>
                <w:sz w:val="19"/>
              </w:rPr>
              <w:t>204</w:t>
            </w:r>
          </w:p>
        </w:tc>
        <w:tc>
          <w:tcPr>
            <w:tcW w:type="dxa" w:w="1234"/>
            <w:vAlign w:val="top"/>
          </w:tcPr>
          <w:p>
            <w:pPr>
              <w:spacing w:after="0" w:line="240" w:lineRule="auto"/>
              <w:ind w:firstLine="0"/>
            </w:pPr>
            <w:r>
              <w:rPr>
                <w:rFonts w:ascii="Arial" w:hAnsi="Arial" w:eastAsia="Arial"/>
                <w:sz w:val="19"/>
              </w:rPr>
              <w:t>95</w:t>
            </w:r>
          </w:p>
        </w:tc>
        <w:tc>
          <w:tcPr>
            <w:tcW w:type="dxa" w:w="1234"/>
            <w:vAlign w:val="top"/>
          </w:tcPr>
          <w:p>
            <w:pPr>
              <w:spacing w:after="0" w:line="240" w:lineRule="auto"/>
              <w:ind w:firstLine="0"/>
            </w:pPr>
            <w:r>
              <w:rPr>
                <w:rFonts w:ascii="Arial" w:hAnsi="Arial" w:eastAsia="Arial"/>
                <w:sz w:val="19"/>
              </w:rPr>
              <w:t>25.07</w:t>
            </w:r>
          </w:p>
        </w:tc>
        <w:tc>
          <w:tcPr>
            <w:tcW w:type="dxa" w:w="1234"/>
            <w:vAlign w:val="top"/>
          </w:tcPr>
          <w:p>
            <w:pPr>
              <w:spacing w:after="0" w:line="240" w:lineRule="auto"/>
              <w:ind w:firstLine="0"/>
            </w:pPr>
            <w:r>
              <w:rPr>
                <w:rFonts w:ascii="Arial" w:hAnsi="Arial" w:eastAsia="Arial"/>
                <w:sz w:val="19"/>
              </w:rPr>
              <w:t>17.82-35.26</w:t>
            </w:r>
          </w:p>
        </w:tc>
        <w:tc>
          <w:tcPr>
            <w:tcW w:type="dxa" w:w="1234"/>
            <w:vAlign w:val="top"/>
          </w:tcPr>
          <w:p>
            <w:pPr>
              <w:spacing w:after="0" w:line="240" w:lineRule="auto"/>
              <w:ind w:firstLine="0"/>
            </w:pPr>
            <w:r>
              <w:rPr>
                <w:rFonts w:ascii="Arial" w:hAnsi="Arial" w:eastAsia="Arial"/>
                <w:sz w:val="19"/>
              </w:rPr>
              <w:t>2.11e-76</w:t>
            </w:r>
          </w:p>
        </w:tc>
      </w:tr>
      <w:tr>
        <w:trPr>
          <w:cantSplit/>
          <w:cantSplit/>
        </w:trPr>
        <w:tc>
          <w:tcPr>
            <w:tcW w:type="dxa" w:w="1234"/>
            <w:vAlign w:val="top"/>
          </w:tcPr>
          <w:p>
            <w:pPr>
              <w:spacing w:after="0" w:line="240" w:lineRule="auto"/>
              <w:ind w:firstLine="0"/>
            </w:pPr>
            <w:r>
              <w:rPr>
                <w:rFonts w:ascii="Arial" w:hAnsi="Arial" w:eastAsia="Arial"/>
                <w:sz w:val="19"/>
              </w:rPr>
              <w:t>DC compartment</w:t>
            </w:r>
          </w:p>
        </w:tc>
        <w:tc>
          <w:tcPr>
            <w:tcW w:type="dxa" w:w="1234"/>
            <w:vAlign w:val="top"/>
          </w:tcPr>
          <w:p>
            <w:pPr>
              <w:spacing w:after="0" w:line="240" w:lineRule="auto"/>
              <w:ind w:firstLine="0"/>
            </w:pPr>
            <w:r>
              <w:rPr>
                <w:rFonts w:ascii="Arial" w:hAnsi="Arial" w:eastAsia="Arial"/>
                <w:sz w:val="19"/>
              </w:rPr>
              <w:t>&gt;=2 UMI</w:t>
            </w:r>
          </w:p>
        </w:tc>
        <w:tc>
          <w:tcPr>
            <w:tcW w:type="dxa" w:w="1234"/>
            <w:vAlign w:val="top"/>
          </w:tcPr>
          <w:p>
            <w:pPr>
              <w:spacing w:after="0" w:line="240" w:lineRule="auto"/>
              <w:ind w:firstLine="0"/>
            </w:pPr>
            <w:r>
              <w:rPr>
                <w:rFonts w:ascii="Arial" w:hAnsi="Arial" w:eastAsia="Arial"/>
                <w:sz w:val="19"/>
              </w:rPr>
              <w:t>131</w:t>
            </w:r>
          </w:p>
        </w:tc>
        <w:tc>
          <w:tcPr>
            <w:tcW w:type="dxa" w:w="1234"/>
            <w:vAlign w:val="top"/>
          </w:tcPr>
          <w:p>
            <w:pPr>
              <w:spacing w:after="0" w:line="240" w:lineRule="auto"/>
              <w:ind w:firstLine="0"/>
            </w:pPr>
            <w:r>
              <w:rPr>
                <w:rFonts w:ascii="Arial" w:hAnsi="Arial" w:eastAsia="Arial"/>
                <w:sz w:val="19"/>
              </w:rPr>
              <w:t>95</w:t>
            </w:r>
          </w:p>
        </w:tc>
        <w:tc>
          <w:tcPr>
            <w:tcW w:type="dxa" w:w="1234"/>
            <w:vAlign w:val="top"/>
          </w:tcPr>
          <w:p>
            <w:pPr>
              <w:spacing w:after="0" w:line="240" w:lineRule="auto"/>
              <w:ind w:firstLine="0"/>
            </w:pPr>
            <w:r>
              <w:rPr>
                <w:rFonts w:ascii="Arial" w:hAnsi="Arial" w:eastAsia="Arial"/>
                <w:sz w:val="19"/>
              </w:rPr>
              <w:t>14.16</w:t>
            </w:r>
          </w:p>
        </w:tc>
        <w:tc>
          <w:tcPr>
            <w:tcW w:type="dxa" w:w="1234"/>
            <w:vAlign w:val="top"/>
          </w:tcPr>
          <w:p>
            <w:pPr>
              <w:spacing w:after="0" w:line="240" w:lineRule="auto"/>
              <w:ind w:firstLine="0"/>
            </w:pPr>
            <w:r>
              <w:rPr>
                <w:rFonts w:ascii="Arial" w:hAnsi="Arial" w:eastAsia="Arial"/>
                <w:sz w:val="19"/>
              </w:rPr>
              <w:t>9.19-21.82</w:t>
            </w:r>
          </w:p>
        </w:tc>
        <w:tc>
          <w:tcPr>
            <w:tcW w:type="dxa" w:w="1234"/>
            <w:vAlign w:val="top"/>
          </w:tcPr>
          <w:p>
            <w:pPr>
              <w:spacing w:after="0" w:line="240" w:lineRule="auto"/>
              <w:ind w:firstLine="0"/>
            </w:pPr>
            <w:r>
              <w:rPr>
                <w:rFonts w:ascii="Arial" w:hAnsi="Arial" w:eastAsia="Arial"/>
                <w:sz w:val="19"/>
              </w:rPr>
              <w:t>2.91e-33</w:t>
            </w:r>
          </w:p>
        </w:tc>
      </w:tr>
      <w:tr>
        <w:trPr>
          <w:cantSplit/>
          <w:cantSplit/>
        </w:trPr>
        <w:tc>
          <w:tcPr>
            <w:tcW w:type="dxa" w:w="1234"/>
            <w:vAlign w:val="top"/>
          </w:tcPr>
          <w:p>
            <w:pPr>
              <w:spacing w:after="0" w:line="240" w:lineRule="auto"/>
              <w:ind w:firstLine="0"/>
            </w:pPr>
            <w:r>
              <w:rPr>
                <w:rFonts w:ascii="Arial" w:hAnsi="Arial" w:eastAsia="Arial"/>
                <w:sz w:val="19"/>
              </w:rPr>
              <w:t>All core myeloid</w:t>
            </w:r>
          </w:p>
        </w:tc>
        <w:tc>
          <w:tcPr>
            <w:tcW w:type="dxa" w:w="1234"/>
            <w:vAlign w:val="top"/>
          </w:tcPr>
          <w:p>
            <w:pPr>
              <w:spacing w:after="0" w:line="240" w:lineRule="auto"/>
              <w:ind w:firstLine="0"/>
            </w:pPr>
            <w:r>
              <w:rPr>
                <w:rFonts w:ascii="Arial" w:hAnsi="Arial" w:eastAsia="Arial"/>
                <w:sz w:val="19"/>
              </w:rPr>
              <w:t>&gt;=3 UMI</w:t>
            </w:r>
          </w:p>
        </w:tc>
        <w:tc>
          <w:tcPr>
            <w:tcW w:type="dxa" w:w="1234"/>
            <w:vAlign w:val="top"/>
          </w:tcPr>
          <w:p>
            <w:pPr>
              <w:spacing w:after="0" w:line="240" w:lineRule="auto"/>
              <w:ind w:firstLine="0"/>
            </w:pPr>
            <w:r>
              <w:rPr>
                <w:rFonts w:ascii="Arial" w:hAnsi="Arial" w:eastAsia="Arial"/>
                <w:sz w:val="19"/>
              </w:rPr>
              <w:t>45</w:t>
            </w:r>
          </w:p>
        </w:tc>
        <w:tc>
          <w:tcPr>
            <w:tcW w:type="dxa" w:w="1234"/>
            <w:vAlign w:val="top"/>
          </w:tcPr>
          <w:p>
            <w:pPr>
              <w:spacing w:after="0" w:line="240" w:lineRule="auto"/>
              <w:ind w:firstLine="0"/>
            </w:pPr>
            <w:r>
              <w:rPr>
                <w:rFonts w:ascii="Arial" w:hAnsi="Arial" w:eastAsia="Arial"/>
                <w:sz w:val="19"/>
              </w:rPr>
              <w:t>31</w:t>
            </w:r>
          </w:p>
        </w:tc>
        <w:tc>
          <w:tcPr>
            <w:tcW w:type="dxa" w:w="1234"/>
            <w:vAlign w:val="top"/>
          </w:tcPr>
          <w:p>
            <w:pPr>
              <w:spacing w:after="0" w:line="240" w:lineRule="auto"/>
              <w:ind w:firstLine="0"/>
            </w:pPr>
            <w:r>
              <w:rPr>
                <w:rFonts w:ascii="Arial" w:hAnsi="Arial" w:eastAsia="Arial"/>
                <w:sz w:val="19"/>
              </w:rPr>
              <w:t>69.86</w:t>
            </w:r>
          </w:p>
        </w:tc>
        <w:tc>
          <w:tcPr>
            <w:tcW w:type="dxa" w:w="1234"/>
            <w:vAlign w:val="top"/>
          </w:tcPr>
          <w:p>
            <w:pPr>
              <w:spacing w:after="0" w:line="240" w:lineRule="auto"/>
              <w:ind w:firstLine="0"/>
            </w:pPr>
            <w:r>
              <w:rPr>
                <w:rFonts w:ascii="Arial" w:hAnsi="Arial" w:eastAsia="Arial"/>
                <w:sz w:val="19"/>
              </w:rPr>
              <w:t>31.86-153.18</w:t>
            </w:r>
          </w:p>
        </w:tc>
        <w:tc>
          <w:tcPr>
            <w:tcW w:type="dxa" w:w="1234"/>
            <w:vAlign w:val="top"/>
          </w:tcPr>
          <w:p>
            <w:pPr>
              <w:spacing w:after="0" w:line="240" w:lineRule="auto"/>
              <w:ind w:firstLine="0"/>
            </w:pPr>
            <w:r>
              <w:rPr>
                <w:rFonts w:ascii="Arial" w:hAnsi="Arial" w:eastAsia="Arial"/>
                <w:sz w:val="19"/>
              </w:rPr>
              <w:t>2.92e-26</w:t>
            </w:r>
          </w:p>
        </w:tc>
      </w:tr>
      <w:tr>
        <w:trPr>
          <w:cantSplit/>
          <w:cantSplit/>
        </w:trPr>
        <w:tc>
          <w:tcPr>
            <w:tcW w:type="dxa" w:w="1234"/>
            <w:vAlign w:val="top"/>
          </w:tcPr>
          <w:p>
            <w:pPr>
              <w:spacing w:after="0" w:line="240" w:lineRule="auto"/>
              <w:ind w:firstLine="0"/>
            </w:pPr>
            <w:r>
              <w:rPr>
                <w:rFonts w:ascii="Arial" w:hAnsi="Arial" w:eastAsia="Arial"/>
                <w:sz w:val="19"/>
              </w:rPr>
              <w:t>DC compartment</w:t>
            </w:r>
          </w:p>
        </w:tc>
        <w:tc>
          <w:tcPr>
            <w:tcW w:type="dxa" w:w="1234"/>
            <w:vAlign w:val="top"/>
          </w:tcPr>
          <w:p>
            <w:pPr>
              <w:spacing w:after="0" w:line="240" w:lineRule="auto"/>
              <w:ind w:firstLine="0"/>
            </w:pPr>
            <w:r>
              <w:rPr>
                <w:rFonts w:ascii="Arial" w:hAnsi="Arial" w:eastAsia="Arial"/>
                <w:sz w:val="19"/>
              </w:rPr>
              <w:t>&gt;=3 UMI</w:t>
            </w:r>
          </w:p>
        </w:tc>
        <w:tc>
          <w:tcPr>
            <w:tcW w:type="dxa" w:w="1234"/>
            <w:vAlign w:val="top"/>
          </w:tcPr>
          <w:p>
            <w:pPr>
              <w:spacing w:after="0" w:line="240" w:lineRule="auto"/>
              <w:ind w:firstLine="0"/>
            </w:pPr>
            <w:r>
              <w:rPr>
                <w:rFonts w:ascii="Arial" w:hAnsi="Arial" w:eastAsia="Arial"/>
                <w:sz w:val="19"/>
              </w:rPr>
              <w:t>37</w:t>
            </w:r>
          </w:p>
        </w:tc>
        <w:tc>
          <w:tcPr>
            <w:tcW w:type="dxa" w:w="1234"/>
            <w:vAlign w:val="top"/>
          </w:tcPr>
          <w:p>
            <w:pPr>
              <w:spacing w:after="0" w:line="240" w:lineRule="auto"/>
              <w:ind w:firstLine="0"/>
            </w:pPr>
            <w:r>
              <w:rPr>
                <w:rFonts w:ascii="Arial" w:hAnsi="Arial" w:eastAsia="Arial"/>
                <w:sz w:val="19"/>
              </w:rPr>
              <w:t>31</w:t>
            </w:r>
          </w:p>
        </w:tc>
        <w:tc>
          <w:tcPr>
            <w:tcW w:type="dxa" w:w="1234"/>
            <w:vAlign w:val="top"/>
          </w:tcPr>
          <w:p>
            <w:pPr>
              <w:spacing w:after="0" w:line="240" w:lineRule="auto"/>
              <w:ind w:firstLine="0"/>
            </w:pPr>
            <w:r>
              <w:rPr>
                <w:rFonts w:ascii="Arial" w:hAnsi="Arial" w:eastAsia="Arial"/>
                <w:sz w:val="19"/>
              </w:rPr>
              <w:t>38.54</w:t>
            </w:r>
          </w:p>
        </w:tc>
        <w:tc>
          <w:tcPr>
            <w:tcW w:type="dxa" w:w="1234"/>
            <w:vAlign w:val="top"/>
          </w:tcPr>
          <w:p>
            <w:pPr>
              <w:spacing w:after="0" w:line="240" w:lineRule="auto"/>
              <w:ind w:firstLine="0"/>
            </w:pPr>
            <w:r>
              <w:rPr>
                <w:rFonts w:ascii="Arial" w:hAnsi="Arial" w:eastAsia="Arial"/>
                <w:sz w:val="19"/>
              </w:rPr>
              <w:t>14.15-104.98</w:t>
            </w:r>
          </w:p>
        </w:tc>
        <w:tc>
          <w:tcPr>
            <w:tcW w:type="dxa" w:w="1234"/>
            <w:vAlign w:val="top"/>
          </w:tcPr>
          <w:p>
            <w:pPr>
              <w:spacing w:after="0" w:line="240" w:lineRule="auto"/>
              <w:ind w:firstLine="0"/>
            </w:pPr>
            <w:r>
              <w:rPr>
                <w:rFonts w:ascii="Arial" w:hAnsi="Arial" w:eastAsia="Arial"/>
                <w:sz w:val="19"/>
              </w:rPr>
              <w:t>9.21e-13</w:t>
            </w:r>
          </w:p>
        </w:tc>
      </w:tr>
    </w:tbl>
    <w:p/>
    <w:p>
      <w:pPr>
        <w:ind w:firstLine="0"/>
      </w:pPr>
      <w:r>
        <w:rPr>
          <w:rFonts w:ascii="Arial" w:hAnsi="Arial" w:eastAsia="Arial"/>
          <w:b/>
          <w:sz w:val="24"/>
        </w:rPr>
        <w:t>Supplementary Table S4. Abundance-matched sparse-gene empirical-null summary.</w:t>
      </w:r>
    </w:p>
    <w:tbl>
      <w:tblPr>
        <w:tblStyle w:val="TableGrid"/>
        <w:tblW w:type="auto" w:w="0"/>
        <w:jc w:val="center"/>
        <w:tblLook w:firstColumn="1" w:firstRow="1" w:lastColumn="0" w:lastRow="0" w:noHBand="0" w:noVBand="1" w:val="04A0"/>
      </w:tblPr>
      <w:tblGrid>
        <w:gridCol w:w="1234"/>
        <w:gridCol w:w="1234"/>
        <w:gridCol w:w="1234"/>
        <w:gridCol w:w="1234"/>
        <w:gridCol w:w="1234"/>
        <w:gridCol w:w="1234"/>
        <w:gridCol w:w="1234"/>
      </w:tblGrid>
      <w:tr>
        <w:trPr>
          <w:tblHeader w:val="true"/>
          <w:cantSplit/>
        </w:trPr>
        <w:tc>
          <w:tcPr>
            <w:tcW w:type="dxa" w:w="1234"/>
            <w:shd w:fill="D9EAF7"/>
            <w:vAlign w:val="top"/>
          </w:tcPr>
          <w:p>
            <w:pPr>
              <w:spacing w:after="0" w:line="240" w:lineRule="auto"/>
              <w:ind w:firstLine="0"/>
            </w:pPr>
            <w:r>
              <w:rPr>
                <w:rFonts w:ascii="Arial" w:hAnsi="Arial" w:eastAsia="Arial"/>
                <w:b/>
                <w:sz w:val="19"/>
              </w:rPr>
              <w:t>Threshold</w:t>
            </w:r>
          </w:p>
        </w:tc>
        <w:tc>
          <w:tcPr>
            <w:tcW w:type="dxa" w:w="1234"/>
            <w:shd w:fill="D9EAF7"/>
            <w:vAlign w:val="top"/>
          </w:tcPr>
          <w:p>
            <w:pPr>
              <w:spacing w:after="0" w:line="240" w:lineRule="auto"/>
              <w:ind w:firstLine="0"/>
            </w:pPr>
            <w:r>
              <w:rPr>
                <w:rFonts w:ascii="Arial" w:hAnsi="Arial" w:eastAsia="Arial"/>
                <w:b/>
                <w:sz w:val="19"/>
              </w:rPr>
              <w:t>CHRFAM7A event fraction</w:t>
            </w:r>
          </w:p>
        </w:tc>
        <w:tc>
          <w:tcPr>
            <w:tcW w:type="dxa" w:w="1234"/>
            <w:shd w:fill="D9EAF7"/>
            <w:vAlign w:val="top"/>
          </w:tcPr>
          <w:p>
            <w:pPr>
              <w:spacing w:after="0" w:line="240" w:lineRule="auto"/>
              <w:ind w:firstLine="0"/>
            </w:pPr>
            <w:r>
              <w:rPr>
                <w:rFonts w:ascii="Arial" w:hAnsi="Arial" w:eastAsia="Arial"/>
                <w:b/>
                <w:sz w:val="19"/>
              </w:rPr>
              <w:t>CHRFAM7A OR</w:t>
            </w:r>
          </w:p>
        </w:tc>
        <w:tc>
          <w:tcPr>
            <w:tcW w:type="dxa" w:w="1234"/>
            <w:shd w:fill="D9EAF7"/>
            <w:vAlign w:val="top"/>
          </w:tcPr>
          <w:p>
            <w:pPr>
              <w:spacing w:after="0" w:line="240" w:lineRule="auto"/>
              <w:ind w:firstLine="0"/>
            </w:pPr>
            <w:r>
              <w:rPr>
                <w:rFonts w:ascii="Arial" w:hAnsi="Arial" w:eastAsia="Arial"/>
                <w:b/>
                <w:sz w:val="19"/>
              </w:rPr>
              <w:t>Control median OR</w:t>
            </w:r>
          </w:p>
        </w:tc>
        <w:tc>
          <w:tcPr>
            <w:tcW w:type="dxa" w:w="1234"/>
            <w:shd w:fill="D9EAF7"/>
            <w:vAlign w:val="top"/>
          </w:tcPr>
          <w:p>
            <w:pPr>
              <w:spacing w:after="0" w:line="240" w:lineRule="auto"/>
              <w:ind w:firstLine="0"/>
            </w:pPr>
            <w:r>
              <w:rPr>
                <w:rFonts w:ascii="Arial" w:hAnsi="Arial" w:eastAsia="Arial"/>
                <w:b/>
                <w:sz w:val="19"/>
              </w:rPr>
              <w:t>Control maximum OR</w:t>
            </w:r>
          </w:p>
        </w:tc>
        <w:tc>
          <w:tcPr>
            <w:tcW w:type="dxa" w:w="1234"/>
            <w:shd w:fill="D9EAF7"/>
            <w:vAlign w:val="top"/>
          </w:tcPr>
          <w:p>
            <w:pPr>
              <w:spacing w:after="0" w:line="240" w:lineRule="auto"/>
              <w:ind w:firstLine="0"/>
            </w:pPr>
            <w:r>
              <w:rPr>
                <w:rFonts w:ascii="Arial" w:hAnsi="Arial" w:eastAsia="Arial"/>
                <w:b/>
                <w:sz w:val="19"/>
              </w:rPr>
              <w:t>Percentile</w:t>
            </w:r>
          </w:p>
        </w:tc>
        <w:tc>
          <w:tcPr>
            <w:tcW w:type="dxa" w:w="1234"/>
            <w:shd w:fill="D9EAF7"/>
            <w:vAlign w:val="top"/>
          </w:tcPr>
          <w:p>
            <w:pPr>
              <w:spacing w:after="0" w:line="240" w:lineRule="auto"/>
              <w:ind w:firstLine="0"/>
            </w:pPr>
            <w:r>
              <w:rPr>
                <w:rFonts w:ascii="Arial" w:hAnsi="Arial" w:eastAsia="Arial"/>
                <w:b/>
                <w:sz w:val="19"/>
              </w:rPr>
              <w:t>Empirical one-sided P</w:t>
            </w:r>
          </w:p>
        </w:tc>
      </w:tr>
      <w:tr>
        <w:trPr>
          <w:cantSplit/>
          <w:cantSplit/>
        </w:trPr>
        <w:tc>
          <w:tcPr>
            <w:tcW w:type="dxa" w:w="1234"/>
            <w:vAlign w:val="top"/>
          </w:tcPr>
          <w:p>
            <w:pPr>
              <w:spacing w:after="0" w:line="240" w:lineRule="auto"/>
              <w:ind w:firstLine="0"/>
            </w:pPr>
            <w:r>
              <w:rPr>
                <w:rFonts w:ascii="Arial" w:hAnsi="Arial" w:eastAsia="Arial"/>
                <w:sz w:val="19"/>
              </w:rPr>
              <w:t>&gt;=1 UMI</w:t>
            </w:r>
          </w:p>
        </w:tc>
        <w:tc>
          <w:tcPr>
            <w:tcW w:type="dxa" w:w="1234"/>
            <w:vAlign w:val="top"/>
          </w:tcPr>
          <w:p>
            <w:pPr>
              <w:spacing w:after="0" w:line="240" w:lineRule="auto"/>
              <w:ind w:firstLine="0"/>
            </w:pPr>
            <w:r>
              <w:rPr>
                <w:rFonts w:ascii="Arial" w:hAnsi="Arial" w:eastAsia="Arial"/>
                <w:sz w:val="19"/>
              </w:rPr>
              <w:t>0.0815</w:t>
            </w:r>
          </w:p>
        </w:tc>
        <w:tc>
          <w:tcPr>
            <w:tcW w:type="dxa" w:w="1234"/>
            <w:vAlign w:val="top"/>
          </w:tcPr>
          <w:p>
            <w:pPr>
              <w:spacing w:after="0" w:line="240" w:lineRule="auto"/>
              <w:ind w:firstLine="0"/>
            </w:pPr>
            <w:r>
              <w:rPr>
                <w:rFonts w:ascii="Arial" w:hAnsi="Arial" w:eastAsia="Arial"/>
                <w:sz w:val="19"/>
              </w:rPr>
              <w:t>6.64</w:t>
            </w:r>
          </w:p>
        </w:tc>
        <w:tc>
          <w:tcPr>
            <w:tcW w:type="dxa" w:w="1234"/>
            <w:vAlign w:val="top"/>
          </w:tcPr>
          <w:p>
            <w:pPr>
              <w:spacing w:after="0" w:line="240" w:lineRule="auto"/>
              <w:ind w:firstLine="0"/>
            </w:pPr>
            <w:r>
              <w:rPr>
                <w:rFonts w:ascii="Arial" w:hAnsi="Arial" w:eastAsia="Arial"/>
                <w:sz w:val="19"/>
              </w:rPr>
              <w:t>0.77</w:t>
            </w:r>
          </w:p>
        </w:tc>
        <w:tc>
          <w:tcPr>
            <w:tcW w:type="dxa" w:w="1234"/>
            <w:vAlign w:val="top"/>
          </w:tcPr>
          <w:p>
            <w:pPr>
              <w:spacing w:after="0" w:line="240" w:lineRule="auto"/>
              <w:ind w:firstLine="0"/>
            </w:pPr>
            <w:r>
              <w:rPr>
                <w:rFonts w:ascii="Arial" w:hAnsi="Arial" w:eastAsia="Arial"/>
                <w:sz w:val="19"/>
              </w:rPr>
              <w:t>8.22</w:t>
            </w:r>
          </w:p>
        </w:tc>
        <w:tc>
          <w:tcPr>
            <w:tcW w:type="dxa" w:w="1234"/>
            <w:vAlign w:val="top"/>
          </w:tcPr>
          <w:p>
            <w:pPr>
              <w:spacing w:after="0" w:line="240" w:lineRule="auto"/>
              <w:ind w:firstLine="0"/>
            </w:pPr>
            <w:r>
              <w:rPr>
                <w:rFonts w:ascii="Arial" w:hAnsi="Arial" w:eastAsia="Arial"/>
                <w:sz w:val="19"/>
              </w:rPr>
              <w:t>98th</w:t>
            </w:r>
          </w:p>
        </w:tc>
        <w:tc>
          <w:tcPr>
            <w:tcW w:type="dxa" w:w="1234"/>
            <w:vAlign w:val="top"/>
          </w:tcPr>
          <w:p>
            <w:pPr>
              <w:spacing w:after="0" w:line="240" w:lineRule="auto"/>
              <w:ind w:firstLine="0"/>
            </w:pPr>
            <w:r>
              <w:rPr>
                <w:rFonts w:ascii="Arial" w:hAnsi="Arial" w:eastAsia="Arial"/>
                <w:sz w:val="19"/>
              </w:rPr>
              <w:t>0.0297</w:t>
            </w:r>
          </w:p>
        </w:tc>
      </w:tr>
      <w:tr>
        <w:trPr>
          <w:cantSplit/>
          <w:cantSplit/>
        </w:trPr>
        <w:tc>
          <w:tcPr>
            <w:tcW w:type="dxa" w:w="1234"/>
            <w:vAlign w:val="top"/>
          </w:tcPr>
          <w:p>
            <w:pPr>
              <w:spacing w:after="0" w:line="240" w:lineRule="auto"/>
              <w:ind w:firstLine="0"/>
            </w:pPr>
            <w:r>
              <w:rPr>
                <w:rFonts w:ascii="Arial" w:hAnsi="Arial" w:eastAsia="Arial"/>
                <w:sz w:val="19"/>
              </w:rPr>
              <w:t>&gt;=2 UMI</w:t>
            </w:r>
          </w:p>
        </w:tc>
        <w:tc>
          <w:tcPr>
            <w:tcW w:type="dxa" w:w="1234"/>
            <w:vAlign w:val="top"/>
          </w:tcPr>
          <w:p>
            <w:pPr>
              <w:spacing w:after="0" w:line="240" w:lineRule="auto"/>
              <w:ind w:firstLine="0"/>
            </w:pPr>
            <w:r>
              <w:rPr>
                <w:rFonts w:ascii="Arial" w:hAnsi="Arial" w:eastAsia="Arial"/>
                <w:sz w:val="19"/>
              </w:rPr>
              <w:t>0.0112</w:t>
            </w:r>
          </w:p>
        </w:tc>
        <w:tc>
          <w:tcPr>
            <w:tcW w:type="dxa" w:w="1234"/>
            <w:vAlign w:val="top"/>
          </w:tcPr>
          <w:p>
            <w:pPr>
              <w:spacing w:after="0" w:line="240" w:lineRule="auto"/>
              <w:ind w:firstLine="0"/>
            </w:pPr>
            <w:r>
              <w:rPr>
                <w:rFonts w:ascii="Arial" w:hAnsi="Arial" w:eastAsia="Arial"/>
                <w:sz w:val="19"/>
              </w:rPr>
              <w:t>25.07</w:t>
            </w:r>
          </w:p>
        </w:tc>
        <w:tc>
          <w:tcPr>
            <w:tcW w:type="dxa" w:w="1234"/>
            <w:vAlign w:val="top"/>
          </w:tcPr>
          <w:p>
            <w:pPr>
              <w:spacing w:after="0" w:line="240" w:lineRule="auto"/>
              <w:ind w:firstLine="0"/>
            </w:pPr>
            <w:r>
              <w:rPr>
                <w:rFonts w:ascii="Arial" w:hAnsi="Arial" w:eastAsia="Arial"/>
                <w:sz w:val="19"/>
              </w:rPr>
              <w:t>0.82</w:t>
            </w:r>
          </w:p>
        </w:tc>
        <w:tc>
          <w:tcPr>
            <w:tcW w:type="dxa" w:w="1234"/>
            <w:vAlign w:val="top"/>
          </w:tcPr>
          <w:p>
            <w:pPr>
              <w:spacing w:after="0" w:line="240" w:lineRule="auto"/>
              <w:ind w:firstLine="0"/>
            </w:pPr>
            <w:r>
              <w:rPr>
                <w:rFonts w:ascii="Arial" w:hAnsi="Arial" w:eastAsia="Arial"/>
                <w:sz w:val="19"/>
              </w:rPr>
              <w:t>31.64</w:t>
            </w:r>
          </w:p>
        </w:tc>
        <w:tc>
          <w:tcPr>
            <w:tcW w:type="dxa" w:w="1234"/>
            <w:vAlign w:val="top"/>
          </w:tcPr>
          <w:p>
            <w:pPr>
              <w:spacing w:after="0" w:line="240" w:lineRule="auto"/>
              <w:ind w:firstLine="0"/>
            </w:pPr>
            <w:r>
              <w:rPr>
                <w:rFonts w:ascii="Arial" w:hAnsi="Arial" w:eastAsia="Arial"/>
                <w:sz w:val="19"/>
              </w:rPr>
              <w:t>98th</w:t>
            </w:r>
          </w:p>
        </w:tc>
        <w:tc>
          <w:tcPr>
            <w:tcW w:type="dxa" w:w="1234"/>
            <w:vAlign w:val="top"/>
          </w:tcPr>
          <w:p>
            <w:pPr>
              <w:spacing w:after="0" w:line="240" w:lineRule="auto"/>
              <w:ind w:firstLine="0"/>
            </w:pPr>
            <w:r>
              <w:rPr>
                <w:rFonts w:ascii="Arial" w:hAnsi="Arial" w:eastAsia="Arial"/>
                <w:sz w:val="19"/>
              </w:rPr>
              <w:t>0.0297</w:t>
            </w:r>
          </w:p>
        </w:tc>
      </w:tr>
    </w:tbl>
    <w:p>
      <w:pPr>
        <w:ind w:firstLine="0"/>
      </w:pPr>
      <w:r>
        <w:rPr>
          <w:rFonts w:ascii="Arial" w:hAnsi="Arial" w:eastAsia="Arial"/>
          <w:i/>
          <w:sz w:val="24"/>
        </w:rPr>
        <w:t>The target ranked above 98 of 100 abundance-matched control genes at each threshold; this supports an unusual but not unique enrichment pattern.</w:t>
      </w:r>
    </w:p>
    <w:p/>
    <w:p>
      <w:pPr>
        <w:ind w:firstLine="0"/>
      </w:pPr>
      <w:r>
        <w:rPr>
          <w:rFonts w:ascii="Arial" w:hAnsi="Arial" w:eastAsia="Arial"/>
          <w:b/>
          <w:sz w:val="24"/>
        </w:rPr>
        <w:t>Supplementary Table S5. Targeted four-gene validation results.</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cantSplit/>
        </w:trPr>
        <w:tc>
          <w:tcPr>
            <w:tcW w:type="dxa" w:w="1728"/>
            <w:shd w:fill="D9EAF7"/>
            <w:vAlign w:val="top"/>
          </w:tcPr>
          <w:p>
            <w:pPr>
              <w:spacing w:after="0" w:line="240" w:lineRule="auto"/>
              <w:ind w:firstLine="0"/>
            </w:pPr>
            <w:r>
              <w:rPr>
                <w:rFonts w:ascii="Arial" w:hAnsi="Arial" w:eastAsia="Arial"/>
                <w:b/>
                <w:sz w:val="19"/>
              </w:rPr>
              <w:t>Gene</w:t>
            </w:r>
          </w:p>
        </w:tc>
        <w:tc>
          <w:tcPr>
            <w:tcW w:type="dxa" w:w="1728"/>
            <w:shd w:fill="D9EAF7"/>
            <w:vAlign w:val="top"/>
          </w:tcPr>
          <w:p>
            <w:pPr>
              <w:spacing w:after="0" w:line="240" w:lineRule="auto"/>
              <w:ind w:firstLine="0"/>
            </w:pPr>
            <w:r>
              <w:rPr>
                <w:rFonts w:ascii="Arial" w:hAnsi="Arial" w:eastAsia="Arial"/>
                <w:b/>
                <w:sz w:val="19"/>
              </w:rPr>
              <w:t>Informative samples</w:t>
            </w:r>
          </w:p>
        </w:tc>
        <w:tc>
          <w:tcPr>
            <w:tcW w:type="dxa" w:w="1728"/>
            <w:shd w:fill="D9EAF7"/>
            <w:vAlign w:val="top"/>
          </w:tcPr>
          <w:p>
            <w:pPr>
              <w:spacing w:after="0" w:line="240" w:lineRule="auto"/>
              <w:ind w:firstLine="0"/>
            </w:pPr>
            <w:r>
              <w:rPr>
                <w:rFonts w:ascii="Arial" w:hAnsi="Arial" w:eastAsia="Arial"/>
                <w:b/>
                <w:sz w:val="19"/>
              </w:rPr>
              <w:t>Samples matching discovery direction</w:t>
            </w:r>
          </w:p>
        </w:tc>
        <w:tc>
          <w:tcPr>
            <w:tcW w:type="dxa" w:w="1728"/>
            <w:shd w:fill="D9EAF7"/>
            <w:vAlign w:val="top"/>
          </w:tcPr>
          <w:p>
            <w:pPr>
              <w:spacing w:after="0" w:line="240" w:lineRule="auto"/>
              <w:ind w:firstLine="0"/>
            </w:pPr>
            <w:r>
              <w:rPr>
                <w:rFonts w:ascii="Arial" w:hAnsi="Arial" w:eastAsia="Arial"/>
                <w:b/>
                <w:sz w:val="19"/>
              </w:rPr>
              <w:t>Direction-match fraction</w:t>
            </w:r>
          </w:p>
        </w:tc>
        <w:tc>
          <w:tcPr>
            <w:tcW w:type="dxa" w:w="1728"/>
            <w:shd w:fill="D9EAF7"/>
            <w:vAlign w:val="top"/>
          </w:tcPr>
          <w:p>
            <w:pPr>
              <w:spacing w:after="0" w:line="240" w:lineRule="auto"/>
              <w:ind w:firstLine="0"/>
            </w:pPr>
            <w:r>
              <w:rPr>
                <w:rFonts w:ascii="Arial" w:hAnsi="Arial" w:eastAsia="Arial"/>
                <w:b/>
                <w:sz w:val="19"/>
              </w:rPr>
              <w:t>Median patient difference</w:t>
            </w:r>
          </w:p>
        </w:tc>
      </w:tr>
      <w:tr>
        <w:trPr>
          <w:cantSplit/>
          <w:cantSplit/>
        </w:trPr>
        <w:tc>
          <w:tcPr>
            <w:tcW w:type="dxa" w:w="1728"/>
            <w:vAlign w:val="top"/>
          </w:tcPr>
          <w:p>
            <w:pPr>
              <w:spacing w:after="0" w:line="240" w:lineRule="auto"/>
              <w:ind w:firstLine="0"/>
            </w:pPr>
            <w:r>
              <w:rPr>
                <w:rFonts w:ascii="Arial" w:hAnsi="Arial" w:eastAsia="Arial"/>
                <w:sz w:val="19"/>
              </w:rPr>
              <w:t>ALOX15B</w:t>
            </w:r>
          </w:p>
        </w:tc>
        <w:tc>
          <w:tcPr>
            <w:tcW w:type="dxa" w:w="1728"/>
            <w:vAlign w:val="top"/>
          </w:tcPr>
          <w:p>
            <w:pPr>
              <w:spacing w:after="0" w:line="240" w:lineRule="auto"/>
              <w:ind w:firstLine="0"/>
            </w:pPr>
            <w:r>
              <w:rPr>
                <w:rFonts w:ascii="Arial" w:hAnsi="Arial" w:eastAsia="Arial"/>
                <w:sz w:val="19"/>
              </w:rPr>
              <w:t>21</w:t>
            </w:r>
          </w:p>
        </w:tc>
        <w:tc>
          <w:tcPr>
            <w:tcW w:type="dxa" w:w="1728"/>
            <w:vAlign w:val="top"/>
          </w:tcPr>
          <w:p>
            <w:pPr>
              <w:spacing w:after="0" w:line="240" w:lineRule="auto"/>
              <w:ind w:firstLine="0"/>
            </w:pPr>
            <w:r>
              <w:rPr>
                <w:rFonts w:ascii="Arial" w:hAnsi="Arial" w:eastAsia="Arial"/>
                <w:sz w:val="19"/>
              </w:rPr>
              <w:t>12</w:t>
            </w:r>
          </w:p>
        </w:tc>
        <w:tc>
          <w:tcPr>
            <w:tcW w:type="dxa" w:w="1728"/>
            <w:vAlign w:val="top"/>
          </w:tcPr>
          <w:p>
            <w:pPr>
              <w:spacing w:after="0" w:line="240" w:lineRule="auto"/>
              <w:ind w:firstLine="0"/>
            </w:pPr>
            <w:r>
              <w:rPr>
                <w:rFonts w:ascii="Arial" w:hAnsi="Arial" w:eastAsia="Arial"/>
                <w:sz w:val="19"/>
              </w:rPr>
              <w:t>0.571</w:t>
            </w:r>
          </w:p>
        </w:tc>
        <w:tc>
          <w:tcPr>
            <w:tcW w:type="dxa" w:w="1728"/>
            <w:vAlign w:val="top"/>
          </w:tcPr>
          <w:p>
            <w:pPr>
              <w:spacing w:after="0" w:line="240" w:lineRule="auto"/>
              <w:ind w:firstLine="0"/>
            </w:pPr>
            <w:r>
              <w:rPr>
                <w:rFonts w:ascii="Arial" w:hAnsi="Arial" w:eastAsia="Arial"/>
                <w:sz w:val="19"/>
              </w:rPr>
              <w:t>0.051</w:t>
            </w:r>
          </w:p>
        </w:tc>
      </w:tr>
      <w:tr>
        <w:trPr>
          <w:cantSplit/>
          <w:cantSplit/>
        </w:trPr>
        <w:tc>
          <w:tcPr>
            <w:tcW w:type="dxa" w:w="1728"/>
            <w:vAlign w:val="top"/>
          </w:tcPr>
          <w:p>
            <w:pPr>
              <w:spacing w:after="0" w:line="240" w:lineRule="auto"/>
              <w:ind w:firstLine="0"/>
            </w:pPr>
            <w:r>
              <w:rPr>
                <w:rFonts w:ascii="Arial" w:hAnsi="Arial" w:eastAsia="Arial"/>
                <w:sz w:val="19"/>
              </w:rPr>
              <w:t>BIRC3</w:t>
            </w:r>
          </w:p>
        </w:tc>
        <w:tc>
          <w:tcPr>
            <w:tcW w:type="dxa" w:w="1728"/>
            <w:vAlign w:val="top"/>
          </w:tcPr>
          <w:p>
            <w:pPr>
              <w:spacing w:after="0" w:line="240" w:lineRule="auto"/>
              <w:ind w:firstLine="0"/>
            </w:pPr>
            <w:r>
              <w:rPr>
                <w:rFonts w:ascii="Arial" w:hAnsi="Arial" w:eastAsia="Arial"/>
                <w:sz w:val="19"/>
              </w:rPr>
              <w:t>21</w:t>
            </w:r>
          </w:p>
        </w:tc>
        <w:tc>
          <w:tcPr>
            <w:tcW w:type="dxa" w:w="1728"/>
            <w:vAlign w:val="top"/>
          </w:tcPr>
          <w:p>
            <w:pPr>
              <w:spacing w:after="0" w:line="240" w:lineRule="auto"/>
              <w:ind w:firstLine="0"/>
            </w:pPr>
            <w:r>
              <w:rPr>
                <w:rFonts w:ascii="Arial" w:hAnsi="Arial" w:eastAsia="Arial"/>
                <w:sz w:val="19"/>
              </w:rPr>
              <w:t>14</w:t>
            </w:r>
          </w:p>
        </w:tc>
        <w:tc>
          <w:tcPr>
            <w:tcW w:type="dxa" w:w="1728"/>
            <w:vAlign w:val="top"/>
          </w:tcPr>
          <w:p>
            <w:pPr>
              <w:spacing w:after="0" w:line="240" w:lineRule="auto"/>
              <w:ind w:firstLine="0"/>
            </w:pPr>
            <w:r>
              <w:rPr>
                <w:rFonts w:ascii="Arial" w:hAnsi="Arial" w:eastAsia="Arial"/>
                <w:sz w:val="19"/>
              </w:rPr>
              <w:t>0.667</w:t>
            </w:r>
          </w:p>
        </w:tc>
        <w:tc>
          <w:tcPr>
            <w:tcW w:type="dxa" w:w="1728"/>
            <w:vAlign w:val="top"/>
          </w:tcPr>
          <w:p>
            <w:pPr>
              <w:spacing w:after="0" w:line="240" w:lineRule="auto"/>
              <w:ind w:firstLine="0"/>
            </w:pPr>
            <w:r>
              <w:rPr>
                <w:rFonts w:ascii="Arial" w:hAnsi="Arial" w:eastAsia="Arial"/>
                <w:sz w:val="19"/>
              </w:rPr>
              <w:t>0.178</w:t>
            </w:r>
          </w:p>
        </w:tc>
      </w:tr>
      <w:tr>
        <w:trPr>
          <w:cantSplit/>
          <w:cantSplit/>
        </w:trPr>
        <w:tc>
          <w:tcPr>
            <w:tcW w:type="dxa" w:w="1728"/>
            <w:vAlign w:val="top"/>
          </w:tcPr>
          <w:p>
            <w:pPr>
              <w:spacing w:after="0" w:line="240" w:lineRule="auto"/>
              <w:ind w:firstLine="0"/>
            </w:pPr>
            <w:r>
              <w:rPr>
                <w:rFonts w:ascii="Arial" w:hAnsi="Arial" w:eastAsia="Arial"/>
                <w:sz w:val="19"/>
              </w:rPr>
              <w:t>GAPDH</w:t>
            </w:r>
          </w:p>
        </w:tc>
        <w:tc>
          <w:tcPr>
            <w:tcW w:type="dxa" w:w="1728"/>
            <w:vAlign w:val="top"/>
          </w:tcPr>
          <w:p>
            <w:pPr>
              <w:spacing w:after="0" w:line="240" w:lineRule="auto"/>
              <w:ind w:firstLine="0"/>
            </w:pPr>
            <w:r>
              <w:rPr>
                <w:rFonts w:ascii="Arial" w:hAnsi="Arial" w:eastAsia="Arial"/>
                <w:sz w:val="19"/>
              </w:rPr>
              <w:t>21</w:t>
            </w:r>
          </w:p>
        </w:tc>
        <w:tc>
          <w:tcPr>
            <w:tcW w:type="dxa" w:w="1728"/>
            <w:vAlign w:val="top"/>
          </w:tcPr>
          <w:p>
            <w:pPr>
              <w:spacing w:after="0" w:line="240" w:lineRule="auto"/>
              <w:ind w:firstLine="0"/>
            </w:pPr>
            <w:r>
              <w:rPr>
                <w:rFonts w:ascii="Arial" w:hAnsi="Arial" w:eastAsia="Arial"/>
                <w:sz w:val="19"/>
              </w:rPr>
              <w:t>9</w:t>
            </w:r>
          </w:p>
        </w:tc>
        <w:tc>
          <w:tcPr>
            <w:tcW w:type="dxa" w:w="1728"/>
            <w:vAlign w:val="top"/>
          </w:tcPr>
          <w:p>
            <w:pPr>
              <w:spacing w:after="0" w:line="240" w:lineRule="auto"/>
              <w:ind w:firstLine="0"/>
            </w:pPr>
            <w:r>
              <w:rPr>
                <w:rFonts w:ascii="Arial" w:hAnsi="Arial" w:eastAsia="Arial"/>
                <w:sz w:val="19"/>
              </w:rPr>
              <w:t>0.429</w:t>
            </w:r>
          </w:p>
        </w:tc>
        <w:tc>
          <w:tcPr>
            <w:tcW w:type="dxa" w:w="1728"/>
            <w:vAlign w:val="top"/>
          </w:tcPr>
          <w:p>
            <w:pPr>
              <w:spacing w:after="0" w:line="240" w:lineRule="auto"/>
              <w:ind w:firstLine="0"/>
            </w:pPr>
            <w:r>
              <w:rPr>
                <w:rFonts w:ascii="Arial" w:hAnsi="Arial" w:eastAsia="Arial"/>
                <w:sz w:val="19"/>
              </w:rPr>
              <w:t>0.017</w:t>
            </w:r>
          </w:p>
        </w:tc>
      </w:tr>
      <w:tr>
        <w:trPr>
          <w:cantSplit/>
          <w:cantSplit/>
        </w:trPr>
        <w:tc>
          <w:tcPr>
            <w:tcW w:type="dxa" w:w="1728"/>
            <w:vAlign w:val="top"/>
          </w:tcPr>
          <w:p>
            <w:pPr>
              <w:spacing w:after="0" w:line="240" w:lineRule="auto"/>
              <w:ind w:firstLine="0"/>
            </w:pPr>
            <w:r>
              <w:rPr>
                <w:rFonts w:ascii="Arial" w:hAnsi="Arial" w:eastAsia="Arial"/>
                <w:sz w:val="19"/>
              </w:rPr>
              <w:t>LPP</w:t>
            </w:r>
          </w:p>
        </w:tc>
        <w:tc>
          <w:tcPr>
            <w:tcW w:type="dxa" w:w="1728"/>
            <w:vAlign w:val="top"/>
          </w:tcPr>
          <w:p>
            <w:pPr>
              <w:spacing w:after="0" w:line="240" w:lineRule="auto"/>
              <w:ind w:firstLine="0"/>
            </w:pPr>
            <w:r>
              <w:rPr>
                <w:rFonts w:ascii="Arial" w:hAnsi="Arial" w:eastAsia="Arial"/>
                <w:sz w:val="19"/>
              </w:rPr>
              <w:t>21</w:t>
            </w:r>
          </w:p>
        </w:tc>
        <w:tc>
          <w:tcPr>
            <w:tcW w:type="dxa" w:w="1728"/>
            <w:vAlign w:val="top"/>
          </w:tcPr>
          <w:p>
            <w:pPr>
              <w:spacing w:after="0" w:line="240" w:lineRule="auto"/>
              <w:ind w:firstLine="0"/>
            </w:pPr>
            <w:r>
              <w:rPr>
                <w:rFonts w:ascii="Arial" w:hAnsi="Arial" w:eastAsia="Arial"/>
                <w:sz w:val="19"/>
              </w:rPr>
              <w:t>11</w:t>
            </w:r>
          </w:p>
        </w:tc>
        <w:tc>
          <w:tcPr>
            <w:tcW w:type="dxa" w:w="1728"/>
            <w:vAlign w:val="top"/>
          </w:tcPr>
          <w:p>
            <w:pPr>
              <w:spacing w:after="0" w:line="240" w:lineRule="auto"/>
              <w:ind w:firstLine="0"/>
            </w:pPr>
            <w:r>
              <w:rPr>
                <w:rFonts w:ascii="Arial" w:hAnsi="Arial" w:eastAsia="Arial"/>
                <w:sz w:val="19"/>
              </w:rPr>
              <w:t>0.524</w:t>
            </w:r>
          </w:p>
        </w:tc>
        <w:tc>
          <w:tcPr>
            <w:tcW w:type="dxa" w:w="1728"/>
            <w:vAlign w:val="top"/>
          </w:tcPr>
          <w:p>
            <w:pPr>
              <w:spacing w:after="0" w:line="240" w:lineRule="auto"/>
              <w:ind w:firstLine="0"/>
            </w:pPr>
            <w:r>
              <w:rPr>
                <w:rFonts w:ascii="Arial" w:hAnsi="Arial" w:eastAsia="Arial"/>
                <w:sz w:val="19"/>
              </w:rPr>
              <w:t>0.056</w:t>
            </w:r>
          </w:p>
        </w:tc>
      </w:tr>
    </w:tbl>
    <w:p>
      <w:pPr>
        <w:ind w:firstLine="0"/>
      </w:pPr>
      <w:r>
        <w:rPr>
          <w:rFonts w:ascii="Arial" w:hAnsi="Arial" w:eastAsia="Arial"/>
          <w:i/>
          <w:sz w:val="24"/>
        </w:rPr>
        <w:t>No gene met the prespecified targeted replication criteria; the four-gene program is not presented as validated.</w:t>
      </w:r>
    </w:p>
    <w:p/>
    <w:p>
      <w:pPr>
        <w:ind w:firstLine="0"/>
      </w:pPr>
      <w:r>
        <w:rPr>
          <w:rFonts w:ascii="Arial" w:hAnsi="Arial" w:eastAsia="Arial"/>
          <w:b/>
          <w:sz w:val="24"/>
        </w:rPr>
        <w:t>Supplementary Table S6. Frozen raw-read technical-concordance summary.</w:t>
      </w:r>
    </w:p>
    <w:tbl>
      <w:tblPr>
        <w:tblStyle w:val="TableGrid"/>
        <w:tblW w:type="auto" w:w="0"/>
        <w:jc w:val="center"/>
        <w:tblLook w:firstColumn="1" w:firstRow="1" w:lastColumn="0" w:lastRow="0" w:noHBand="0" w:noVBand="1" w:val="04A0"/>
      </w:tblPr>
      <w:tblGrid>
        <w:gridCol w:w="2880"/>
        <w:gridCol w:w="2880"/>
        <w:gridCol w:w="2880"/>
      </w:tblGrid>
      <w:tr>
        <w:trPr>
          <w:tblHeader w:val="true"/>
          <w:cantSplit/>
        </w:trPr>
        <w:tc>
          <w:tcPr>
            <w:tcW w:type="dxa" w:w="2880"/>
            <w:shd w:fill="D9EAF7"/>
            <w:vAlign w:val="top"/>
          </w:tcPr>
          <w:p>
            <w:pPr>
              <w:spacing w:after="0" w:line="240" w:lineRule="auto"/>
              <w:ind w:firstLine="0"/>
            </w:pPr>
            <w:r>
              <w:rPr>
                <w:rFonts w:ascii="Arial" w:hAnsi="Arial" w:eastAsia="Arial"/>
                <w:b/>
                <w:sz w:val="19"/>
              </w:rPr>
              <w:t>Measure</w:t>
            </w:r>
          </w:p>
        </w:tc>
        <w:tc>
          <w:tcPr>
            <w:tcW w:type="dxa" w:w="2880"/>
            <w:shd w:fill="D9EAF7"/>
            <w:vAlign w:val="top"/>
          </w:tcPr>
          <w:p>
            <w:pPr>
              <w:spacing w:after="0" w:line="240" w:lineRule="auto"/>
              <w:ind w:firstLine="0"/>
            </w:pPr>
            <w:r>
              <w:rPr>
                <w:rFonts w:ascii="Arial" w:hAnsi="Arial" w:eastAsia="Arial"/>
                <w:b/>
                <w:sz w:val="19"/>
              </w:rPr>
              <w:t>P31T</w:t>
            </w:r>
          </w:p>
        </w:tc>
        <w:tc>
          <w:tcPr>
            <w:tcW w:type="dxa" w:w="2880"/>
            <w:shd w:fill="D9EAF7"/>
            <w:vAlign w:val="top"/>
          </w:tcPr>
          <w:p>
            <w:pPr>
              <w:spacing w:after="0" w:line="240" w:lineRule="auto"/>
              <w:ind w:firstLine="0"/>
            </w:pPr>
            <w:r>
              <w:rPr>
                <w:rFonts w:ascii="Arial" w:hAnsi="Arial" w:eastAsia="Arial"/>
                <w:b/>
                <w:sz w:val="19"/>
              </w:rPr>
              <w:t>P126T</w:t>
            </w:r>
          </w:p>
        </w:tc>
      </w:tr>
      <w:tr>
        <w:trPr>
          <w:cantSplit/>
          <w:cantSplit/>
        </w:trPr>
        <w:tc>
          <w:tcPr>
            <w:tcW w:type="dxa" w:w="2880"/>
            <w:vAlign w:val="top"/>
          </w:tcPr>
          <w:p>
            <w:pPr>
              <w:spacing w:after="0" w:line="240" w:lineRule="auto"/>
              <w:ind w:firstLine="0"/>
            </w:pPr>
            <w:r>
              <w:rPr>
                <w:rFonts w:ascii="Arial" w:hAnsi="Arial" w:eastAsia="Arial"/>
                <w:sz w:val="19"/>
              </w:rPr>
              <w:t>tDC cells evaluated</w:t>
            </w:r>
          </w:p>
        </w:tc>
        <w:tc>
          <w:tcPr>
            <w:tcW w:type="dxa" w:w="2880"/>
            <w:vAlign w:val="top"/>
          </w:tcPr>
          <w:p>
            <w:pPr>
              <w:spacing w:after="0" w:line="240" w:lineRule="auto"/>
              <w:ind w:firstLine="0"/>
            </w:pPr>
            <w:r>
              <w:rPr>
                <w:rFonts w:ascii="Arial" w:hAnsi="Arial" w:eastAsia="Arial"/>
                <w:sz w:val="19"/>
              </w:rPr>
              <w:t>92</w:t>
            </w:r>
          </w:p>
        </w:tc>
        <w:tc>
          <w:tcPr>
            <w:tcW w:type="dxa" w:w="2880"/>
            <w:vAlign w:val="top"/>
          </w:tcPr>
          <w:p>
            <w:pPr>
              <w:spacing w:after="0" w:line="240" w:lineRule="auto"/>
              <w:ind w:firstLine="0"/>
            </w:pPr>
            <w:r>
              <w:rPr>
                <w:rFonts w:ascii="Arial" w:hAnsi="Arial" w:eastAsia="Arial"/>
                <w:sz w:val="19"/>
              </w:rPr>
              <w:t>30</w:t>
            </w:r>
          </w:p>
        </w:tc>
      </w:tr>
      <w:tr>
        <w:trPr>
          <w:cantSplit/>
          <w:cantSplit/>
        </w:trPr>
        <w:tc>
          <w:tcPr>
            <w:tcW w:type="dxa" w:w="2880"/>
            <w:vAlign w:val="top"/>
          </w:tcPr>
          <w:p>
            <w:pPr>
              <w:spacing w:after="0" w:line="240" w:lineRule="auto"/>
              <w:ind w:firstLine="0"/>
            </w:pPr>
            <w:r>
              <w:rPr>
                <w:rFonts w:ascii="Arial" w:hAnsi="Arial" w:eastAsia="Arial"/>
                <w:sz w:val="19"/>
              </w:rPr>
              <w:t>Frozen Q1-Q3 sequences</w:t>
            </w:r>
          </w:p>
        </w:tc>
        <w:tc>
          <w:tcPr>
            <w:tcW w:type="dxa" w:w="2880"/>
            <w:vAlign w:val="top"/>
          </w:tcPr>
          <w:p>
            <w:pPr>
              <w:spacing w:after="0" w:line="240" w:lineRule="auto"/>
              <w:ind w:firstLine="0"/>
            </w:pPr>
            <w:r>
              <w:rPr>
                <w:rFonts w:ascii="Arial" w:hAnsi="Arial" w:eastAsia="Arial"/>
                <w:sz w:val="19"/>
              </w:rPr>
              <w:t>35 (15/11/9)</w:t>
            </w:r>
          </w:p>
        </w:tc>
        <w:tc>
          <w:tcPr>
            <w:tcW w:type="dxa" w:w="2880"/>
            <w:vAlign w:val="top"/>
          </w:tcPr>
          <w:p>
            <w:pPr>
              <w:spacing w:after="0" w:line="240" w:lineRule="auto"/>
              <w:ind w:firstLine="0"/>
            </w:pPr>
            <w:r>
              <w:rPr>
                <w:rFonts w:ascii="Arial" w:hAnsi="Arial" w:eastAsia="Arial"/>
                <w:sz w:val="19"/>
              </w:rPr>
              <w:t>49 (28/18/3)</w:t>
            </w:r>
          </w:p>
        </w:tc>
      </w:tr>
      <w:tr>
        <w:trPr>
          <w:cantSplit/>
          <w:cantSplit/>
        </w:trPr>
        <w:tc>
          <w:tcPr>
            <w:tcW w:type="dxa" w:w="2880"/>
            <w:vAlign w:val="top"/>
          </w:tcPr>
          <w:p>
            <w:pPr>
              <w:spacing w:after="0" w:line="240" w:lineRule="auto"/>
              <w:ind w:firstLine="0"/>
            </w:pPr>
            <w:r>
              <w:rPr>
                <w:rFonts w:ascii="Arial" w:hAnsi="Arial" w:eastAsia="Arial"/>
                <w:sz w:val="19"/>
              </w:rPr>
              <w:t>Validated read pairs</w:t>
            </w:r>
          </w:p>
        </w:tc>
        <w:tc>
          <w:tcPr>
            <w:tcW w:type="dxa" w:w="2880"/>
            <w:vAlign w:val="top"/>
          </w:tcPr>
          <w:p>
            <w:pPr>
              <w:spacing w:after="0" w:line="240" w:lineRule="auto"/>
              <w:ind w:firstLine="0"/>
            </w:pPr>
            <w:r>
              <w:rPr>
                <w:rFonts w:ascii="Arial" w:hAnsi="Arial" w:eastAsia="Arial"/>
                <w:sz w:val="19"/>
              </w:rPr>
              <w:t>37</w:t>
            </w:r>
          </w:p>
        </w:tc>
        <w:tc>
          <w:tcPr>
            <w:tcW w:type="dxa" w:w="2880"/>
            <w:vAlign w:val="top"/>
          </w:tcPr>
          <w:p>
            <w:pPr>
              <w:spacing w:after="0" w:line="240" w:lineRule="auto"/>
              <w:ind w:firstLine="0"/>
            </w:pPr>
            <w:r>
              <w:rPr>
                <w:rFonts w:ascii="Arial" w:hAnsi="Arial" w:eastAsia="Arial"/>
                <w:sz w:val="19"/>
              </w:rPr>
              <w:t>68</w:t>
            </w:r>
          </w:p>
        </w:tc>
      </w:tr>
      <w:tr>
        <w:trPr>
          <w:cantSplit/>
          <w:cantSplit/>
        </w:trPr>
        <w:tc>
          <w:tcPr>
            <w:tcW w:type="dxa" w:w="2880"/>
            <w:vAlign w:val="top"/>
          </w:tcPr>
          <w:p>
            <w:pPr>
              <w:spacing w:after="0" w:line="240" w:lineRule="auto"/>
              <w:ind w:firstLine="0"/>
            </w:pPr>
            <w:r>
              <w:rPr>
                <w:rFonts w:ascii="Arial" w:hAnsi="Arial" w:eastAsia="Arial"/>
                <w:sz w:val="19"/>
              </w:rPr>
              <w:t>Reported barcode-raw-UMI molecules</w:t>
            </w:r>
          </w:p>
        </w:tc>
        <w:tc>
          <w:tcPr>
            <w:tcW w:type="dxa" w:w="2880"/>
            <w:vAlign w:val="top"/>
          </w:tcPr>
          <w:p>
            <w:pPr>
              <w:spacing w:after="0" w:line="240" w:lineRule="auto"/>
              <w:ind w:firstLine="0"/>
            </w:pPr>
            <w:r>
              <w:rPr>
                <w:rFonts w:ascii="Arial" w:hAnsi="Arial" w:eastAsia="Arial"/>
                <w:sz w:val="19"/>
              </w:rPr>
              <w:t>28</w:t>
            </w:r>
          </w:p>
        </w:tc>
        <w:tc>
          <w:tcPr>
            <w:tcW w:type="dxa" w:w="2880"/>
            <w:vAlign w:val="top"/>
          </w:tcPr>
          <w:p>
            <w:pPr>
              <w:spacing w:after="0" w:line="240" w:lineRule="auto"/>
              <w:ind w:firstLine="0"/>
            </w:pPr>
            <w:r>
              <w:rPr>
                <w:rFonts w:ascii="Arial" w:hAnsi="Arial" w:eastAsia="Arial"/>
                <w:sz w:val="19"/>
              </w:rPr>
              <w:t>16 globally deduplicated</w:t>
            </w:r>
          </w:p>
        </w:tc>
      </w:tr>
      <w:tr>
        <w:trPr>
          <w:cantSplit/>
          <w:cantSplit/>
        </w:trPr>
        <w:tc>
          <w:tcPr>
            <w:tcW w:type="dxa" w:w="2880"/>
            <w:vAlign w:val="top"/>
          </w:tcPr>
          <w:p>
            <w:pPr>
              <w:spacing w:after="0" w:line="240" w:lineRule="auto"/>
              <w:ind w:firstLine="0"/>
            </w:pPr>
            <w:r>
              <w:rPr>
                <w:rFonts w:ascii="Arial" w:hAnsi="Arial" w:eastAsia="Arial"/>
                <w:sz w:val="19"/>
              </w:rPr>
              <w:t>Cells with support</w:t>
            </w:r>
          </w:p>
        </w:tc>
        <w:tc>
          <w:tcPr>
            <w:tcW w:type="dxa" w:w="2880"/>
            <w:vAlign w:val="top"/>
          </w:tcPr>
          <w:p>
            <w:pPr>
              <w:spacing w:after="0" w:line="240" w:lineRule="auto"/>
              <w:ind w:firstLine="0"/>
            </w:pPr>
            <w:r>
              <w:rPr>
                <w:rFonts w:ascii="Arial" w:hAnsi="Arial" w:eastAsia="Arial"/>
                <w:sz w:val="19"/>
              </w:rPr>
              <w:t>17/92</w:t>
            </w:r>
          </w:p>
        </w:tc>
        <w:tc>
          <w:tcPr>
            <w:tcW w:type="dxa" w:w="2880"/>
            <w:vAlign w:val="top"/>
          </w:tcPr>
          <w:p>
            <w:pPr>
              <w:spacing w:after="0" w:line="240" w:lineRule="auto"/>
              <w:ind w:firstLine="0"/>
            </w:pPr>
            <w:r>
              <w:rPr>
                <w:rFonts w:ascii="Arial" w:hAnsi="Arial" w:eastAsia="Arial"/>
                <w:sz w:val="19"/>
              </w:rPr>
              <w:t>11/30</w:t>
            </w:r>
          </w:p>
        </w:tc>
      </w:tr>
      <w:tr>
        <w:trPr>
          <w:cantSplit/>
          <w:cantSplit/>
        </w:trPr>
        <w:tc>
          <w:tcPr>
            <w:tcW w:type="dxa" w:w="2880"/>
            <w:vAlign w:val="top"/>
          </w:tcPr>
          <w:p>
            <w:pPr>
              <w:spacing w:after="0" w:line="240" w:lineRule="auto"/>
              <w:ind w:firstLine="0"/>
            </w:pPr>
            <w:r>
              <w:rPr>
                <w:rFonts w:ascii="Arial" w:hAnsi="Arial" w:eastAsia="Arial"/>
                <w:sz w:val="19"/>
              </w:rPr>
              <w:t>Matrix-positive with support</w:t>
            </w:r>
          </w:p>
        </w:tc>
        <w:tc>
          <w:tcPr>
            <w:tcW w:type="dxa" w:w="2880"/>
            <w:vAlign w:val="top"/>
          </w:tcPr>
          <w:p>
            <w:pPr>
              <w:spacing w:after="0" w:line="240" w:lineRule="auto"/>
              <w:ind w:firstLine="0"/>
            </w:pPr>
            <w:r>
              <w:rPr>
                <w:rFonts w:ascii="Arial" w:hAnsi="Arial" w:eastAsia="Arial"/>
                <w:sz w:val="19"/>
              </w:rPr>
              <w:t>17/20</w:t>
            </w:r>
          </w:p>
        </w:tc>
        <w:tc>
          <w:tcPr>
            <w:tcW w:type="dxa" w:w="2880"/>
            <w:vAlign w:val="top"/>
          </w:tcPr>
          <w:p>
            <w:pPr>
              <w:spacing w:after="0" w:line="240" w:lineRule="auto"/>
              <w:ind w:firstLine="0"/>
            </w:pPr>
            <w:r>
              <w:rPr>
                <w:rFonts w:ascii="Arial" w:hAnsi="Arial" w:eastAsia="Arial"/>
                <w:sz w:val="19"/>
              </w:rPr>
              <w:t>11/15</w:t>
            </w:r>
          </w:p>
        </w:tc>
      </w:tr>
      <w:tr>
        <w:trPr>
          <w:cantSplit/>
          <w:cantSplit/>
        </w:trPr>
        <w:tc>
          <w:tcPr>
            <w:tcW w:type="dxa" w:w="2880"/>
            <w:vAlign w:val="top"/>
          </w:tcPr>
          <w:p>
            <w:pPr>
              <w:spacing w:after="0" w:line="240" w:lineRule="auto"/>
              <w:ind w:firstLine="0"/>
            </w:pPr>
            <w:r>
              <w:rPr>
                <w:rFonts w:ascii="Arial" w:hAnsi="Arial" w:eastAsia="Arial"/>
                <w:sz w:val="19"/>
              </w:rPr>
              <w:t>Matrix-negative with support</w:t>
            </w:r>
          </w:p>
        </w:tc>
        <w:tc>
          <w:tcPr>
            <w:tcW w:type="dxa" w:w="2880"/>
            <w:vAlign w:val="top"/>
          </w:tcPr>
          <w:p>
            <w:pPr>
              <w:spacing w:after="0" w:line="240" w:lineRule="auto"/>
              <w:ind w:firstLine="0"/>
            </w:pPr>
            <w:r>
              <w:rPr>
                <w:rFonts w:ascii="Arial" w:hAnsi="Arial" w:eastAsia="Arial"/>
                <w:sz w:val="19"/>
              </w:rPr>
              <w:t>0/72</w:t>
            </w:r>
          </w:p>
        </w:tc>
        <w:tc>
          <w:tcPr>
            <w:tcW w:type="dxa" w:w="2880"/>
            <w:vAlign w:val="top"/>
          </w:tcPr>
          <w:p>
            <w:pPr>
              <w:spacing w:after="0" w:line="240" w:lineRule="auto"/>
              <w:ind w:firstLine="0"/>
            </w:pPr>
            <w:r>
              <w:rPr>
                <w:rFonts w:ascii="Arial" w:hAnsi="Arial" w:eastAsia="Arial"/>
                <w:sz w:val="19"/>
              </w:rPr>
              <w:t>0/15</w:t>
            </w:r>
          </w:p>
        </w:tc>
      </w:tr>
      <w:tr>
        <w:trPr>
          <w:cantSplit/>
          <w:cantSplit/>
        </w:trPr>
        <w:tc>
          <w:tcPr>
            <w:tcW w:type="dxa" w:w="2880"/>
            <w:vAlign w:val="top"/>
          </w:tcPr>
          <w:p>
            <w:pPr>
              <w:spacing w:after="0" w:line="240" w:lineRule="auto"/>
              <w:ind w:firstLine="0"/>
            </w:pPr>
            <w:r>
              <w:rPr>
                <w:rFonts w:ascii="Arial" w:hAnsi="Arial" w:eastAsia="Arial"/>
                <w:sz w:val="19"/>
              </w:rPr>
              <w:t>Two-sided Fisher exact P</w:t>
            </w:r>
          </w:p>
        </w:tc>
        <w:tc>
          <w:tcPr>
            <w:tcW w:type="dxa" w:w="2880"/>
            <w:vAlign w:val="top"/>
          </w:tcPr>
          <w:p>
            <w:pPr>
              <w:spacing w:after="0" w:line="240" w:lineRule="auto"/>
              <w:ind w:firstLine="0"/>
            </w:pPr>
            <w:r>
              <w:rPr>
                <w:rFonts w:ascii="Arial" w:hAnsi="Arial" w:eastAsia="Arial"/>
                <w:sz w:val="19"/>
              </w:rPr>
              <w:t>8.09e-16</w:t>
            </w:r>
          </w:p>
        </w:tc>
        <w:tc>
          <w:tcPr>
            <w:tcW w:type="dxa" w:w="2880"/>
            <w:vAlign w:val="top"/>
          </w:tcPr>
          <w:p>
            <w:pPr>
              <w:spacing w:after="0" w:line="240" w:lineRule="auto"/>
              <w:ind w:firstLine="0"/>
            </w:pPr>
            <w:r>
              <w:rPr>
                <w:rFonts w:ascii="Arial" w:hAnsi="Arial" w:eastAsia="Arial"/>
                <w:sz w:val="19"/>
              </w:rPr>
              <w:t>5.00e-5</w:t>
            </w:r>
          </w:p>
        </w:tc>
      </w:tr>
      <w:tr>
        <w:trPr>
          <w:cantSplit/>
          <w:cantSplit/>
        </w:trPr>
        <w:tc>
          <w:tcPr>
            <w:tcW w:type="dxa" w:w="2880"/>
            <w:vAlign w:val="top"/>
          </w:tcPr>
          <w:p>
            <w:pPr>
              <w:spacing w:after="0" w:line="240" w:lineRule="auto"/>
              <w:ind w:firstLine="0"/>
            </w:pPr>
            <w:r>
              <w:rPr>
                <w:rFonts w:ascii="Arial" w:hAnsi="Arial" w:eastAsia="Arial"/>
                <w:sz w:val="19"/>
              </w:rPr>
              <w:t>Spearman rho, all cells</w:t>
            </w:r>
          </w:p>
        </w:tc>
        <w:tc>
          <w:tcPr>
            <w:tcW w:type="dxa" w:w="2880"/>
            <w:vAlign w:val="top"/>
          </w:tcPr>
          <w:p>
            <w:pPr>
              <w:spacing w:after="0" w:line="240" w:lineRule="auto"/>
              <w:ind w:firstLine="0"/>
            </w:pPr>
            <w:r>
              <w:rPr>
                <w:rFonts w:ascii="Arial" w:hAnsi="Arial" w:eastAsia="Arial"/>
                <w:sz w:val="19"/>
              </w:rPr>
              <w:t>0.914</w:t>
            </w:r>
          </w:p>
        </w:tc>
        <w:tc>
          <w:tcPr>
            <w:tcW w:type="dxa" w:w="2880"/>
            <w:vAlign w:val="top"/>
          </w:tcPr>
          <w:p>
            <w:pPr>
              <w:spacing w:after="0" w:line="240" w:lineRule="auto"/>
              <w:ind w:firstLine="0"/>
            </w:pPr>
            <w:r>
              <w:rPr>
                <w:rFonts w:ascii="Arial" w:hAnsi="Arial" w:eastAsia="Arial"/>
                <w:sz w:val="19"/>
              </w:rPr>
              <w:t>0.856</w:t>
            </w:r>
          </w:p>
        </w:tc>
      </w:tr>
      <w:tr>
        <w:trPr>
          <w:cantSplit/>
          <w:cantSplit/>
        </w:trPr>
        <w:tc>
          <w:tcPr>
            <w:tcW w:type="dxa" w:w="2880"/>
            <w:vAlign w:val="top"/>
          </w:tcPr>
          <w:p>
            <w:pPr>
              <w:spacing w:after="0" w:line="240" w:lineRule="auto"/>
              <w:ind w:firstLine="0"/>
            </w:pPr>
            <w:r>
              <w:rPr>
                <w:rFonts w:ascii="Arial" w:hAnsi="Arial" w:eastAsia="Arial"/>
                <w:sz w:val="19"/>
              </w:rPr>
              <w:t>Direct primary / alternate-patch / projection-resolved</w:t>
            </w:r>
          </w:p>
        </w:tc>
        <w:tc>
          <w:tcPr>
            <w:tcW w:type="dxa" w:w="2880"/>
            <w:vAlign w:val="top"/>
          </w:tcPr>
          <w:p>
            <w:pPr>
              <w:spacing w:after="0" w:line="240" w:lineRule="auto"/>
              <w:ind w:firstLine="0"/>
            </w:pPr>
            <w:r>
              <w:rPr>
                <w:rFonts w:ascii="Arial" w:hAnsi="Arial" w:eastAsia="Arial"/>
                <w:sz w:val="19"/>
              </w:rPr>
              <w:t>32 / 0 / 3</w:t>
            </w:r>
          </w:p>
        </w:tc>
        <w:tc>
          <w:tcPr>
            <w:tcW w:type="dxa" w:w="2880"/>
            <w:vAlign w:val="top"/>
          </w:tcPr>
          <w:p>
            <w:pPr>
              <w:spacing w:after="0" w:line="240" w:lineRule="auto"/>
              <w:ind w:firstLine="0"/>
            </w:pPr>
            <w:r>
              <w:rPr>
                <w:rFonts w:ascii="Arial" w:hAnsi="Arial" w:eastAsia="Arial"/>
                <w:sz w:val="19"/>
              </w:rPr>
              <w:t>40 / 1 / 8</w:t>
            </w:r>
          </w:p>
        </w:tc>
      </w:tr>
      <w:tr>
        <w:trPr>
          <w:cantSplit/>
          <w:cantSplit/>
        </w:trPr>
        <w:tc>
          <w:tcPr>
            <w:tcW w:type="dxa" w:w="2880"/>
            <w:vAlign w:val="top"/>
          </w:tcPr>
          <w:p>
            <w:pPr>
              <w:spacing w:after="0" w:line="240" w:lineRule="auto"/>
              <w:ind w:firstLine="0"/>
            </w:pPr>
            <w:r>
              <w:rPr>
                <w:rFonts w:ascii="Arial" w:hAnsi="Arial" w:eastAsia="Arial"/>
                <w:sz w:val="19"/>
              </w:rPr>
              <w:t>Valid annotated projections</w:t>
            </w:r>
          </w:p>
        </w:tc>
        <w:tc>
          <w:tcPr>
            <w:tcW w:type="dxa" w:w="2880"/>
            <w:vAlign w:val="top"/>
          </w:tcPr>
          <w:p>
            <w:pPr>
              <w:spacing w:after="0" w:line="240" w:lineRule="auto"/>
              <w:ind w:firstLine="0"/>
            </w:pPr>
            <w:r>
              <w:rPr>
                <w:rFonts w:ascii="Arial" w:hAnsi="Arial" w:eastAsia="Arial"/>
                <w:sz w:val="19"/>
              </w:rPr>
              <w:t>35/35</w:t>
            </w:r>
          </w:p>
        </w:tc>
        <w:tc>
          <w:tcPr>
            <w:tcW w:type="dxa" w:w="2880"/>
            <w:vAlign w:val="top"/>
          </w:tcPr>
          <w:p>
            <w:pPr>
              <w:spacing w:after="0" w:line="240" w:lineRule="auto"/>
              <w:ind w:firstLine="0"/>
            </w:pPr>
            <w:r>
              <w:rPr>
                <w:rFonts w:ascii="Arial" w:hAnsi="Arial" w:eastAsia="Arial"/>
                <w:sz w:val="19"/>
              </w:rPr>
              <w:t>49/49</w:t>
            </w:r>
          </w:p>
        </w:tc>
      </w:tr>
    </w:tbl>
    <w:p>
      <w:pPr>
        <w:ind w:firstLine="0"/>
      </w:pPr>
      <w:r>
        <w:rPr>
          <w:rFonts w:ascii="Arial" w:hAnsi="Arial" w:eastAsia="Arial"/>
          <w:i/>
          <w:sz w:val="24"/>
        </w:rPr>
        <w:t>This is internal technical concordance within a public cohort, not independent biological replication.</w:t>
      </w:r>
    </w:p>
    <w:p/>
    <w:p>
      <w:pPr>
        <w:ind w:firstLine="0"/>
      </w:pPr>
      <w:r>
        <w:rPr>
          <w:rFonts w:ascii="Arial" w:hAnsi="Arial" w:eastAsia="Arial"/>
          <w:b/>
          <w:sz w:val="24"/>
        </w:rPr>
        <w:t>Supplementary Table S7. Exact 100-bp sequences recovered in both samples.</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cantSplit/>
        </w:trPr>
        <w:tc>
          <w:tcPr>
            <w:tcW w:type="dxa" w:w="1728"/>
            <w:shd w:fill="D9EAF7"/>
            <w:vAlign w:val="top"/>
          </w:tcPr>
          <w:p>
            <w:pPr>
              <w:spacing w:after="0" w:line="240" w:lineRule="auto"/>
              <w:ind w:firstLine="0"/>
            </w:pPr>
            <w:r>
              <w:rPr>
                <w:rFonts w:ascii="Arial" w:hAnsi="Arial" w:eastAsia="Arial"/>
                <w:b/>
                <w:sz w:val="19"/>
              </w:rPr>
              <w:t>Query ID</w:t>
            </w:r>
          </w:p>
        </w:tc>
        <w:tc>
          <w:tcPr>
            <w:tcW w:type="dxa" w:w="1728"/>
            <w:shd w:fill="D9EAF7"/>
            <w:vAlign w:val="top"/>
          </w:tcPr>
          <w:p>
            <w:pPr>
              <w:spacing w:after="0" w:line="240" w:lineRule="auto"/>
              <w:ind w:firstLine="0"/>
            </w:pPr>
            <w:r>
              <w:rPr>
                <w:rFonts w:ascii="Arial" w:hAnsi="Arial" w:eastAsia="Arial"/>
                <w:b/>
                <w:sz w:val="19"/>
              </w:rPr>
              <w:t>Sequence</w:t>
            </w:r>
          </w:p>
        </w:tc>
        <w:tc>
          <w:tcPr>
            <w:tcW w:type="dxa" w:w="1728"/>
            <w:shd w:fill="D9EAF7"/>
            <w:vAlign w:val="top"/>
          </w:tcPr>
          <w:p>
            <w:pPr>
              <w:spacing w:after="0" w:line="240" w:lineRule="auto"/>
              <w:ind w:firstLine="0"/>
            </w:pPr>
            <w:r>
              <w:rPr>
                <w:rFonts w:ascii="Arial" w:hAnsi="Arial" w:eastAsia="Arial"/>
                <w:b/>
                <w:sz w:val="19"/>
              </w:rPr>
              <w:t>Projection class</w:t>
            </w:r>
          </w:p>
        </w:tc>
        <w:tc>
          <w:tcPr>
            <w:tcW w:type="dxa" w:w="1728"/>
            <w:shd w:fill="D9EAF7"/>
            <w:vAlign w:val="top"/>
          </w:tcPr>
          <w:p>
            <w:pPr>
              <w:spacing w:after="0" w:line="240" w:lineRule="auto"/>
              <w:ind w:firstLine="0"/>
            </w:pPr>
            <w:r>
              <w:rPr>
                <w:rFonts w:ascii="Arial" w:hAnsi="Arial" w:eastAsia="Arial"/>
                <w:b/>
                <w:sz w:val="19"/>
              </w:rPr>
              <w:t>Read pairs P31T/P126T</w:t>
            </w:r>
          </w:p>
        </w:tc>
        <w:tc>
          <w:tcPr>
            <w:tcW w:type="dxa" w:w="1728"/>
            <w:shd w:fill="D9EAF7"/>
            <w:vAlign w:val="top"/>
          </w:tcPr>
          <w:p>
            <w:pPr>
              <w:spacing w:after="0" w:line="240" w:lineRule="auto"/>
              <w:ind w:firstLine="0"/>
            </w:pPr>
            <w:r>
              <w:rPr>
                <w:rFonts w:ascii="Arial" w:hAnsi="Arial" w:eastAsia="Arial"/>
                <w:b/>
                <w:sz w:val="19"/>
              </w:rPr>
              <w:t>Cells P31T/P126T</w:t>
            </w:r>
          </w:p>
        </w:tc>
      </w:tr>
      <w:tr>
        <w:trPr>
          <w:cantSplit/>
          <w:cantSplit/>
        </w:trPr>
        <w:tc>
          <w:tcPr>
            <w:tcW w:type="dxa" w:w="1728"/>
            <w:vAlign w:val="top"/>
          </w:tcPr>
          <w:p>
            <w:pPr>
              <w:spacing w:after="0" w:line="240" w:lineRule="auto"/>
              <w:ind w:firstLine="0"/>
            </w:pPr>
            <w:r>
              <w:rPr>
                <w:rFonts w:ascii="Arial" w:hAnsi="Arial" w:eastAsia="Arial"/>
                <w:sz w:val="19"/>
              </w:rPr>
              <w:t>aebc404925a4799de24c</w:t>
            </w:r>
          </w:p>
        </w:tc>
        <w:tc>
          <w:tcPr>
            <w:tcW w:type="dxa" w:w="1728"/>
            <w:vAlign w:val="top"/>
          </w:tcPr>
          <w:p>
            <w:pPr>
              <w:spacing w:after="0" w:line="240" w:lineRule="auto"/>
              <w:ind w:firstLine="0"/>
            </w:pPr>
            <w:r>
              <w:rPr>
                <w:rFonts w:ascii="Arial" w:hAnsi="Arial" w:eastAsia="Arial"/>
                <w:sz w:val="19"/>
              </w:rPr>
              <w:t>CTTCCCCTCACCTCCGGCGGGAGG</w:t>
              <w:br/>
              <w:t>GGCGCGGAAAAGGAGCCTGTCCCG</w:t>
              <w:br/>
              <w:t>AGCCGCTGTCATGGCCGCGACCAC</w:t>
              <w:br/>
              <w:t>CAGGCGGGGCCCCCGGCCGAGCTC</w:t>
              <w:br/>
              <w:t>TCGC</w:t>
            </w:r>
          </w:p>
        </w:tc>
        <w:tc>
          <w:tcPr>
            <w:tcW w:type="dxa" w:w="1728"/>
            <w:vAlign w:val="top"/>
          </w:tcPr>
          <w:p>
            <w:pPr>
              <w:spacing w:after="0" w:line="240" w:lineRule="auto"/>
              <w:ind w:firstLine="0"/>
            </w:pPr>
            <w:r>
              <w:rPr>
                <w:rFonts w:ascii="Arial" w:hAnsi="Arial" w:eastAsia="Arial"/>
                <w:sz w:val="19"/>
              </w:rPr>
              <w:t>single-exon</w:t>
            </w:r>
          </w:p>
        </w:tc>
        <w:tc>
          <w:tcPr>
            <w:tcW w:type="dxa" w:w="1728"/>
            <w:vAlign w:val="top"/>
          </w:tcPr>
          <w:p>
            <w:pPr>
              <w:spacing w:after="0" w:line="240" w:lineRule="auto"/>
              <w:ind w:firstLine="0"/>
            </w:pPr>
            <w:r>
              <w:rPr>
                <w:rFonts w:ascii="Arial" w:hAnsi="Arial" w:eastAsia="Arial"/>
                <w:sz w:val="19"/>
              </w:rPr>
              <w:t>1/1</w:t>
            </w:r>
          </w:p>
        </w:tc>
        <w:tc>
          <w:tcPr>
            <w:tcW w:type="dxa" w:w="1728"/>
            <w:vAlign w:val="top"/>
          </w:tcPr>
          <w:p>
            <w:pPr>
              <w:spacing w:after="0" w:line="240" w:lineRule="auto"/>
              <w:ind w:firstLine="0"/>
            </w:pPr>
            <w:r>
              <w:rPr>
                <w:rFonts w:ascii="Arial" w:hAnsi="Arial" w:eastAsia="Arial"/>
                <w:sz w:val="19"/>
              </w:rPr>
              <w:t>1/1</w:t>
            </w:r>
          </w:p>
        </w:tc>
      </w:tr>
      <w:tr>
        <w:trPr>
          <w:cantSplit/>
          <w:cantSplit/>
        </w:trPr>
        <w:tc>
          <w:tcPr>
            <w:tcW w:type="dxa" w:w="1728"/>
            <w:vAlign w:val="top"/>
          </w:tcPr>
          <w:p>
            <w:pPr>
              <w:spacing w:after="0" w:line="240" w:lineRule="auto"/>
              <w:ind w:firstLine="0"/>
            </w:pPr>
            <w:r>
              <w:rPr>
                <w:rFonts w:ascii="Arial" w:hAnsi="Arial" w:eastAsia="Arial"/>
                <w:sz w:val="19"/>
              </w:rPr>
              <w:t>dea8da095db492a4d58f</w:t>
            </w:r>
          </w:p>
        </w:tc>
        <w:tc>
          <w:tcPr>
            <w:tcW w:type="dxa" w:w="1728"/>
            <w:vAlign w:val="top"/>
          </w:tcPr>
          <w:p>
            <w:pPr>
              <w:spacing w:after="0" w:line="240" w:lineRule="auto"/>
              <w:ind w:firstLine="0"/>
            </w:pPr>
            <w:r>
              <w:rPr>
                <w:rFonts w:ascii="Arial" w:hAnsi="Arial" w:eastAsia="Arial"/>
                <w:sz w:val="19"/>
              </w:rPr>
              <w:t>GATGGTGGTTGTTTCATTATTTGTC</w:t>
              <w:br/>
              <w:t>AGAGTGCTTTCTGCACCTTTGGATT</w:t>
              <w:br/>
              <w:t>GTCAATAATGGGGGTGACAACAAGA</w:t>
              <w:br/>
              <w:t>TCTGAGTCGTGTAGATAAGCTCTCT</w:t>
            </w:r>
          </w:p>
        </w:tc>
        <w:tc>
          <w:tcPr>
            <w:tcW w:type="dxa" w:w="1728"/>
            <w:vAlign w:val="top"/>
          </w:tcPr>
          <w:p>
            <w:pPr>
              <w:spacing w:after="0" w:line="240" w:lineRule="auto"/>
              <w:ind w:firstLine="0"/>
            </w:pPr>
            <w:r>
              <w:rPr>
                <w:rFonts w:ascii="Arial" w:hAnsi="Arial" w:eastAsia="Arial"/>
                <w:sz w:val="19"/>
              </w:rPr>
              <w:t>two-exon junction</w:t>
            </w:r>
          </w:p>
        </w:tc>
        <w:tc>
          <w:tcPr>
            <w:tcW w:type="dxa" w:w="1728"/>
            <w:vAlign w:val="top"/>
          </w:tcPr>
          <w:p>
            <w:pPr>
              <w:spacing w:after="0" w:line="240" w:lineRule="auto"/>
              <w:ind w:firstLine="0"/>
            </w:pPr>
            <w:r>
              <w:rPr>
                <w:rFonts w:ascii="Arial" w:hAnsi="Arial" w:eastAsia="Arial"/>
                <w:sz w:val="19"/>
              </w:rPr>
              <w:t>2/1</w:t>
            </w:r>
          </w:p>
        </w:tc>
        <w:tc>
          <w:tcPr>
            <w:tcW w:type="dxa" w:w="1728"/>
            <w:vAlign w:val="top"/>
          </w:tcPr>
          <w:p>
            <w:pPr>
              <w:spacing w:after="0" w:line="240" w:lineRule="auto"/>
              <w:ind w:firstLine="0"/>
            </w:pPr>
            <w:r>
              <w:rPr>
                <w:rFonts w:ascii="Arial" w:hAnsi="Arial" w:eastAsia="Arial"/>
                <w:sz w:val="19"/>
              </w:rPr>
              <w:t>1/1</w:t>
            </w:r>
          </w:p>
        </w:tc>
      </w:tr>
    </w:tbl>
    <w:p>
      <w:pPr>
        <w:ind w:firstLine="0"/>
      </w:pPr>
      <w:r>
        <w:rPr>
          <w:rFonts w:ascii="Arial" w:hAnsi="Arial" w:eastAsia="Arial"/>
          <w:i/>
          <w:sz w:val="24"/>
        </w:rPr>
        <w:t>Both sequences were Q1 in both samples, had direct-primary structural classifications, and preferred transcript XM_011522155.4.</w:t>
      </w:r>
    </w:p>
    <w:p/>
    <w:p>
      <w:pPr>
        <w:pStyle w:val="Heading1"/>
      </w:pPr>
      <w:r>
        <w:rPr>
          <w:rFonts w:ascii="Arial" w:hAnsi="Arial" w:eastAsia="Arial"/>
          <w:sz w:val="24"/>
        </w:rPr>
        <w:t>Supplementary methodological definitions</w:t>
      </w:r>
    </w:p>
    <w:p>
      <w:r>
        <w:rPr>
          <w:rFonts w:ascii="Arial" w:hAnsi="Arial" w:eastAsia="Arial"/>
          <w:sz w:val="24"/>
        </w:rPr>
        <w:t>Q1 sequences had full-length 100% transcript-level identity in both transcript reference comparisons. Q2 and Q3 sequences had full-length identity of at least 99% and at least 95%, respectively. Direct structural support required genomic alignment architecture compatible with annotated CHRFAM7A exons; alternate/patch-only support was reported separately. RefSeq-to-GFF projection was used to interpret sequences lacking direct primary-assembly support. These criteria establish structural compatibility but not whole-genome absolute uniqueness.</w:t>
      </w:r>
    </w:p>
    <w:p>
      <w:pPr>
        <w:pStyle w:val="Heading1"/>
      </w:pPr>
      <w:r>
        <w:rPr>
          <w:rFonts w:ascii="Arial" w:hAnsi="Arial" w:eastAsia="Arial"/>
          <w:sz w:val="24"/>
        </w:rPr>
        <w:t>Supplementary interpretation boundary</w:t>
      </w:r>
    </w:p>
    <w:p>
      <w:r>
        <w:rPr>
          <w:rFonts w:ascii="Arial" w:hAnsi="Arial" w:eastAsia="Arial"/>
          <w:sz w:val="24"/>
        </w:rPr>
        <w:t>All single-cell results concern CHRFAM7A-assigned transcript counts. The processed matrix did not contain CHRNA7 or ARG1 rows. The analyses do not establish CHRNA7 expression, alpha7 receptor activity, vagal signaling, spatial localization, protein abundance, or causality.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60"/>
      <w:ind w:firstLine="397"/>
    </w:pPr>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ind w:firstLine="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ind w:firstLine="0"/>
      <w:outlineLvl w:val="1"/>
    </w:pPr>
    <w:rPr>
      <w:rFonts w:asciiTheme="majorHAnsi" w:eastAsiaTheme="majorEastAsia" w:hAnsiTheme="majorHAnsi" w:cstheme="majorBidi" w:ascii="Arial" w:hAnsi="Arial" w:eastAsia="Arial"/>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ind w:firstLine="0"/>
      <w:outlineLvl w:val="2"/>
    </w:pPr>
    <w:rPr>
      <w:rFonts w:asciiTheme="majorHAnsi" w:eastAsiaTheme="majorEastAsia" w:hAnsiTheme="majorHAnsi" w:cstheme="majorBidi" w:ascii="Arial" w:hAnsi="Arial" w:eastAsia="Arial"/>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ind w:firstLine="0"/>
      <w:contextualSpacing/>
    </w:pPr>
    <w:rPr>
      <w:rFonts w:asciiTheme="majorHAnsi" w:eastAsiaTheme="majorEastAsia" w:hAnsiTheme="majorHAnsi" w:cstheme="majorBidi" w:ascii="Arial" w:hAnsi="Arial" w:eastAsia="Arial"/>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color w:val="4F81BD" w:themeColor="accent1"/>
      <w:sz w:val="2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