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FCF7E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  <w:drawing>
          <wp:inline distT="0" distB="0" distL="114300" distR="114300">
            <wp:extent cx="8837930" cy="2376805"/>
            <wp:effectExtent l="0" t="0" r="1270" b="635"/>
            <wp:docPr id="4" name="图片 4" descr="除BLUE曼哈顿QQ组合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除BLUE曼哈顿QQ组合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3793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7C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/>
          <w:b/>
          <w:bCs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</w:rPr>
        <w:t>Fig.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1 </w:t>
      </w:r>
      <w:r>
        <w:rPr>
          <w:rFonts w:hint="eastAsia" w:ascii="Times New Roman" w:hAnsi="Times New Roman" w:eastAsia="宋体"/>
          <w:b/>
          <w:bCs/>
          <w:szCs w:val="21"/>
        </w:rPr>
        <w:t>Manhattan and Q-Q plot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 xml:space="preserve"> for spot blotch resistance</w:t>
      </w:r>
    </w:p>
    <w:p w14:paraId="5A83B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  <w:t xml:space="preserve">Note: </w:t>
      </w:r>
      <w:r>
        <w:rPr>
          <w:rFonts w:hint="default" w:ascii="Times New Roman" w:hAnsi="Times New Roman" w:eastAsia="宋体"/>
          <w:b w:val="0"/>
          <w:bCs w:val="0"/>
          <w:szCs w:val="21"/>
          <w:lang w:val="en-US" w:eastAsia="zh-CN"/>
        </w:rPr>
        <w:t>This figure presents the GWAS results for spot blotch resistance from all three year-specific analyses, complementing the representative results shown in Fig. 5. Manhattan plots display SNP associations across 21 chromosomes, and Q-Q plots illustrate the observed versus expected p-value distributions.</w:t>
      </w:r>
    </w:p>
    <w:p w14:paraId="19EC936F">
      <w:pPr>
        <w:rPr>
          <w:rFonts w:ascii="Times New Roman" w:hAnsi="Times New Roman" w:cs="Times New Roman"/>
          <w:sz w:val="18"/>
          <w:szCs w:val="18"/>
        </w:rPr>
      </w:pPr>
    </w:p>
    <w:p w14:paraId="2418CCC4">
      <w:pPr>
        <w:rPr>
          <w:rFonts w:ascii="Times New Roman" w:hAnsi="Times New Roman" w:cs="Times New Roman"/>
          <w:sz w:val="18"/>
          <w:szCs w:val="18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548EE87C">
      <w:pPr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  <w:r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  <w:drawing>
          <wp:inline distT="0" distB="0" distL="114300" distR="114300">
            <wp:extent cx="5266055" cy="5771515"/>
            <wp:effectExtent l="0" t="0" r="6985" b="4445"/>
            <wp:docPr id="2" name="图片 2" descr="单倍型组合图_1+19_修改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单倍型组合图_1+19_修改后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77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996D6">
      <w:pPr>
        <w:jc w:val="center"/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Cs w:val="21"/>
          <w14:ligatures w14:val="none"/>
        </w:rPr>
        <w:t>Fig. S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  <w14:ligatures w14:val="none"/>
        </w:rPr>
        <w:t>2</w:t>
      </w:r>
      <w:r>
        <w:rPr>
          <w:rFonts w:ascii="Times New Roman" w:hAnsi="Times New Roman" w:eastAsia="宋体"/>
          <w:b/>
          <w:bCs/>
          <w:szCs w:val="21"/>
          <w14:ligatures w14:val="none"/>
        </w:rPr>
        <w:t>.</w:t>
      </w:r>
      <w:r>
        <w:rPr>
          <w:rFonts w:hint="eastAsia" w:ascii="Times New Roman" w:hAnsi="Times New Roman" w:eastAsia="宋体"/>
          <w:b/>
          <w:bCs/>
          <w:szCs w:val="21"/>
          <w14:ligatures w14:val="none"/>
        </w:rPr>
        <w:t xml:space="preserve"> 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>Haplotype analysis of QTL_SB-1 (A and C) and QTL_SB-19 (B and D) across different years</w:t>
      </w:r>
    </w:p>
    <w:p w14:paraId="7C093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  <w:t>Note: CN indicates Chinese wheat accessions, while OC represents accessions from CIMMYT and other countries.</w:t>
      </w:r>
    </w:p>
    <w:p w14:paraId="6EDE3F38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1307904A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65A8C505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3BAB2836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46A85B2D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159E322F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2C9CA897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4A6D43FF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656F84ED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</w:p>
    <w:p w14:paraId="74185598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</w:p>
    <w:p w14:paraId="1802399B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  <w:r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  <w:drawing>
          <wp:inline distT="0" distB="0" distL="114300" distR="114300">
            <wp:extent cx="9032875" cy="2828290"/>
            <wp:effectExtent l="0" t="0" r="4445" b="6350"/>
            <wp:docPr id="1" name="图片 1" descr="out.C+F_GO组合图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out.C+F_GO组合图pd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32875" cy="28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A8634">
      <w:pPr>
        <w:spacing w:after="0" w:line="360" w:lineRule="auto"/>
        <w:jc w:val="center"/>
        <w:rPr>
          <w:rFonts w:hint="eastAsia" w:ascii="Times New Roman" w:hAnsi="Times New Roman" w:eastAsia="宋体"/>
          <w:b/>
          <w:bCs/>
          <w:szCs w:val="21"/>
          <w:lang w:val="en-US" w:eastAsia="zh-CN"/>
          <w14:ligatures w14:val="none"/>
        </w:rPr>
      </w:pPr>
      <w:r>
        <w:rPr>
          <w:rFonts w:hint="eastAsia" w:ascii="Times New Roman" w:hAnsi="Times New Roman" w:eastAsia="宋体"/>
          <w:b/>
          <w:bCs/>
          <w:szCs w:val="21"/>
          <w14:ligatures w14:val="none"/>
        </w:rPr>
        <w:t>Fig. S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  <w14:ligatures w14:val="none"/>
        </w:rPr>
        <w:t>3</w:t>
      </w:r>
      <w:r>
        <w:rPr>
          <w:rFonts w:ascii="Times New Roman" w:hAnsi="Times New Roman" w:eastAsia="宋体"/>
          <w:b/>
          <w:bCs/>
          <w:szCs w:val="21"/>
          <w14:ligatures w14:val="none"/>
        </w:rPr>
        <w:t>.</w:t>
      </w:r>
      <w:r>
        <w:rPr>
          <w:rFonts w:hint="eastAsia" w:ascii="Times New Roman" w:hAnsi="Times New Roman" w:eastAsia="宋体"/>
          <w:b/>
          <w:bCs/>
          <w:szCs w:val="21"/>
          <w14:ligatures w14:val="none"/>
        </w:rPr>
        <w:t xml:space="preserve"> GO enrichment analysis of candidate genes for the SB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  <w14:ligatures w14:val="none"/>
        </w:rPr>
        <w:t>.</w:t>
      </w:r>
    </w:p>
    <w:p w14:paraId="0E714090">
      <w:pPr>
        <w:spacing w:after="0" w:line="360" w:lineRule="auto"/>
        <w:jc w:val="center"/>
        <w:rPr>
          <w:rFonts w:hint="eastAsia" w:ascii="Times New Roman" w:hAnsi="Times New Roman" w:eastAsia="宋体"/>
          <w:szCs w:val="21"/>
          <w14:ligatures w14:val="none"/>
        </w:rPr>
      </w:pPr>
      <w:r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  <w:t xml:space="preserve">Note: </w:t>
      </w:r>
      <w:r>
        <w:rPr>
          <w:rFonts w:hint="eastAsia" w:ascii="Times New Roman" w:hAnsi="Times New Roman" w:eastAsia="宋体"/>
          <w:szCs w:val="21"/>
          <w14:ligatures w14:val="none"/>
        </w:rPr>
        <w:t>A</w:t>
      </w:r>
      <w:r>
        <w:rPr>
          <w:rFonts w:hint="eastAsia" w:ascii="Times New Roman" w:hAnsi="Times New Roman" w:eastAsia="宋体"/>
          <w:szCs w:val="21"/>
          <w:lang w:val="en-US" w:eastAsia="zh-CN"/>
          <w14:ligatures w14:val="none"/>
        </w:rPr>
        <w:t xml:space="preserve">: </w:t>
      </w:r>
      <w:r>
        <w:rPr>
          <w:rFonts w:hint="eastAsia" w:ascii="Times New Roman" w:hAnsi="Times New Roman" w:eastAsia="宋体"/>
          <w:szCs w:val="21"/>
          <w14:ligatures w14:val="none"/>
        </w:rPr>
        <w:t>Bar plot showing the top 2</w:t>
      </w:r>
      <w:r>
        <w:rPr>
          <w:rFonts w:hint="eastAsia" w:ascii="Times New Roman" w:hAnsi="Times New Roman" w:eastAsia="宋体"/>
          <w:szCs w:val="21"/>
          <w:lang w:eastAsia="zh-CN"/>
          <w14:ligatures w14:val="none"/>
        </w:rPr>
        <w:t>0</w:t>
      </w:r>
      <w:r>
        <w:rPr>
          <w:rFonts w:hint="eastAsia" w:ascii="Times New Roman" w:hAnsi="Times New Roman" w:eastAsia="宋体"/>
          <w:szCs w:val="21"/>
          <w14:ligatures w14:val="none"/>
        </w:rPr>
        <w:t xml:space="preserve"> significantly enriched terms in the </w:t>
      </w:r>
      <w:r>
        <w:rPr>
          <w:rFonts w:hint="eastAsia" w:ascii="Times New Roman" w:hAnsi="Times New Roman" w:eastAsia="宋体"/>
          <w:szCs w:val="21"/>
          <w:lang w:val="en-US" w:eastAsia="zh-CN"/>
          <w14:ligatures w14:val="none"/>
        </w:rPr>
        <w:t>c</w:t>
      </w:r>
      <w:r>
        <w:rPr>
          <w:rFonts w:hint="eastAsia" w:ascii="Times New Roman" w:hAnsi="Times New Roman" w:eastAsia="宋体"/>
          <w:szCs w:val="21"/>
          <w14:ligatures w14:val="none"/>
        </w:rPr>
        <w:t>ellular</w:t>
      </w:r>
      <w:r>
        <w:rPr>
          <w:rFonts w:hint="eastAsia" w:ascii="Times New Roman" w:hAnsi="Times New Roman" w:eastAsia="宋体"/>
          <w:szCs w:val="21"/>
          <w:lang w:val="en-US" w:eastAsia="zh-CN"/>
          <w14:ligatures w14:val="none"/>
        </w:rPr>
        <w:t xml:space="preserve"> c</w:t>
      </w:r>
      <w:r>
        <w:rPr>
          <w:rFonts w:hint="eastAsia" w:ascii="Times New Roman" w:hAnsi="Times New Roman" w:eastAsia="宋体"/>
          <w:szCs w:val="21"/>
          <w14:ligatures w14:val="none"/>
        </w:rPr>
        <w:t>omponent ontology. B</w:t>
      </w:r>
      <w:r>
        <w:rPr>
          <w:rFonts w:hint="eastAsia" w:ascii="Times New Roman" w:hAnsi="Times New Roman" w:eastAsia="宋体"/>
          <w:szCs w:val="21"/>
          <w:lang w:val="en-US" w:eastAsia="zh-CN"/>
          <w14:ligatures w14:val="none"/>
        </w:rPr>
        <w:t>:</w:t>
      </w:r>
      <w:r>
        <w:rPr>
          <w:rFonts w:hint="eastAsia" w:ascii="Times New Roman" w:hAnsi="Times New Roman" w:eastAsia="宋体"/>
          <w:szCs w:val="21"/>
          <w14:ligatures w14:val="none"/>
        </w:rPr>
        <w:t xml:space="preserve"> Bar plot showing the top 2</w:t>
      </w:r>
      <w:r>
        <w:rPr>
          <w:rFonts w:hint="eastAsia" w:ascii="Times New Roman" w:hAnsi="Times New Roman" w:eastAsia="宋体"/>
          <w:szCs w:val="21"/>
          <w:lang w:eastAsia="zh-CN"/>
          <w14:ligatures w14:val="none"/>
        </w:rPr>
        <w:t>0</w:t>
      </w:r>
      <w:r>
        <w:rPr>
          <w:rFonts w:hint="eastAsia" w:ascii="Times New Roman" w:hAnsi="Times New Roman" w:eastAsia="宋体"/>
          <w:szCs w:val="21"/>
          <w14:ligatures w14:val="none"/>
        </w:rPr>
        <w:t xml:space="preserve"> significantly enriched terms in the </w:t>
      </w:r>
      <w:r>
        <w:rPr>
          <w:rFonts w:hint="eastAsia" w:ascii="Times New Roman" w:hAnsi="Times New Roman" w:eastAsia="宋体"/>
          <w:szCs w:val="21"/>
          <w:lang w:val="en-US" w:eastAsia="zh-CN"/>
          <w14:ligatures w14:val="none"/>
        </w:rPr>
        <w:t>m</w:t>
      </w:r>
      <w:r>
        <w:rPr>
          <w:rFonts w:hint="eastAsia" w:ascii="Times New Roman" w:hAnsi="Times New Roman" w:eastAsia="宋体"/>
          <w:szCs w:val="21"/>
          <w14:ligatures w14:val="none"/>
        </w:rPr>
        <w:t xml:space="preserve">olecular </w:t>
      </w:r>
      <w:r>
        <w:rPr>
          <w:rFonts w:hint="eastAsia" w:ascii="Times New Roman" w:hAnsi="Times New Roman" w:eastAsia="宋体"/>
          <w:szCs w:val="21"/>
          <w:lang w:val="en-US" w:eastAsia="zh-CN"/>
          <w14:ligatures w14:val="none"/>
        </w:rPr>
        <w:t>f</w:t>
      </w:r>
      <w:r>
        <w:rPr>
          <w:rFonts w:hint="eastAsia" w:ascii="Times New Roman" w:hAnsi="Times New Roman" w:eastAsia="宋体"/>
          <w:szCs w:val="21"/>
          <w14:ligatures w14:val="none"/>
        </w:rPr>
        <w:t>unction ontology.</w:t>
      </w:r>
      <w:r>
        <w:rPr>
          <w:rFonts w:hint="eastAsia" w:ascii="Times New Roman" w:hAnsi="Times New Roman" w:eastAsia="宋体"/>
          <w:szCs w:val="21"/>
          <w:lang w:val="en-US" w:eastAsia="zh-CN"/>
          <w14:ligatures w14:val="none"/>
        </w:rPr>
        <w:t xml:space="preserve"> </w:t>
      </w:r>
      <w:r>
        <w:rPr>
          <w:rFonts w:hint="eastAsia" w:ascii="Times New Roman" w:hAnsi="Times New Roman" w:eastAsia="宋体"/>
          <w:szCs w:val="21"/>
          <w14:ligatures w14:val="none"/>
        </w:rPr>
        <w:t>Bar length represents the gene ratio or gene count. Color intensity corresponds to the statistical significance (-log</w:t>
      </w:r>
      <w:r>
        <w:rPr>
          <w:rFonts w:hint="eastAsia" w:ascii="Times New Roman" w:hAnsi="Times New Roman" w:eastAsia="宋体"/>
          <w:szCs w:val="21"/>
          <w:vertAlign w:val="subscript"/>
          <w:lang w:val="en-US" w:eastAsia="zh-CN"/>
          <w14:ligatures w14:val="none"/>
        </w:rPr>
        <w:t>10</w:t>
      </w:r>
      <w:r>
        <w:rPr>
          <w:rFonts w:hint="eastAsia" w:ascii="Times New Roman" w:hAnsi="Times New Roman" w:eastAsia="宋体"/>
          <w:szCs w:val="21"/>
          <w14:ligatures w14:val="none"/>
        </w:rPr>
        <w:t>(qvalue)).</w:t>
      </w:r>
    </w:p>
    <w:p w14:paraId="2C4168C6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0AB97CDE">
      <w:pPr>
        <w:jc w:val="center"/>
        <w:rPr>
          <w:rFonts w:ascii="Times New Roman" w:hAnsi="Times New Roman" w:cs="Times New Roman"/>
          <w:sz w:val="18"/>
          <w:szCs w:val="18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0C64B9FC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7B923296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  <w:r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  <w:drawing>
          <wp:inline distT="0" distB="0" distL="114300" distR="114300">
            <wp:extent cx="5231765" cy="5266690"/>
            <wp:effectExtent l="0" t="0" r="10795" b="6350"/>
            <wp:docPr id="3" name="图片 3" descr="SB21adj_jiaoji组合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B21adj_jiaoji组合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1765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01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/>
          <w:b/>
          <w:bCs/>
          <w:sz w:val="21"/>
          <w:szCs w:val="21"/>
          <w:lang w:val="en-US" w:eastAsia="zh-CN"/>
          <w14:ligatures w14:val="none"/>
        </w:rPr>
      </w:pPr>
      <w:r>
        <w:rPr>
          <w:rFonts w:hint="eastAsia" w:ascii="Times New Roman" w:hAnsi="Times New Roman" w:cs="Times New Roman"/>
          <w:b/>
          <w:bCs/>
        </w:rPr>
        <w:t>Fig.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4 </w:t>
      </w:r>
      <w:r>
        <w:rPr>
          <w:rFonts w:hint="eastAsia" w:ascii="Times New Roman" w:hAnsi="Times New Roman" w:eastAsia="宋体"/>
          <w:b/>
          <w:bCs/>
          <w:sz w:val="21"/>
          <w:szCs w:val="21"/>
          <w:lang w:val="en-US" w:eastAsia="zh-CN"/>
          <w14:ligatures w14:val="none"/>
        </w:rPr>
        <w:t>Genomic prediction accuracy for spot blotch resistance using SNPs that were significant in at least two environments (Matrix 2)</w:t>
      </w:r>
    </w:p>
    <w:p w14:paraId="247E26D7">
      <w:pPr>
        <w:jc w:val="center"/>
        <w:rPr>
          <w:rFonts w:hint="eastAsia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eastAsia="宋体"/>
          <w:b w:val="0"/>
          <w:bCs w:val="0"/>
          <w:sz w:val="21"/>
          <w:szCs w:val="21"/>
          <w:lang w:val="en-US" w:eastAsia="zh-CN"/>
          <w14:ligatures w14:val="none"/>
        </w:rPr>
        <w:t>Note: Scatter plots display the relationship between observed and predicted values estimated by Bayesian ridge regression. Panels A: SB21adj; B:SB22adj; C: SB23adj; D: SBadj_BLUE.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3B6"/>
    <w:rsid w:val="00497802"/>
    <w:rsid w:val="00523F10"/>
    <w:rsid w:val="005963B6"/>
    <w:rsid w:val="00613F64"/>
    <w:rsid w:val="00AF0496"/>
    <w:rsid w:val="040A3731"/>
    <w:rsid w:val="0B995B85"/>
    <w:rsid w:val="1309345F"/>
    <w:rsid w:val="153E6BC4"/>
    <w:rsid w:val="16B67B44"/>
    <w:rsid w:val="214E32A9"/>
    <w:rsid w:val="27703BD1"/>
    <w:rsid w:val="285D2B42"/>
    <w:rsid w:val="2C354ACA"/>
    <w:rsid w:val="2DF967E6"/>
    <w:rsid w:val="32C279D6"/>
    <w:rsid w:val="37AF1CC6"/>
    <w:rsid w:val="390D78C6"/>
    <w:rsid w:val="3B180EB9"/>
    <w:rsid w:val="3F545D5B"/>
    <w:rsid w:val="51CE0EA5"/>
    <w:rsid w:val="592247F0"/>
    <w:rsid w:val="59F80C76"/>
    <w:rsid w:val="5A4A66D9"/>
    <w:rsid w:val="64B37FEF"/>
    <w:rsid w:val="657A554E"/>
    <w:rsid w:val="67D174A7"/>
    <w:rsid w:val="77A22027"/>
    <w:rsid w:val="78A2119F"/>
    <w:rsid w:val="7AB9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Strong"/>
    <w:basedOn w:val="16"/>
    <w:qFormat/>
    <w:uiPriority w:val="22"/>
    <w:rPr>
      <w:b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png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188</Words>
  <Characters>1092</Characters>
  <Lines>1</Lines>
  <Paragraphs>1</Paragraphs>
  <TotalTime>140</TotalTime>
  <ScaleCrop>false</ScaleCrop>
  <LinksUpToDate>false</LinksUpToDate>
  <CharactersWithSpaces>1272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2025-04-03T21:38:00Z</dcterms:created>
  <dc:creator>qingfeng dong</dc:creator>
  <cp:lastModifiedBy>df</cp:lastModifiedBy>
  <dcterms:modified xsi:type="dcterms:W3CDTF">2026-07-07T14:37:45Z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eyJoZGlkIjoiNmIzZWZkYjJiMWE1NGQ5ZGE5ZGEyMTVjNDI5MTBmZmEiLCJ1c2VySWQiOiIxNjYyODk4MTI2In0=</vt:lpwstr>
  </property>
  <property fmtid="{D5CDD505-2E9C-101B-9397-08002B2CF9AE}" pid="3" name="KSOProductBuildVer">
    <vt:lpwstr>2052-12.1.0.21915</vt:lpwstr>
  </property>
  <property fmtid="{D5CDD505-2E9C-101B-9397-08002B2CF9AE}" pid="4" name="ICV">
    <vt:lpwstr>B86A3588B61E4F02AFB8BD9E45C65DD1_13</vt:lpwstr>
  </property>
</Properties>
</file>