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6E5D0E" w14:textId="77777777" w:rsidR="00C62C3E" w:rsidRDefault="00C62C3E" w:rsidP="00C62C3E">
      <w:pPr>
        <w:rPr>
          <w:rFonts w:ascii="Times New Roman" w:hAnsi="Times New Roman" w:cs="Times New Roman"/>
          <w:b/>
          <w:sz w:val="24"/>
          <w:szCs w:val="20"/>
          <w:lang w:val="en-GB"/>
        </w:rPr>
      </w:pPr>
      <w:r>
        <w:rPr>
          <w:rFonts w:ascii="Times New Roman" w:hAnsi="Times New Roman" w:cs="Times New Roman"/>
          <w:b/>
          <w:sz w:val="24"/>
          <w:szCs w:val="20"/>
          <w:lang w:val="en-GB"/>
        </w:rPr>
        <w:t>Appendix B</w:t>
      </w:r>
      <w:r w:rsidRPr="00EF5925">
        <w:rPr>
          <w:rFonts w:ascii="Times New Roman" w:hAnsi="Times New Roman" w:cs="Times New Roman"/>
          <w:b/>
          <w:sz w:val="24"/>
          <w:szCs w:val="20"/>
          <w:lang w:val="en-GB"/>
        </w:rPr>
        <w:t xml:space="preserve"> – </w:t>
      </w:r>
      <w:r>
        <w:rPr>
          <w:rFonts w:ascii="Times New Roman" w:hAnsi="Times New Roman" w:cs="Times New Roman"/>
          <w:b/>
          <w:sz w:val="24"/>
          <w:szCs w:val="20"/>
          <w:lang w:val="en-GB"/>
        </w:rPr>
        <w:t>C</w:t>
      </w:r>
      <w:r w:rsidRPr="00EF5925">
        <w:rPr>
          <w:rFonts w:ascii="Times New Roman" w:hAnsi="Times New Roman" w:cs="Times New Roman"/>
          <w:b/>
          <w:sz w:val="24"/>
          <w:szCs w:val="20"/>
          <w:lang w:val="en-GB"/>
        </w:rPr>
        <w:t>lustering</w:t>
      </w:r>
      <w:r>
        <w:rPr>
          <w:rFonts w:ascii="Times New Roman" w:hAnsi="Times New Roman" w:cs="Times New Roman"/>
          <w:b/>
          <w:sz w:val="24"/>
          <w:szCs w:val="20"/>
          <w:lang w:val="en-GB"/>
        </w:rPr>
        <w:t xml:space="preserve"> of the topics</w:t>
      </w:r>
    </w:p>
    <w:p w14:paraId="47F4DDB8" w14:textId="77777777" w:rsidR="00C62C3E" w:rsidRDefault="00C62C3E" w:rsidP="00C62C3E">
      <w:pPr>
        <w:spacing w:line="360" w:lineRule="auto"/>
        <w:rPr>
          <w:rFonts w:ascii="Times New Roman" w:hAnsi="Times New Roman" w:cs="Times New Roman"/>
          <w:sz w:val="24"/>
          <w:szCs w:val="20"/>
          <w:lang w:val="en-GB"/>
        </w:rPr>
      </w:pPr>
      <w:r>
        <w:rPr>
          <w:rFonts w:ascii="Times New Roman" w:hAnsi="Times New Roman" w:cs="Times New Roman"/>
          <w:sz w:val="24"/>
          <w:szCs w:val="20"/>
          <w:lang w:val="en-GB"/>
        </w:rPr>
        <w:t>The last step of this research was to examine</w:t>
      </w:r>
      <w:r w:rsidRPr="008564C6">
        <w:rPr>
          <w:rFonts w:ascii="Times New Roman" w:hAnsi="Times New Roman" w:cs="Times New Roman"/>
          <w:sz w:val="24"/>
          <w:szCs w:val="20"/>
          <w:lang w:val="en-GB"/>
        </w:rPr>
        <w:t xml:space="preserve"> the multidimensional data analysis from the publication bipartite network. For performing the analysis, the data matrix scrutinised the different keywords specified by the authors for each study. This returned a multiple correspondence analysis to represent the conceptual structure of the investigating literature (Aria and </w:t>
      </w:r>
      <w:proofErr w:type="spellStart"/>
      <w:r w:rsidRPr="008564C6">
        <w:rPr>
          <w:rFonts w:ascii="Times New Roman" w:hAnsi="Times New Roman" w:cs="Times New Roman"/>
          <w:sz w:val="24"/>
          <w:szCs w:val="20"/>
          <w:lang w:val="en-GB"/>
        </w:rPr>
        <w:t>Cuccurullo</w:t>
      </w:r>
      <w:proofErr w:type="spellEnd"/>
      <w:r w:rsidRPr="008564C6">
        <w:rPr>
          <w:rFonts w:ascii="Times New Roman" w:hAnsi="Times New Roman" w:cs="Times New Roman"/>
          <w:sz w:val="24"/>
          <w:szCs w:val="20"/>
          <w:lang w:val="en-GB"/>
        </w:rPr>
        <w:t xml:space="preserve">, 2017; Greenacre and Blasius 2006). The procedure started by extracting the first two axes, which are maximising the available information. On the first axis, we were able to identify and interpret the main structural topics </w:t>
      </w:r>
      <w:r>
        <w:rPr>
          <w:rFonts w:ascii="Times New Roman" w:hAnsi="Times New Roman" w:cs="Times New Roman"/>
          <w:sz w:val="24"/>
          <w:szCs w:val="20"/>
          <w:lang w:val="en-GB"/>
        </w:rPr>
        <w:t>linked</w:t>
      </w:r>
      <w:r w:rsidRPr="008564C6">
        <w:rPr>
          <w:rFonts w:ascii="Times New Roman" w:hAnsi="Times New Roman" w:cs="Times New Roman"/>
          <w:sz w:val="24"/>
          <w:szCs w:val="20"/>
          <w:lang w:val="en-GB"/>
        </w:rPr>
        <w:t xml:space="preserve"> with the socio-economic development of </w:t>
      </w:r>
      <w:r>
        <w:rPr>
          <w:rFonts w:ascii="Times New Roman" w:hAnsi="Times New Roman" w:cs="Times New Roman"/>
          <w:sz w:val="24"/>
          <w:szCs w:val="20"/>
          <w:lang w:val="en-GB"/>
        </w:rPr>
        <w:t xml:space="preserve">the </w:t>
      </w:r>
      <w:r w:rsidRPr="008564C6">
        <w:rPr>
          <w:rFonts w:ascii="Times New Roman" w:hAnsi="Times New Roman" w:cs="Times New Roman"/>
          <w:sz w:val="24"/>
          <w:szCs w:val="20"/>
          <w:lang w:val="en-GB"/>
        </w:rPr>
        <w:t xml:space="preserve">pandemic. This procedure returned a first clustering validation of the topics – that entailed three clusters – and a second </w:t>
      </w:r>
      <w:r>
        <w:rPr>
          <w:rFonts w:ascii="Times New Roman" w:hAnsi="Times New Roman" w:cs="Times New Roman"/>
          <w:sz w:val="24"/>
          <w:szCs w:val="20"/>
          <w:lang w:val="en-GB"/>
        </w:rPr>
        <w:t>block</w:t>
      </w:r>
      <w:r w:rsidRPr="008564C6">
        <w:rPr>
          <w:rFonts w:ascii="Times New Roman" w:hAnsi="Times New Roman" w:cs="Times New Roman"/>
          <w:sz w:val="24"/>
          <w:szCs w:val="20"/>
          <w:lang w:val="en-GB"/>
        </w:rPr>
        <w:t xml:space="preserve"> of clusters – that returned five subjects. The latter has been used as a sensitivity analysis of the techniques operated</w:t>
      </w:r>
      <w:r>
        <w:rPr>
          <w:rFonts w:ascii="Times New Roman" w:hAnsi="Times New Roman" w:cs="Times New Roman"/>
          <w:sz w:val="24"/>
          <w:szCs w:val="20"/>
          <w:lang w:val="en-GB"/>
        </w:rPr>
        <w:t xml:space="preserve"> to prove the validity of the study</w:t>
      </w:r>
      <w:r w:rsidRPr="008564C6">
        <w:rPr>
          <w:rFonts w:ascii="Times New Roman" w:hAnsi="Times New Roman" w:cs="Times New Roman"/>
          <w:sz w:val="24"/>
          <w:szCs w:val="20"/>
          <w:lang w:val="en-GB"/>
        </w:rPr>
        <w:t>.</w:t>
      </w:r>
    </w:p>
    <w:p w14:paraId="17EAAA99" w14:textId="77777777" w:rsidR="00C62C3E" w:rsidRDefault="00C62C3E" w:rsidP="00C62C3E">
      <w:pPr>
        <w:rPr>
          <w:rFonts w:ascii="Courier New" w:hAnsi="Courier New" w:cs="Courier New"/>
          <w:sz w:val="20"/>
          <w:szCs w:val="20"/>
          <w:lang w:val="en-GB"/>
        </w:rPr>
      </w:pPr>
    </w:p>
    <w:p w14:paraId="209F5F63" w14:textId="77777777" w:rsidR="00C62C3E" w:rsidRDefault="00C62C3E" w:rsidP="00C62C3E">
      <w:pPr>
        <w:rPr>
          <w:rFonts w:ascii="Courier New" w:hAnsi="Courier New" w:cs="Courier New"/>
          <w:sz w:val="20"/>
          <w:szCs w:val="20"/>
          <w:lang w:val="en-GB"/>
        </w:rPr>
      </w:pPr>
      <w:r>
        <w:rPr>
          <w:rFonts w:ascii="Courier New" w:hAnsi="Courier New" w:cs="Courier New"/>
          <w:sz w:val="20"/>
          <w:szCs w:val="20"/>
          <w:lang w:val="en-GB"/>
        </w:rPr>
        <w:t>Fig. 2 Robustness check: 5 clusters</w:t>
      </w:r>
    </w:p>
    <w:p w14:paraId="1D1B2E76" w14:textId="77777777" w:rsidR="00C62C3E" w:rsidRDefault="00C62C3E" w:rsidP="00C62C3E">
      <w:pPr>
        <w:rPr>
          <w:rFonts w:ascii="Courier New" w:hAnsi="Courier New" w:cs="Courier New"/>
          <w:sz w:val="20"/>
          <w:szCs w:val="20"/>
          <w:lang w:val="en-GB"/>
        </w:rPr>
      </w:pPr>
    </w:p>
    <w:p w14:paraId="36D22202" w14:textId="77777777" w:rsidR="00C62C3E" w:rsidRDefault="00C62C3E" w:rsidP="00C62C3E">
      <w:pPr>
        <w:rPr>
          <w:rFonts w:ascii="Courier New" w:hAnsi="Courier New" w:cs="Courier New"/>
          <w:sz w:val="20"/>
          <w:szCs w:val="20"/>
          <w:lang w:val="en-GB"/>
        </w:rPr>
      </w:pPr>
      <w:r>
        <w:rPr>
          <w:noProof/>
          <w:lang w:eastAsia="it-IT"/>
        </w:rPr>
        <w:drawing>
          <wp:inline distT="0" distB="0" distL="0" distR="0" wp14:anchorId="6FE5FDDC" wp14:editId="6548DF79">
            <wp:extent cx="6120130" cy="35814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120130" cy="3581400"/>
                    </a:xfrm>
                    <a:prstGeom prst="rect">
                      <a:avLst/>
                    </a:prstGeom>
                  </pic:spPr>
                </pic:pic>
              </a:graphicData>
            </a:graphic>
          </wp:inline>
        </w:drawing>
      </w:r>
    </w:p>
    <w:p w14:paraId="366F88F5" w14:textId="77777777" w:rsidR="00C62C3E" w:rsidRPr="007F1D07" w:rsidRDefault="00C62C3E" w:rsidP="00C62C3E">
      <w:pPr>
        <w:rPr>
          <w:rFonts w:ascii="Courier New" w:hAnsi="Courier New" w:cs="Courier New"/>
          <w:sz w:val="20"/>
          <w:szCs w:val="20"/>
          <w:lang w:val="en-GB"/>
        </w:rPr>
      </w:pPr>
    </w:p>
    <w:p w14:paraId="4255218C" w14:textId="77777777" w:rsidR="00BA3C9D" w:rsidRDefault="00BA3C9D"/>
    <w:sectPr w:rsidR="00BA3C9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C3E"/>
    <w:rsid w:val="00BA3C9D"/>
    <w:rsid w:val="00C62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C8864"/>
  <w15:chartTrackingRefBased/>
  <w15:docId w15:val="{DCCE95A2-A7B7-4B55-AD1C-BD84FA293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C3E"/>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2020-11-20T19:24:00Z</dcterms:created>
  <dcterms:modified xsi:type="dcterms:W3CDTF">2020-11-20T19:24:00Z</dcterms:modified>
</cp:coreProperties>
</file>