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3864"/>
          <w:sz w:val="32"/>
        </w:rPr>
        <w:t>Supplementary Material</w:t>
      </w:r>
    </w:p>
    <w:p>
      <w:pPr>
        <w:spacing w:after="200"/>
        <w:jc w:val="center"/>
      </w:pPr>
      <w:r>
        <w:rPr>
          <w:rFonts w:ascii="Times New Roman" w:hAnsi="Times New Roman"/>
          <w:i/>
          <w:sz w:val="20"/>
        </w:rPr>
        <w:t>Gaussian Process Regression Modelling of Post-Inflammatory Hyperpigmentation Risk in IPL Therapy for Darker Skin Phototypes</w:t>
      </w:r>
    </w:p>
    <w:p>
      <w:pPr>
        <w:spacing w:before="240" w:after="80"/>
      </w:pPr>
      <w:r>
        <w:rPr>
          <w:rFonts w:ascii="Arial" w:hAnsi="Arial"/>
          <w:b/>
          <w:color w:val="1F3864"/>
          <w:sz w:val="28"/>
        </w:rPr>
        <w:t>Supplementary Table S1. TRIPOD-AI Reporting Checklist</w:t>
      </w:r>
    </w:p>
    <w:p>
      <w:pPr>
        <w:spacing w:after="120"/>
      </w:pPr>
      <w:r>
        <w:rPr>
          <w:rFonts w:ascii="Times New Roman" w:hAnsi="Times New Roman"/>
          <w:i/>
          <w:sz w:val="19"/>
        </w:rPr>
        <w:t>Mapping of TRIPOD+AI (Collins et al., BMJ 2024) items to manuscript location.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560"/>
        <w:gridCol w:w="4560"/>
        <w:gridCol w:w="4560"/>
      </w:tblGrid>
      <w:tr>
        <w:tc>
          <w:tcPr>
            <w:tcW w:type="dxa" w:w="456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Item</w:t>
            </w:r>
          </w:p>
        </w:tc>
        <w:tc>
          <w:tcPr>
            <w:tcW w:type="dxa" w:w="456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TRIPOD-AI requirement</w:t>
            </w:r>
          </w:p>
        </w:tc>
        <w:tc>
          <w:tcPr>
            <w:tcW w:type="dxa" w:w="456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Manuscript location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Title — identify as prediction model development study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Title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Abstract — structured summary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Abstract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3a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Background — clinical context and rationale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Introduction ¶1–2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3b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Objectives — study aims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Introduction ¶3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4a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Data source — literature-derived dataset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2.2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4b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Eligibility criteria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2.2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5a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Outcome — PIH incidence definition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2.3, 2.5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5b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Predictors — FST and fluence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2.5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6a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Sample size — 23 training points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2.5; Results 3.3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7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Missing data — null coding, no imputation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2.3, 2.8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Model — Gaussian process regression specification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2.5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9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Model output — fluence ceiling, uncertainty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2.5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10a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Training — hyperparameter optimisation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2.5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10b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Performance — LOO-CV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Results 3.3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Model interpretation — three findings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Results 3.2–3.4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12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Risk of bias — quality scoring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2.3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16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Reproducibility — code/data available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2.5; Supplement</w:t>
            </w:r>
          </w:p>
        </w:tc>
      </w:tr>
      <w:tr>
        <w:tc>
          <w:tcPr>
            <w:tcW w:type="dxa" w:w="4560"/>
            <w:shd w:val="clear" w:fill="F0F4F8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AI1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AI methods — LLM extraction, kappa validation</w:t>
            </w:r>
          </w:p>
        </w:tc>
        <w:tc>
          <w:tcPr>
            <w:tcW w:type="dxa" w:w="456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2.2, 2.4</w:t>
            </w:r>
          </w:p>
        </w:tc>
      </w:tr>
      <w:tr>
        <w:tc>
          <w:tcPr>
            <w:tcW w:type="dxa" w:w="4560"/>
          </w:tcPr>
          <w:p>
            <w:pPr>
              <w:jc w:val="left"/>
            </w:pPr>
            <w:r/>
            <w:r>
              <w:rPr>
                <w:rFonts w:ascii="Arial" w:hAnsi="Arial"/>
                <w:sz w:val="18"/>
              </w:rPr>
              <w:t>AI2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AI transparency — model versions disclosed</w:t>
            </w:r>
          </w:p>
        </w:tc>
        <w:tc>
          <w:tcPr>
            <w:tcW w:type="dxa" w:w="4560"/>
          </w:tcPr>
          <w:p>
            <w:pPr>
              <w:jc w:val="center"/>
            </w:pPr>
            <w:r/>
            <w:r>
              <w:rPr>
                <w:rFonts w:ascii="Arial" w:hAnsi="Arial"/>
                <w:sz w:val="18"/>
              </w:rPr>
              <w:t>Methods 2.1, 2.2</w:t>
            </w:r>
          </w:p>
        </w:tc>
      </w:tr>
    </w:tbl>
    <w:p>
      <w:r>
        <w:br w:type="page"/>
      </w:r>
    </w:p>
    <w:p>
      <w:pPr>
        <w:spacing w:before="280" w:after="80"/>
      </w:pPr>
      <w:r>
        <w:rPr>
          <w:rFonts w:ascii="Arial" w:hAnsi="Arial"/>
          <w:b/>
          <w:color w:val="1F3864"/>
          <w:sz w:val="28"/>
        </w:rPr>
        <w:t>Supplementary Table S2. Characteristics of 54 Included Studies</w:t>
      </w:r>
    </w:p>
    <w:p>
      <w:pPr>
        <w:spacing w:after="120"/>
      </w:pPr>
      <w:r>
        <w:rPr>
          <w:rFonts w:ascii="Times New Roman" w:hAnsi="Times New Roman"/>
          <w:i/>
          <w:sz w:val="19"/>
        </w:rPr>
        <w:t>Studies meeting eligibility criteria (quality score ≥3, dermatological indication). Fluence shown as maximum reported (J/cm²). NR = not reported. Studies are anonymised by database identifier; full bibliographic mapping available on request.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20"/>
        <w:gridCol w:w="1520"/>
        <w:gridCol w:w="1520"/>
        <w:gridCol w:w="1520"/>
        <w:gridCol w:w="1520"/>
        <w:gridCol w:w="1520"/>
        <w:gridCol w:w="1520"/>
        <w:gridCol w:w="1520"/>
        <w:gridCol w:w="1520"/>
      </w:tblGrid>
      <w:tr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ID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Filter nm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Fluence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Mode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Delay ms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FST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PIH %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Qual</w:t>
            </w:r>
          </w:p>
        </w:tc>
        <w:tc>
          <w:tcPr>
            <w:tcW w:type="dxa" w:w="152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Indication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0.73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P2b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0.73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P2c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lentigines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14.0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scar_keloid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P9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540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1.9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rosacea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550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P11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P12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lentigines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rosacea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P18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17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P19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640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7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tri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melasma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P26a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550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P26b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P26c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P27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450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11.6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scar_keloid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P29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rosacea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P33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695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sin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hair_removal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P35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P36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burn_scar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P39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46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other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P40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P49a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P49b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P49c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P50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575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9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rosacea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P55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P57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550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P62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46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other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P63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other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P66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P69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515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P71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640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tri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hair_removal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580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striae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hair_removal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695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hair_removal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P76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P81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tri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other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550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acne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530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8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6.25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burn_scar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P86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burn_scar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P88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690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hair_removal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590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rosacea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P91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550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P95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1-4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photorejuvenat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P100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530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16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PIH_treatment</w:t>
            </w:r>
          </w:p>
        </w:tc>
      </w:tr>
      <w:tr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P102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450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4-5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NR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520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scar_keloid</w:t>
            </w:r>
          </w:p>
        </w:tc>
      </w:tr>
      <w:tr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P106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560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dou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3-4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0.0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52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4"/>
              </w:rPr>
              <w:t>lentigines</w:t>
            </w:r>
          </w:p>
        </w:tc>
      </w:tr>
    </w:tbl>
    <w:p>
      <w:r>
        <w:br w:type="page"/>
      </w:r>
    </w:p>
    <w:p>
      <w:pPr>
        <w:spacing w:before="280" w:after="80"/>
      </w:pPr>
      <w:r>
        <w:rPr>
          <w:rFonts w:ascii="Arial" w:hAnsi="Arial"/>
          <w:b/>
          <w:color w:val="1F3864"/>
          <w:sz w:val="28"/>
        </w:rPr>
        <w:t>Supplementary Table S3. GPR Training Dataset (23 points)</w:t>
      </w:r>
    </w:p>
    <w:p>
      <w:pPr>
        <w:spacing w:after="120"/>
      </w:pPr>
      <w:r>
        <w:rPr>
          <w:rFonts w:ascii="Times New Roman" w:hAnsi="Times New Roman"/>
          <w:i/>
          <w:sz w:val="19"/>
        </w:rPr>
        <w:t>All training points with simultaneous FST, fluence, and PIH documentation. FST = midpoint of reported range; fluence = maximum reported (J/cm²); PIH = post-inflammatory hyperpigmentation incidence (%); delay = interpulse delay (ms); NR = not reported.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0"/>
        <w:gridCol w:w="1710"/>
        <w:gridCol w:w="1710"/>
        <w:gridCol w:w="1710"/>
        <w:gridCol w:w="1710"/>
        <w:gridCol w:w="1710"/>
        <w:gridCol w:w="1710"/>
        <w:gridCol w:w="1710"/>
      </w:tblGrid>
      <w:tr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ID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FST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Fluence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PIH %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Quality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Delay ms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</w:t>
            </w:r>
          </w:p>
        </w:tc>
        <w:tc>
          <w:tcPr>
            <w:tcW w:type="dxa" w:w="171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Indication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0.73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P2b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0.73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P2c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P7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14.0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scar_keloid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P18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17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P22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melasma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P26a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PIH_treatment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P26b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PIH_treatment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P26c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19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PIH_treatment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P27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11.6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scar_keloid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P55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acne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P57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5.0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97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P62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46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60.0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other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P63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2.5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other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P70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28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P71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4.5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152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hair_removal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P73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hair_removal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P76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294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P84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PIH_treatment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P91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4.5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P95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18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236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photorejuvenatio</w:t>
            </w:r>
          </w:p>
        </w:tc>
      </w:tr>
      <w:tr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P100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16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NR</w:t>
            </w:r>
          </w:p>
        </w:tc>
        <w:tc>
          <w:tcPr>
            <w:tcW w:type="dxa" w:w="171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PIH_treatment</w:t>
            </w:r>
          </w:p>
        </w:tc>
      </w:tr>
      <w:tr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P106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3.5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0.0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40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32</w:t>
            </w:r>
          </w:p>
        </w:tc>
        <w:tc>
          <w:tcPr>
            <w:tcW w:type="dxa" w:w="1710"/>
          </w:tcPr>
          <w:p>
            <w:pPr>
              <w:jc w:val="center"/>
            </w:pPr>
            <w:r/>
            <w:r>
              <w:rPr>
                <w:rFonts w:ascii="Arial" w:hAnsi="Arial"/>
                <w:sz w:val="16"/>
              </w:rPr>
              <w:t>lentigines</w:t>
            </w:r>
          </w:p>
        </w:tc>
      </w:tr>
    </w:tbl>
    <w:p>
      <w:r>
        <w:br w:type="page"/>
      </w:r>
    </w:p>
    <w:p>
      <w:pPr>
        <w:spacing w:before="280" w:after="80"/>
      </w:pPr>
      <w:r>
        <w:rPr>
          <w:rFonts w:ascii="Arial" w:hAnsi="Arial"/>
          <w:b/>
          <w:color w:val="1F3864"/>
          <w:sz w:val="28"/>
        </w:rPr>
        <w:t>Supplementary Table S4. Inter-rater Reliability — 17 Validation Papers</w:t>
      </w:r>
    </w:p>
    <w:p>
      <w:pPr>
        <w:spacing w:after="120"/>
      </w:pPr>
      <w:r>
        <w:rPr>
          <w:rFonts w:ascii="Times New Roman" w:hAnsi="Times New Roman"/>
          <w:i/>
          <w:sz w:val="19"/>
        </w:rPr>
        <w:t>Papers randomly selected (seed 42; replacements seed 43) for blinded manual extraction. Agreement (A) or disagreement (D) shown per field. Overall Cohen's κ = 0.94 (95% CI 0.88–1.00); 81/85 cells agreed (95.3%).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80"/>
        <w:gridCol w:w="2280"/>
        <w:gridCol w:w="2280"/>
        <w:gridCol w:w="2280"/>
        <w:gridCol w:w="2280"/>
        <w:gridCol w:w="2280"/>
      </w:tblGrid>
      <w:tr>
        <w:tc>
          <w:tcPr>
            <w:tcW w:type="dxa" w:w="228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Paper</w:t>
            </w:r>
          </w:p>
        </w:tc>
        <w:tc>
          <w:tcPr>
            <w:tcW w:type="dxa" w:w="228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Fluence</w:t>
            </w:r>
          </w:p>
        </w:tc>
        <w:tc>
          <w:tcPr>
            <w:tcW w:type="dxa" w:w="228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Delay</w:t>
            </w:r>
          </w:p>
        </w:tc>
        <w:tc>
          <w:tcPr>
            <w:tcW w:type="dxa" w:w="228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PIH</w:t>
            </w:r>
          </w:p>
        </w:tc>
        <w:tc>
          <w:tcPr>
            <w:tcW w:type="dxa" w:w="228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Mode</w:t>
            </w:r>
          </w:p>
        </w:tc>
        <w:tc>
          <w:tcPr>
            <w:tcW w:type="dxa" w:w="2280"/>
            <w:shd w:val="clear" w:fill="1F3864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Design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P4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D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P5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D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P7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D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P12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P14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P15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P17b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P26c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P27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P28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P36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P49a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P53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P70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P76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P85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D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P93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  <w:tc>
          <w:tcPr>
            <w:tcW w:type="dxa" w:w="2280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A</w:t>
            </w:r>
          </w:p>
        </w:tc>
      </w:tr>
      <w:tr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TOTAL κ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0.86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1.00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0.93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1.00</w:t>
            </w:r>
          </w:p>
        </w:tc>
        <w:tc>
          <w:tcPr>
            <w:tcW w:type="dxa" w:w="2280"/>
            <w:shd w:val="clear" w:fill="F0F4F8"/>
          </w:tcPr>
          <w:p>
            <w:pPr>
              <w:jc w:val="center"/>
            </w:pPr>
            <w:r/>
            <w:r>
              <w:rPr>
                <w:rFonts w:ascii="Arial" w:hAnsi="Arial"/>
                <w:sz w:val="17"/>
              </w:rPr>
              <w:t>0.93</w:t>
            </w:r>
          </w:p>
        </w:tc>
      </w:tr>
    </w:tbl>
    <w:p>
      <w:pPr>
        <w:spacing w:before="120"/>
      </w:pPr>
      <w:r>
        <w:rPr>
          <w:rFonts w:ascii="Times New Roman" w:hAnsi="Times New Roman"/>
          <w:sz w:val="18"/>
        </w:rPr>
        <w:t>Field-specific agreement: fluence 15/17 (κ=0.86), interpulse delay 17/17 (κ=1.00), PIH incidence 16/17 (κ=0.93), pulse mode 17/17 (κ=1.00), study design 16/17 (κ=0.93). Overall: 81/85 cells, κ=0.94.</w:t>
      </w:r>
    </w:p>
    <w:sectPr w:rsidR="00FC693F" w:rsidRPr="0006063C" w:rsidSect="00034616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